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ratula"/>
      </w:pPr>
      <w:r>
        <w:rPr>
          <w:bCs/>
          <w:b/>
        </w:rPr>
        <w:t xml:space="preserve">UNIVERSIDAD AUTÓNOMA «TOMÁS FRÍAS»</w:t>
      </w:r>
    </w:p>
    <w:p>
      <w:pPr>
        <w:pStyle w:val="Caratula"/>
      </w:pPr>
      <w:r>
        <w:rPr>
          <w:bCs/>
          <w:b/>
        </w:rPr>
        <w:t xml:space="preserve">FACULTAD DE INGENIERÍA</w:t>
      </w:r>
    </w:p>
    <w:p>
      <w:pPr>
        <w:pStyle w:val="Caratula"/>
      </w:pPr>
      <w:r>
        <w:rPr>
          <w:bCs/>
          <w:b/>
        </w:rPr>
        <w:t xml:space="preserve">CARRERA DE INGENIERÍA CIVIL</w:t>
      </w:r>
    </w:p>
    <w:p>
      <w:pPr>
        <w:pStyle w:val="Caratula"/>
        <w:spacing w:before="793"/>
      </w:pPr>
      <w:r>
        <w:rPr>
          <w:bCs/>
          <w:b/>
        </w:rPr>
        <w:t xml:space="preserve">TESIS DE GRADO</w:t>
      </w:r>
    </w:p>
    <w:p>
      <w:pPr>
        <w:pStyle w:val="Caratula"/>
        <w:spacing w:before="566"/>
      </w:pPr>
      <w:r>
        <w:rPr>
          <w:bCs/>
          <w:b/>
        </w:rPr>
        <w:t xml:space="preserve">DISEÑO DE UN SISTEMA DE GESTIÓN DE LA CALIDAD BASADO EN LA NORMA ISO 9001 PARA REDUCIR COSTOS MEDIANTE EL CONTROL DE MATERIALES EN LOSAS ALIVIANADAS CON VIGUETAS PRETENSADAS DEL EDIFICIO DE POSGRADO DE LA UNIVERSIDAD AUTÓNOMA TOMÁS FRÍAS, POTOSÍ</w:t>
      </w:r>
    </w:p>
    <w:p>
      <w:pPr>
        <w:pStyle w:val="Caratula"/>
        <w:spacing w:before="680"/>
      </w:pPr>
      <w:r>
        <w:t xml:space="preserve">Trabajo de graduación en la modalidad de Tesis, presentado para optar al grado académico de Licenciatura en Ingeniería Civil</w:t>
      </w:r>
    </w:p>
    <w:p>
      <w:pPr>
        <w:pStyle w:val="Caratula"/>
        <w:spacing w:before="873"/>
      </w:pPr>
      <w:r>
        <w:rPr>
          <w:bCs/>
          <w:b/>
        </w:rPr>
        <w:t xml:space="preserve">Postulante:</w:t>
      </w:r>
      <w:r>
        <w:t xml:space="preserve"> </w:t>
      </w:r>
      <w:r>
        <w:t xml:space="preserve">________________________________________</w:t>
      </w:r>
    </w:p>
    <w:p>
      <w:pPr>
        <w:pStyle w:val="Caratula"/>
      </w:pPr>
      <w:r>
        <w:rPr>
          <w:bCs/>
          <w:b/>
        </w:rPr>
        <w:t xml:space="preserve">Tutor:</w:t>
      </w:r>
      <w:r>
        <w:t xml:space="preserve"> </w:t>
      </w:r>
      <w:r>
        <w:t xml:space="preserve">________________________________________</w:t>
      </w:r>
    </w:p>
    <w:p>
      <w:pPr>
        <w:pStyle w:val="Caratula"/>
        <w:spacing w:before="873"/>
      </w:pPr>
      <w:r>
        <w:rPr>
          <w:bCs/>
          <w:b/>
        </w:rPr>
        <w:t xml:space="preserve">POTOSÍ – BOLIVIA</w:t>
      </w:r>
    </w:p>
    <w:p>
      <w:pPr>
        <w:pStyle w:val="Caratula"/>
        <w:sectPr>
          <w:pgSz w:h="15840" w:w="12240"/>
          <w:pgMar w:bottom="1440" w:footer="720" w:gutter="0" w:header="720" w:left="1440" w:right="1440" w:top="1440"/>
        </w:sectPr>
      </w:pPr>
      <w:r>
        <w:rPr>
          <w:bCs/>
          <w:b/>
        </w:rPr>
        <w:t xml:space="preserve">2026</w:t>
      </w:r>
    </w:p>
    <w:p>
      <w:pPr>
        <w:pStyle w:val="Heading1"/>
        <w:pageBreakBefore w:val="0"/>
      </w:pPr>
      <w:bookmarkStart w:id="20" w:name="tit1"/>
      <w:r>
        <w:t xml:space="preserve">Resumen</w:t>
      </w:r>
      <w:bookmarkEnd w:id="20"/>
    </w:p>
    <w:p>
      <w:pPr>
        <w:pStyle w:val="FirstParagraph"/>
        <w:ind w:firstLine="0"/>
      </w:pPr>
      <w:r>
        <w:t xml:space="preserve">Esta investigación diseñó un Sistema de Gestión de la Calidad (SGC) basado en la norma ISO 9001:2026, centrado en el control de materiales, para reducir el costo de ejecución de las losas alivianadas con viguetas pretensadas del Edificio de Posgrado de la Universidad Autónoma Tomás Frías, en Potosí. Como el contrato se resolvió tras la primera losa, el estudio, aplicado, cuantitativo y explicativo, siguió un diseño no experimental: reconstruyó la línea base documental de esa losa (1.109,84 m</w:t>
      </w:r>
      <w:r>
        <w:rPr>
          <w:vertAlign w:val="superscript"/>
        </w:rPr>
        <w:t xml:space="preserve">2</w:t>
      </w:r>
      <w:r>
        <w:t xml:space="preserve">) y evaluó el SGC</w:t>
      </w:r>
      <w:r>
        <w:t xml:space="preserve"> </w:t>
      </w:r>
      <w:r>
        <w:rPr>
          <w:iCs/>
          <w:i/>
        </w:rPr>
        <w:t xml:space="preserve">ex ante</w:t>
      </w:r>
      <w:r>
        <w:t xml:space="preserve"> </w:t>
      </w:r>
      <w:r>
        <w:t xml:space="preserve">con un modelo de costos y una simulación de Monte Carlo de 20.000 iteraciones sobre los 2.234,60 m</w:t>
      </w:r>
      <w:r>
        <w:rPr>
          <w:vertAlign w:val="superscript"/>
        </w:rPr>
        <w:t xml:space="preserve">2</w:t>
      </w:r>
      <w:r>
        <w:t xml:space="preserve"> </w:t>
      </w:r>
      <w:r>
        <w:t xml:space="preserve">restantes. El diagnóstico halló un cumplimiento del 19,8 % de los requisitos de la norma, 22 no conformidades, ninguna probeta de la losa, un exceso de plastoformo del 5,01 % y acero pagado un 16,75 % por encima del teórico, inconsistencia que debe conciliarse. El SGC comprende un plan de la calidad (ISO 10005), un plan de puntos de inspección, procedimientos de recepción, control y conciliación de materiales, la gestión de no conformidades y el registro de los costos de la calidad. La simulación estimó una reducción media del costo unitario del 1,47 %, una probabilidad de 0,9422 de que el costo disminuya y una reducción del costo de no calidad del 44,82 %; la probabilidad de alcanzar el 5 % fue de 0,0008. Se aceptaron las hipótesis específicas (menor desperdicio y menor costo de no calidad), pero no la general. Se diseñó, además, el instrumento para validar el SGC por juicio de expertos.</w:t>
      </w:r>
    </w:p>
    <w:p>
      <w:pPr>
        <w:pStyle w:val="BodyText"/>
      </w:pPr>
      <w:r>
        <w:rPr>
          <w:iCs/>
          <w:i/>
        </w:rPr>
        <w:t xml:space="preserve">Palabras clave:</w:t>
      </w:r>
      <w:r>
        <w:t xml:space="preserve"> </w:t>
      </w:r>
      <w:r>
        <w:t xml:space="preserve">gestión de la calidad, ISO 9001, control de materiales, desperdicio de materiales, costo de no calidad, simulación de Monte Carlo, losa alivianada, viguetas pretensadas</w:t>
      </w:r>
    </w:p>
    <w:p>
      <w:pPr>
        <w:pStyle w:val="Heading1"/>
      </w:pPr>
      <w:bookmarkStart w:id="21" w:name="tit2"/>
      <w:r>
        <w:t xml:space="preserve">Abstract</w:t>
      </w:r>
      <w:bookmarkEnd w:id="21"/>
    </w:p>
    <w:p>
      <w:pPr>
        <w:pStyle w:val="FirstParagraph"/>
        <w:ind w:firstLine="0"/>
      </w:pPr>
      <w:r>
        <w:t xml:space="preserve">This study designed an ISO 9001:2026-based Quality Management System (QMS), focused on material control, to reduce the construction cost of the lightweight slabs with prestressed joists of the Graduate School Building of Universidad Autónoma Tomás Frías in Potosí, Bolivia. Because the contract was terminated after the first slab had been built, the applied, quantitative and explanatory study followed a non-experimental design: it reconstructed the documentary baseline of that slab (1,109.84 m</w:t>
      </w:r>
      <w:r>
        <w:rPr>
          <w:vertAlign w:val="superscript"/>
        </w:rPr>
        <w:t xml:space="preserve">2</w:t>
      </w:r>
      <w:r>
        <w:t xml:space="preserve">) and evaluated the QMS</w:t>
      </w:r>
      <w:r>
        <w:t xml:space="preserve"> </w:t>
      </w:r>
      <w:r>
        <w:rPr>
          <w:iCs/>
          <w:i/>
        </w:rPr>
        <w:t xml:space="preserve">ex ante</w:t>
      </w:r>
      <w:r>
        <w:t xml:space="preserve"> </w:t>
      </w:r>
      <w:r>
        <w:t xml:space="preserve">with a cost model and a Monte Carlo simulation of 20,000 iterations over the remaining 2,234.60 m</w:t>
      </w:r>
      <w:r>
        <w:rPr>
          <w:vertAlign w:val="superscript"/>
        </w:rPr>
        <w:t xml:space="preserve">2</w:t>
      </w:r>
      <w:r>
        <w:t xml:space="preserve">. The diagnosis found 19.8% compliance with the standard’s requirements, 22 nonconformities, no concrete specimens taken from the slab, 5.01% more expanded polystyrene blocks than the theoretical quantity, and slab reinforcement paid 16.75% above the theoretical quantity, an inconsistency that must be reconciled. The QMS comprises an ISO 10005 quality plan, an inspection and test plan, procedures for material receipt, control and quantity reconciliation, nonconformity management, and quality cost recording. The simulation estimated a mean unit cost reduction of 1.47%, a probability of 0.9422 that the cost decreases, and a 44.82% reduction in the cost of poor quality; the probability of reaching the 5% target was 0.0008. The specific hypotheses (less material waste and lower cost of poor quality) were accepted, but the general hypothesis was not. An instrument for expert validation of the QMS was also designed.</w:t>
      </w:r>
    </w:p>
    <w:p>
      <w:pPr>
        <w:pStyle w:val="BodyText"/>
      </w:pPr>
      <w:r>
        <w:rPr>
          <w:iCs/>
          <w:i/>
        </w:rPr>
        <w:t xml:space="preserve">Keywords:</w:t>
      </w:r>
      <w:r>
        <w:t xml:space="preserve"> </w:t>
      </w:r>
      <w:r>
        <w:t xml:space="preserve">quality management, ISO 9001, material control, construction waste, cost of poor quality, Monte Carlo simulation, lightweight slab, prestressed joists</w:t>
      </w:r>
    </w:p>
    <w:p>
      <w:pPr>
        <w:pStyle w:val="TOCHeading"/>
      </w:pPr>
      <w:bookmarkStart w:id="1401" w:name="idxtoc"/>
      <w:r>
        <w:t xml:space="preserve">Índice general</w:t>
      </w:r>
      <w:bookmarkEnd w:id="1401"/>
    </w:p>
    <w:p>
      <w:pPr>
        <w:pStyle w:val="toc1"/>
      </w:pPr>
      <w:hyperlink w:anchor="tit1" w:history="1">
        <w:r>
          <w:t xml:space="preserve">Resumen</w:t>
        </w:r>
        <w:r>
          <w:tab/>
        </w:r>
        <w:r>
          <w:fldChar w:fldCharType="begin"/>
        </w:r>
        <w:r>
          <w:instrText xml:space="preserve"> PAGEREF tit1 \h \* roman </w:instrText>
        </w:r>
        <w:r>
          <w:fldChar w:fldCharType="separate"/>
        </w:r>
        <w:r>
          <w:t>i</w:t>
        </w:r>
        <w:r>
          <w:fldChar w:fldCharType="end"/>
        </w:r>
      </w:hyperlink>
    </w:p>
    <w:p>
      <w:pPr>
        <w:pStyle w:val="toc1"/>
      </w:pPr>
      <w:hyperlink w:anchor="tit2" w:history="1">
        <w:r>
          <w:t xml:space="preserve">Abstract</w:t>
        </w:r>
        <w:r>
          <w:tab/>
        </w:r>
        <w:r>
          <w:fldChar w:fldCharType="begin"/>
        </w:r>
        <w:r>
          <w:instrText xml:space="preserve"> PAGEREF tit2 \h \* roman </w:instrText>
        </w:r>
        <w:r>
          <w:fldChar w:fldCharType="separate"/>
        </w:r>
        <w:r>
          <w:t>ii</w:t>
        </w:r>
        <w:r>
          <w:fldChar w:fldCharType="end"/>
        </w:r>
      </w:hyperlink>
    </w:p>
    <w:p>
      <w:pPr>
        <w:pStyle w:val="toc1"/>
      </w:pPr>
      <w:hyperlink w:anchor="idxlot" w:history="1">
        <w:r>
          <w:t xml:space="preserve">Índice de tablas</w:t>
        </w:r>
        <w:r>
          <w:tab/>
        </w:r>
        <w:r>
          <w:fldChar w:fldCharType="begin"/>
        </w:r>
        <w:r>
          <w:instrText xml:space="preserve"> PAGEREF idxlot \h \* roman </w:instrText>
        </w:r>
        <w:r>
          <w:fldChar w:fldCharType="separate"/>
        </w:r>
        <w:r>
          <w:t>viii</w:t>
        </w:r>
        <w:r>
          <w:fldChar w:fldCharType="end"/>
        </w:r>
      </w:hyperlink>
    </w:p>
    <w:p>
      <w:pPr>
        <w:pStyle w:val="toc1"/>
      </w:pPr>
      <w:hyperlink w:anchor="idxlof" w:history="1">
        <w:r>
          <w:t xml:space="preserve">Índice de figuras</w:t>
        </w:r>
        <w:r>
          <w:tab/>
        </w:r>
        <w:r>
          <w:fldChar w:fldCharType="begin"/>
        </w:r>
        <w:r>
          <w:instrText xml:space="preserve"> PAGEREF idxlof \h \* roman </w:instrText>
        </w:r>
        <w:r>
          <w:fldChar w:fldCharType="separate"/>
        </w:r>
        <w:r>
          <w:t>x</w:t>
        </w:r>
        <w:r>
          <w:fldChar w:fldCharType="end"/>
        </w:r>
      </w:hyperlink>
    </w:p>
    <w:p>
      <w:pPr>
        <w:pStyle w:val="toc1"/>
      </w:pPr>
      <w:hyperlink w:anchor="tit3" w:history="1">
        <w:r>
          <w:t xml:space="preserve">Lista de abreviaturas y siglas</w:t>
        </w:r>
        <w:r>
          <w:tab/>
        </w:r>
        <w:r>
          <w:fldChar w:fldCharType="begin"/>
        </w:r>
        <w:r>
          <w:instrText xml:space="preserve"> PAGEREF tit3 \h \* roman </w:instrText>
        </w:r>
        <w:r>
          <w:fldChar w:fldCharType="separate"/>
        </w:r>
        <w:r>
          <w:t>xi</w:t>
        </w:r>
        <w:r>
          <w:fldChar w:fldCharType="end"/>
        </w:r>
      </w:hyperlink>
    </w:p>
    <w:p>
      <w:pPr>
        <w:pStyle w:val="toc1"/>
      </w:pPr>
      <w:hyperlink w:anchor="tit4" w:history="1">
        <w:r>
          <w:t xml:space="preserve">INTRODUCCIÓN</w:t>
        </w:r>
        <w:r>
          <w:tab/>
        </w:r>
        <w:r>
          <w:fldChar w:fldCharType="begin"/>
        </w:r>
        <w:r>
          <w:instrText xml:space="preserve"> PAGEREF tit4 \h </w:instrText>
        </w:r>
        <w:r>
          <w:fldChar w:fldCharType="separate"/>
        </w:r>
        <w:r>
          <w:t>1</w:t>
        </w:r>
        <w:r>
          <w:fldChar w:fldCharType="end"/>
        </w:r>
      </w:hyperlink>
    </w:p>
    <w:p>
      <w:pPr>
        <w:pStyle w:val="toc2"/>
      </w:pPr>
      <w:hyperlink w:anchor="tit5" w:history="1">
        <w:r>
          <w:t xml:space="preserve">1 Antecedentes</w:t>
        </w:r>
        <w:r>
          <w:tab/>
        </w:r>
        <w:r>
          <w:fldChar w:fldCharType="begin"/>
        </w:r>
        <w:r>
          <w:instrText xml:space="preserve"> PAGEREF tit5 \h </w:instrText>
        </w:r>
        <w:r>
          <w:fldChar w:fldCharType="separate"/>
        </w:r>
        <w:r>
          <w:t>1</w:t>
        </w:r>
        <w:r>
          <w:fldChar w:fldCharType="end"/>
        </w:r>
      </w:hyperlink>
    </w:p>
    <w:p>
      <w:pPr>
        <w:pStyle w:val="toc3"/>
      </w:pPr>
      <w:hyperlink w:anchor="tit6" w:history="1">
        <w:r>
          <w:t xml:space="preserve">1.1 Antecedentes generales</w:t>
        </w:r>
        <w:r>
          <w:tab/>
        </w:r>
        <w:r>
          <w:fldChar w:fldCharType="begin"/>
        </w:r>
        <w:r>
          <w:instrText xml:space="preserve"> PAGEREF tit6 \h </w:instrText>
        </w:r>
        <w:r>
          <w:fldChar w:fldCharType="separate"/>
        </w:r>
        <w:r>
          <w:t>1</w:t>
        </w:r>
        <w:r>
          <w:fldChar w:fldCharType="end"/>
        </w:r>
      </w:hyperlink>
    </w:p>
    <w:p>
      <w:pPr>
        <w:pStyle w:val="toc3"/>
      </w:pPr>
      <w:hyperlink w:anchor="tit7" w:history="1">
        <w:r>
          <w:t xml:space="preserve">1.2 Antecedentes de investigación</w:t>
        </w:r>
        <w:r>
          <w:tab/>
        </w:r>
        <w:r>
          <w:fldChar w:fldCharType="begin"/>
        </w:r>
        <w:r>
          <w:instrText xml:space="preserve"> PAGEREF tit7 \h </w:instrText>
        </w:r>
        <w:r>
          <w:fldChar w:fldCharType="separate"/>
        </w:r>
        <w:r>
          <w:t>2</w:t>
        </w:r>
        <w:r>
          <w:fldChar w:fldCharType="end"/>
        </w:r>
      </w:hyperlink>
    </w:p>
    <w:p>
      <w:pPr>
        <w:pStyle w:val="toc3"/>
      </w:pPr>
      <w:hyperlink w:anchor="tit8" w:history="1">
        <w:r>
          <w:t xml:space="preserve">1.3 Antecedentes del caso de estudio</w:t>
        </w:r>
        <w:r>
          <w:tab/>
        </w:r>
        <w:r>
          <w:fldChar w:fldCharType="begin"/>
        </w:r>
        <w:r>
          <w:instrText xml:space="preserve"> PAGEREF tit8 \h </w:instrText>
        </w:r>
        <w:r>
          <w:fldChar w:fldCharType="separate"/>
        </w:r>
        <w:r>
          <w:t>7</w:t>
        </w:r>
        <w:r>
          <w:fldChar w:fldCharType="end"/>
        </w:r>
      </w:hyperlink>
    </w:p>
    <w:p>
      <w:pPr>
        <w:pStyle w:val="toc2"/>
      </w:pPr>
      <w:hyperlink w:anchor="tit9" w:history="1">
        <w:r>
          <w:t xml:space="preserve">2 Situación problemática</w:t>
        </w:r>
        <w:r>
          <w:tab/>
        </w:r>
        <w:r>
          <w:fldChar w:fldCharType="begin"/>
        </w:r>
        <w:r>
          <w:instrText xml:space="preserve"> PAGEREF tit9 \h </w:instrText>
        </w:r>
        <w:r>
          <w:fldChar w:fldCharType="separate"/>
        </w:r>
        <w:r>
          <w:t>8</w:t>
        </w:r>
        <w:r>
          <w:fldChar w:fldCharType="end"/>
        </w:r>
      </w:hyperlink>
    </w:p>
    <w:p>
      <w:pPr>
        <w:pStyle w:val="toc2"/>
      </w:pPr>
      <w:hyperlink w:anchor="tit10" w:history="1">
        <w:r>
          <w:t xml:space="preserve">3 Formulación del problema</w:t>
        </w:r>
        <w:r>
          <w:tab/>
        </w:r>
        <w:r>
          <w:fldChar w:fldCharType="begin"/>
        </w:r>
        <w:r>
          <w:instrText xml:space="preserve"> PAGEREF tit10 \h </w:instrText>
        </w:r>
        <w:r>
          <w:fldChar w:fldCharType="separate"/>
        </w:r>
        <w:r>
          <w:t>14</w:t>
        </w:r>
        <w:r>
          <w:fldChar w:fldCharType="end"/>
        </w:r>
      </w:hyperlink>
    </w:p>
    <w:p>
      <w:pPr>
        <w:pStyle w:val="toc3"/>
      </w:pPr>
      <w:hyperlink w:anchor="tit11" w:history="1">
        <w:r>
          <w:t xml:space="preserve">3.1 Problema general</w:t>
        </w:r>
        <w:r>
          <w:tab/>
        </w:r>
        <w:r>
          <w:fldChar w:fldCharType="begin"/>
        </w:r>
        <w:r>
          <w:instrText xml:space="preserve"> PAGEREF tit11 \h </w:instrText>
        </w:r>
        <w:r>
          <w:fldChar w:fldCharType="separate"/>
        </w:r>
        <w:r>
          <w:t>14</w:t>
        </w:r>
        <w:r>
          <w:fldChar w:fldCharType="end"/>
        </w:r>
      </w:hyperlink>
    </w:p>
    <w:p>
      <w:pPr>
        <w:pStyle w:val="toc3"/>
      </w:pPr>
      <w:hyperlink w:anchor="tit12" w:history="1">
        <w:r>
          <w:t xml:space="preserve">3.2 Problemas específicos</w:t>
        </w:r>
        <w:r>
          <w:tab/>
        </w:r>
        <w:r>
          <w:fldChar w:fldCharType="begin"/>
        </w:r>
        <w:r>
          <w:instrText xml:space="preserve"> PAGEREF tit12 \h </w:instrText>
        </w:r>
        <w:r>
          <w:fldChar w:fldCharType="separate"/>
        </w:r>
        <w:r>
          <w:t>14</w:t>
        </w:r>
        <w:r>
          <w:fldChar w:fldCharType="end"/>
        </w:r>
      </w:hyperlink>
    </w:p>
    <w:p>
      <w:pPr>
        <w:pStyle w:val="toc2"/>
      </w:pPr>
      <w:hyperlink w:anchor="tit13" w:history="1">
        <w:r>
          <w:t xml:space="preserve">4 Objeto de estudio y campo de acción</w:t>
        </w:r>
        <w:r>
          <w:tab/>
        </w:r>
        <w:r>
          <w:fldChar w:fldCharType="begin"/>
        </w:r>
        <w:r>
          <w:instrText xml:space="preserve"> PAGEREF tit13 \h </w:instrText>
        </w:r>
        <w:r>
          <w:fldChar w:fldCharType="separate"/>
        </w:r>
        <w:r>
          <w:t>14</w:t>
        </w:r>
        <w:r>
          <w:fldChar w:fldCharType="end"/>
        </w:r>
      </w:hyperlink>
    </w:p>
    <w:p>
      <w:pPr>
        <w:pStyle w:val="toc2"/>
      </w:pPr>
      <w:hyperlink w:anchor="tit14" w:history="1">
        <w:r>
          <w:t xml:space="preserve">5 Objetivos</w:t>
        </w:r>
        <w:r>
          <w:tab/>
        </w:r>
        <w:r>
          <w:fldChar w:fldCharType="begin"/>
        </w:r>
        <w:r>
          <w:instrText xml:space="preserve"> PAGEREF tit14 \h </w:instrText>
        </w:r>
        <w:r>
          <w:fldChar w:fldCharType="separate"/>
        </w:r>
        <w:r>
          <w:t>15</w:t>
        </w:r>
        <w:r>
          <w:fldChar w:fldCharType="end"/>
        </w:r>
      </w:hyperlink>
    </w:p>
    <w:p>
      <w:pPr>
        <w:pStyle w:val="toc3"/>
      </w:pPr>
      <w:hyperlink w:anchor="tit15" w:history="1">
        <w:r>
          <w:t xml:space="preserve">5.1 Objetivo general</w:t>
        </w:r>
        <w:r>
          <w:tab/>
        </w:r>
        <w:r>
          <w:fldChar w:fldCharType="begin"/>
        </w:r>
        <w:r>
          <w:instrText xml:space="preserve"> PAGEREF tit15 \h </w:instrText>
        </w:r>
        <w:r>
          <w:fldChar w:fldCharType="separate"/>
        </w:r>
        <w:r>
          <w:t>15</w:t>
        </w:r>
        <w:r>
          <w:fldChar w:fldCharType="end"/>
        </w:r>
      </w:hyperlink>
    </w:p>
    <w:p>
      <w:pPr>
        <w:pStyle w:val="toc3"/>
      </w:pPr>
      <w:hyperlink w:anchor="tit16" w:history="1">
        <w:r>
          <w:t xml:space="preserve">5.2 Objetivos específicos</w:t>
        </w:r>
        <w:r>
          <w:tab/>
        </w:r>
        <w:r>
          <w:fldChar w:fldCharType="begin"/>
        </w:r>
        <w:r>
          <w:instrText xml:space="preserve"> PAGEREF tit16 \h </w:instrText>
        </w:r>
        <w:r>
          <w:fldChar w:fldCharType="separate"/>
        </w:r>
        <w:r>
          <w:t>15</w:t>
        </w:r>
        <w:r>
          <w:fldChar w:fldCharType="end"/>
        </w:r>
      </w:hyperlink>
    </w:p>
    <w:p>
      <w:pPr>
        <w:pStyle w:val="toc2"/>
      </w:pPr>
      <w:hyperlink w:anchor="tit17" w:history="1">
        <w:r>
          <w:t xml:space="preserve">6 Hipótesis</w:t>
        </w:r>
        <w:r>
          <w:tab/>
        </w:r>
        <w:r>
          <w:fldChar w:fldCharType="begin"/>
        </w:r>
        <w:r>
          <w:instrText xml:space="preserve"> PAGEREF tit17 \h </w:instrText>
        </w:r>
        <w:r>
          <w:fldChar w:fldCharType="separate"/>
        </w:r>
        <w:r>
          <w:t>16</w:t>
        </w:r>
        <w:r>
          <w:fldChar w:fldCharType="end"/>
        </w:r>
      </w:hyperlink>
    </w:p>
    <w:p>
      <w:pPr>
        <w:pStyle w:val="toc3"/>
      </w:pPr>
      <w:hyperlink w:anchor="tit18" w:history="1">
        <w:r>
          <w:t xml:space="preserve">6.1 Hipótesis general</w:t>
        </w:r>
        <w:r>
          <w:tab/>
        </w:r>
        <w:r>
          <w:fldChar w:fldCharType="begin"/>
        </w:r>
        <w:r>
          <w:instrText xml:space="preserve"> PAGEREF tit18 \h </w:instrText>
        </w:r>
        <w:r>
          <w:fldChar w:fldCharType="separate"/>
        </w:r>
        <w:r>
          <w:t>16</w:t>
        </w:r>
        <w:r>
          <w:fldChar w:fldCharType="end"/>
        </w:r>
      </w:hyperlink>
    </w:p>
    <w:p>
      <w:pPr>
        <w:pStyle w:val="toc3"/>
      </w:pPr>
      <w:hyperlink w:anchor="tit19" w:history="1">
        <w:r>
          <w:t xml:space="preserve">6.2 Hipótesis específicas</w:t>
        </w:r>
        <w:r>
          <w:tab/>
        </w:r>
        <w:r>
          <w:fldChar w:fldCharType="begin"/>
        </w:r>
        <w:r>
          <w:instrText xml:space="preserve"> PAGEREF tit19 \h </w:instrText>
        </w:r>
        <w:r>
          <w:fldChar w:fldCharType="separate"/>
        </w:r>
        <w:r>
          <w:t>16</w:t>
        </w:r>
        <w:r>
          <w:fldChar w:fldCharType="end"/>
        </w:r>
      </w:hyperlink>
    </w:p>
    <w:p>
      <w:pPr>
        <w:pStyle w:val="toc2"/>
      </w:pPr>
      <w:hyperlink w:anchor="tit20" w:history="1">
        <w:r>
          <w:t xml:space="preserve">7 Variables</w:t>
        </w:r>
        <w:r>
          <w:tab/>
        </w:r>
        <w:r>
          <w:fldChar w:fldCharType="begin"/>
        </w:r>
        <w:r>
          <w:instrText xml:space="preserve"> PAGEREF tit20 \h </w:instrText>
        </w:r>
        <w:r>
          <w:fldChar w:fldCharType="separate"/>
        </w:r>
        <w:r>
          <w:t>16</w:t>
        </w:r>
        <w:r>
          <w:fldChar w:fldCharType="end"/>
        </w:r>
      </w:hyperlink>
    </w:p>
    <w:p>
      <w:pPr>
        <w:pStyle w:val="toc3"/>
      </w:pPr>
      <w:hyperlink w:anchor="tit21" w:history="1">
        <w:r>
          <w:t xml:space="preserve">7.1 Identificación de variables</w:t>
        </w:r>
        <w:r>
          <w:tab/>
        </w:r>
        <w:r>
          <w:fldChar w:fldCharType="begin"/>
        </w:r>
        <w:r>
          <w:instrText xml:space="preserve"> PAGEREF tit21 \h </w:instrText>
        </w:r>
        <w:r>
          <w:fldChar w:fldCharType="separate"/>
        </w:r>
        <w:r>
          <w:t>16</w:t>
        </w:r>
        <w:r>
          <w:fldChar w:fldCharType="end"/>
        </w:r>
      </w:hyperlink>
    </w:p>
    <w:p>
      <w:pPr>
        <w:pStyle w:val="toc3"/>
      </w:pPr>
      <w:hyperlink w:anchor="tit22" w:history="1">
        <w:r>
          <w:t xml:space="preserve">7.2 Operacionalización de variables</w:t>
        </w:r>
        <w:r>
          <w:tab/>
        </w:r>
        <w:r>
          <w:fldChar w:fldCharType="begin"/>
        </w:r>
        <w:r>
          <w:instrText xml:space="preserve"> PAGEREF tit22 \h </w:instrText>
        </w:r>
        <w:r>
          <w:fldChar w:fldCharType="separate"/>
        </w:r>
        <w:r>
          <w:t>17</w:t>
        </w:r>
        <w:r>
          <w:fldChar w:fldCharType="end"/>
        </w:r>
      </w:hyperlink>
    </w:p>
    <w:p>
      <w:pPr>
        <w:pStyle w:val="toc2"/>
      </w:pPr>
      <w:hyperlink w:anchor="tit23" w:history="1">
        <w:r>
          <w:t xml:space="preserve">8 Justificación</w:t>
        </w:r>
        <w:r>
          <w:tab/>
        </w:r>
        <w:r>
          <w:fldChar w:fldCharType="begin"/>
        </w:r>
        <w:r>
          <w:instrText xml:space="preserve"> PAGEREF tit23 \h </w:instrText>
        </w:r>
        <w:r>
          <w:fldChar w:fldCharType="separate"/>
        </w:r>
        <w:r>
          <w:t>17</w:t>
        </w:r>
        <w:r>
          <w:fldChar w:fldCharType="end"/>
        </w:r>
      </w:hyperlink>
    </w:p>
    <w:p>
      <w:pPr>
        <w:pStyle w:val="toc3"/>
      </w:pPr>
      <w:hyperlink w:anchor="tit24" w:history="1">
        <w:r>
          <w:t xml:space="preserve">8.1 Justificación técnica</w:t>
        </w:r>
        <w:r>
          <w:tab/>
        </w:r>
        <w:r>
          <w:fldChar w:fldCharType="begin"/>
        </w:r>
        <w:r>
          <w:instrText xml:space="preserve"> PAGEREF tit24 \h </w:instrText>
        </w:r>
        <w:r>
          <w:fldChar w:fldCharType="separate"/>
        </w:r>
        <w:r>
          <w:t>17</w:t>
        </w:r>
        <w:r>
          <w:fldChar w:fldCharType="end"/>
        </w:r>
      </w:hyperlink>
    </w:p>
    <w:p>
      <w:pPr>
        <w:pStyle w:val="toc3"/>
      </w:pPr>
      <w:hyperlink w:anchor="tit25" w:history="1">
        <w:r>
          <w:t xml:space="preserve">8.2 Justificación económica</w:t>
        </w:r>
        <w:r>
          <w:tab/>
        </w:r>
        <w:r>
          <w:fldChar w:fldCharType="begin"/>
        </w:r>
        <w:r>
          <w:instrText xml:space="preserve"> PAGEREF tit25 \h </w:instrText>
        </w:r>
        <w:r>
          <w:fldChar w:fldCharType="separate"/>
        </w:r>
        <w:r>
          <w:t>18</w:t>
        </w:r>
        <w:r>
          <w:fldChar w:fldCharType="end"/>
        </w:r>
      </w:hyperlink>
    </w:p>
    <w:p>
      <w:pPr>
        <w:pStyle w:val="toc3"/>
      </w:pPr>
      <w:hyperlink w:anchor="tit26" w:history="1">
        <w:r>
          <w:t xml:space="preserve">8.3 Justificación social e institucional</w:t>
        </w:r>
        <w:r>
          <w:tab/>
        </w:r>
        <w:r>
          <w:fldChar w:fldCharType="begin"/>
        </w:r>
        <w:r>
          <w:instrText xml:space="preserve"> PAGEREF tit26 \h </w:instrText>
        </w:r>
        <w:r>
          <w:fldChar w:fldCharType="separate"/>
        </w:r>
        <w:r>
          <w:t>18</w:t>
        </w:r>
        <w:r>
          <w:fldChar w:fldCharType="end"/>
        </w:r>
      </w:hyperlink>
    </w:p>
    <w:p>
      <w:pPr>
        <w:pStyle w:val="toc3"/>
      </w:pPr>
      <w:hyperlink w:anchor="tit27" w:history="1">
        <w:r>
          <w:t xml:space="preserve">8.4 Justificación metodológica</w:t>
        </w:r>
        <w:r>
          <w:tab/>
        </w:r>
        <w:r>
          <w:fldChar w:fldCharType="begin"/>
        </w:r>
        <w:r>
          <w:instrText xml:space="preserve"> PAGEREF tit27 \h </w:instrText>
        </w:r>
        <w:r>
          <w:fldChar w:fldCharType="separate"/>
        </w:r>
        <w:r>
          <w:t>18</w:t>
        </w:r>
        <w:r>
          <w:fldChar w:fldCharType="end"/>
        </w:r>
      </w:hyperlink>
    </w:p>
    <w:p>
      <w:pPr>
        <w:pStyle w:val="toc2"/>
      </w:pPr>
      <w:hyperlink w:anchor="tit28" w:history="1">
        <w:r>
          <w:t xml:space="preserve">9 Alcances y delimitación</w:t>
        </w:r>
        <w:r>
          <w:tab/>
        </w:r>
        <w:r>
          <w:fldChar w:fldCharType="begin"/>
        </w:r>
        <w:r>
          <w:instrText xml:space="preserve"> PAGEREF tit28 \h </w:instrText>
        </w:r>
        <w:r>
          <w:fldChar w:fldCharType="separate"/>
        </w:r>
        <w:r>
          <w:t>19</w:t>
        </w:r>
        <w:r>
          <w:fldChar w:fldCharType="end"/>
        </w:r>
      </w:hyperlink>
    </w:p>
    <w:p>
      <w:pPr>
        <w:pStyle w:val="toc3"/>
      </w:pPr>
      <w:hyperlink w:anchor="tit29" w:history="1">
        <w:r>
          <w:t xml:space="preserve">9.1 Alcance</w:t>
        </w:r>
        <w:r>
          <w:tab/>
        </w:r>
        <w:r>
          <w:fldChar w:fldCharType="begin"/>
        </w:r>
        <w:r>
          <w:instrText xml:space="preserve"> PAGEREF tit29 \h </w:instrText>
        </w:r>
        <w:r>
          <w:fldChar w:fldCharType="separate"/>
        </w:r>
        <w:r>
          <w:t>19</w:t>
        </w:r>
        <w:r>
          <w:fldChar w:fldCharType="end"/>
        </w:r>
      </w:hyperlink>
    </w:p>
    <w:p>
      <w:pPr>
        <w:pStyle w:val="toc3"/>
      </w:pPr>
      <w:hyperlink w:anchor="tit30" w:history="1">
        <w:r>
          <w:t xml:space="preserve">9.2 Delimitación espacial</w:t>
        </w:r>
        <w:r>
          <w:tab/>
        </w:r>
        <w:r>
          <w:fldChar w:fldCharType="begin"/>
        </w:r>
        <w:r>
          <w:instrText xml:space="preserve"> PAGEREF tit30 \h </w:instrText>
        </w:r>
        <w:r>
          <w:fldChar w:fldCharType="separate"/>
        </w:r>
        <w:r>
          <w:t>19</w:t>
        </w:r>
        <w:r>
          <w:fldChar w:fldCharType="end"/>
        </w:r>
      </w:hyperlink>
    </w:p>
    <w:p>
      <w:pPr>
        <w:pStyle w:val="toc3"/>
      </w:pPr>
      <w:hyperlink w:anchor="tit31" w:history="1">
        <w:r>
          <w:t xml:space="preserve">9.3 Delimitación temporal</w:t>
        </w:r>
        <w:r>
          <w:tab/>
        </w:r>
        <w:r>
          <w:fldChar w:fldCharType="begin"/>
        </w:r>
        <w:r>
          <w:instrText xml:space="preserve"> PAGEREF tit31 \h </w:instrText>
        </w:r>
        <w:r>
          <w:fldChar w:fldCharType="separate"/>
        </w:r>
        <w:r>
          <w:t>19</w:t>
        </w:r>
        <w:r>
          <w:fldChar w:fldCharType="end"/>
        </w:r>
      </w:hyperlink>
    </w:p>
    <w:p>
      <w:pPr>
        <w:pStyle w:val="toc3"/>
      </w:pPr>
      <w:hyperlink w:anchor="tit32" w:history="1">
        <w:r>
          <w:t xml:space="preserve">9.4 Delimitación temática</w:t>
        </w:r>
        <w:r>
          <w:tab/>
        </w:r>
        <w:r>
          <w:fldChar w:fldCharType="begin"/>
        </w:r>
        <w:r>
          <w:instrText xml:space="preserve"> PAGEREF tit32 \h </w:instrText>
        </w:r>
        <w:r>
          <w:fldChar w:fldCharType="separate"/>
        </w:r>
        <w:r>
          <w:t>20</w:t>
        </w:r>
        <w:r>
          <w:fldChar w:fldCharType="end"/>
        </w:r>
      </w:hyperlink>
    </w:p>
    <w:p>
      <w:pPr>
        <w:pStyle w:val="toc2"/>
      </w:pPr>
      <w:hyperlink w:anchor="tit33" w:history="1">
        <w:r>
          <w:t xml:space="preserve">10 Metodología de la investigación</w:t>
        </w:r>
        <w:r>
          <w:tab/>
        </w:r>
        <w:r>
          <w:fldChar w:fldCharType="begin"/>
        </w:r>
        <w:r>
          <w:instrText xml:space="preserve"> PAGEREF tit33 \h </w:instrText>
        </w:r>
        <w:r>
          <w:fldChar w:fldCharType="separate"/>
        </w:r>
        <w:r>
          <w:t>20</w:t>
        </w:r>
        <w:r>
          <w:fldChar w:fldCharType="end"/>
        </w:r>
      </w:hyperlink>
    </w:p>
    <w:p>
      <w:pPr>
        <w:pStyle w:val="toc3"/>
      </w:pPr>
      <w:hyperlink w:anchor="tit34" w:history="1">
        <w:r>
          <w:t xml:space="preserve">10.1 Tipo, enfoque y nivel de investigación</w:t>
        </w:r>
        <w:r>
          <w:tab/>
        </w:r>
        <w:r>
          <w:fldChar w:fldCharType="begin"/>
        </w:r>
        <w:r>
          <w:instrText xml:space="preserve"> PAGEREF tit34 \h </w:instrText>
        </w:r>
        <w:r>
          <w:fldChar w:fldCharType="separate"/>
        </w:r>
        <w:r>
          <w:t>20</w:t>
        </w:r>
        <w:r>
          <w:fldChar w:fldCharType="end"/>
        </w:r>
      </w:hyperlink>
    </w:p>
    <w:p>
      <w:pPr>
        <w:pStyle w:val="toc3"/>
      </w:pPr>
      <w:hyperlink w:anchor="tit35" w:history="1">
        <w:r>
          <w:t xml:space="preserve">10.2 Diseño de investigación</w:t>
        </w:r>
        <w:r>
          <w:tab/>
        </w:r>
        <w:r>
          <w:fldChar w:fldCharType="begin"/>
        </w:r>
        <w:r>
          <w:instrText xml:space="preserve"> PAGEREF tit35 \h </w:instrText>
        </w:r>
        <w:r>
          <w:fldChar w:fldCharType="separate"/>
        </w:r>
        <w:r>
          <w:t>20</w:t>
        </w:r>
        <w:r>
          <w:fldChar w:fldCharType="end"/>
        </w:r>
      </w:hyperlink>
    </w:p>
    <w:p>
      <w:pPr>
        <w:pStyle w:val="toc3"/>
      </w:pPr>
      <w:hyperlink w:anchor="tit36" w:history="1">
        <w:r>
          <w:t xml:space="preserve">10.3 Población, unidad de análisis y muestra</w:t>
        </w:r>
        <w:r>
          <w:tab/>
        </w:r>
        <w:r>
          <w:fldChar w:fldCharType="begin"/>
        </w:r>
        <w:r>
          <w:instrText xml:space="preserve"> PAGEREF tit36 \h </w:instrText>
        </w:r>
        <w:r>
          <w:fldChar w:fldCharType="separate"/>
        </w:r>
        <w:r>
          <w:t>22</w:t>
        </w:r>
        <w:r>
          <w:fldChar w:fldCharType="end"/>
        </w:r>
      </w:hyperlink>
    </w:p>
    <w:p>
      <w:pPr>
        <w:pStyle w:val="toc3"/>
      </w:pPr>
      <w:hyperlink w:anchor="tit37" w:history="1">
        <w:r>
          <w:t xml:space="preserve">10.4 Métodos</w:t>
        </w:r>
        <w:r>
          <w:tab/>
        </w:r>
        <w:r>
          <w:fldChar w:fldCharType="begin"/>
        </w:r>
        <w:r>
          <w:instrText xml:space="preserve"> PAGEREF tit37 \h </w:instrText>
        </w:r>
        <w:r>
          <w:fldChar w:fldCharType="separate"/>
        </w:r>
        <w:r>
          <w:t>22</w:t>
        </w:r>
        <w:r>
          <w:fldChar w:fldCharType="end"/>
        </w:r>
      </w:hyperlink>
    </w:p>
    <w:p>
      <w:pPr>
        <w:pStyle w:val="toc3"/>
      </w:pPr>
      <w:hyperlink w:anchor="tit38" w:history="1">
        <w:r>
          <w:t xml:space="preserve">10.5 Técnicas e instrumentos de recolección de datos</w:t>
        </w:r>
        <w:r>
          <w:tab/>
        </w:r>
        <w:r>
          <w:fldChar w:fldCharType="begin"/>
        </w:r>
        <w:r>
          <w:instrText xml:space="preserve"> PAGEREF tit38 \h </w:instrText>
        </w:r>
        <w:r>
          <w:fldChar w:fldCharType="separate"/>
        </w:r>
        <w:r>
          <w:t>22</w:t>
        </w:r>
        <w:r>
          <w:fldChar w:fldCharType="end"/>
        </w:r>
      </w:hyperlink>
    </w:p>
    <w:p>
      <w:pPr>
        <w:pStyle w:val="toc3"/>
      </w:pPr>
      <w:hyperlink w:anchor="tit39" w:history="1">
        <w:r>
          <w:t xml:space="preserve">10.6 Procesamiento y análisis de datos</w:t>
        </w:r>
        <w:r>
          <w:tab/>
        </w:r>
        <w:r>
          <w:fldChar w:fldCharType="begin"/>
        </w:r>
        <w:r>
          <w:instrText xml:space="preserve"> PAGEREF tit39 \h </w:instrText>
        </w:r>
        <w:r>
          <w:fldChar w:fldCharType="separate"/>
        </w:r>
        <w:r>
          <w:t>23</w:t>
        </w:r>
        <w:r>
          <w:fldChar w:fldCharType="end"/>
        </w:r>
      </w:hyperlink>
    </w:p>
    <w:p>
      <w:pPr>
        <w:pStyle w:val="toc2"/>
      </w:pPr>
      <w:hyperlink w:anchor="tit40" w:history="1">
        <w:r>
          <w:t xml:space="preserve">11 Estructura del documento</w:t>
        </w:r>
        <w:r>
          <w:tab/>
        </w:r>
        <w:r>
          <w:fldChar w:fldCharType="begin"/>
        </w:r>
        <w:r>
          <w:instrText xml:space="preserve"> PAGEREF tit40 \h </w:instrText>
        </w:r>
        <w:r>
          <w:fldChar w:fldCharType="separate"/>
        </w:r>
        <w:r>
          <w:t>24</w:t>
        </w:r>
        <w:r>
          <w:fldChar w:fldCharType="end"/>
        </w:r>
      </w:hyperlink>
    </w:p>
    <w:p>
      <w:pPr>
        <w:pStyle w:val="toc1"/>
      </w:pPr>
      <w:hyperlink w:anchor="tit41" w:history="1">
        <w:r>
          <w:t xml:space="preserve">Capítulo 1. MARCO TEÓRICO DE LA GESTIÓN DE LA CALIDAD Y DEL CONTROL DE MATERIALES EN LOSAS ALIVIANADAS CON VIGUETAS PRETENSADAS</w:t>
        </w:r>
        <w:r>
          <w:tab/>
        </w:r>
        <w:r>
          <w:fldChar w:fldCharType="begin"/>
        </w:r>
        <w:r>
          <w:instrText xml:space="preserve"> PAGEREF tit41 \h </w:instrText>
        </w:r>
        <w:r>
          <w:fldChar w:fldCharType="separate"/>
        </w:r>
        <w:r>
          <w:t>26</w:t>
        </w:r>
        <w:r>
          <w:fldChar w:fldCharType="end"/>
        </w:r>
      </w:hyperlink>
    </w:p>
    <w:p>
      <w:pPr>
        <w:pStyle w:val="toc2"/>
      </w:pPr>
      <w:hyperlink w:anchor="tit42" w:history="1">
        <w:r>
          <w:t xml:space="preserve">1.1 Estado del arte</w:t>
        </w:r>
        <w:r>
          <w:tab/>
        </w:r>
        <w:r>
          <w:fldChar w:fldCharType="begin"/>
        </w:r>
        <w:r>
          <w:instrText xml:space="preserve"> PAGEREF tit42 \h </w:instrText>
        </w:r>
        <w:r>
          <w:fldChar w:fldCharType="separate"/>
        </w:r>
        <w:r>
          <w:t>26</w:t>
        </w:r>
        <w:r>
          <w:fldChar w:fldCharType="end"/>
        </w:r>
      </w:hyperlink>
    </w:p>
    <w:p>
      <w:pPr>
        <w:pStyle w:val="toc3"/>
      </w:pPr>
      <w:hyperlink w:anchor="tit43" w:history="1">
        <w:r>
          <w:t xml:space="preserve">1.1.1 Calidad, retrabajo y costos de la calidad en la construcción</w:t>
        </w:r>
        <w:r>
          <w:tab/>
        </w:r>
        <w:r>
          <w:fldChar w:fldCharType="begin"/>
        </w:r>
        <w:r>
          <w:instrText xml:space="preserve"> PAGEREF tit43 \h </w:instrText>
        </w:r>
        <w:r>
          <w:fldChar w:fldCharType="separate"/>
        </w:r>
        <w:r>
          <w:t>29</w:t>
        </w:r>
        <w:r>
          <w:fldChar w:fldCharType="end"/>
        </w:r>
      </w:hyperlink>
    </w:p>
    <w:p>
      <w:pPr>
        <w:pStyle w:val="toc3"/>
      </w:pPr>
      <w:hyperlink w:anchor="tit44" w:history="1">
        <w:r>
          <w:t xml:space="preserve">1.1.2 Desperdicio de materiales y su medición</w:t>
        </w:r>
        <w:r>
          <w:tab/>
        </w:r>
        <w:r>
          <w:fldChar w:fldCharType="begin"/>
        </w:r>
        <w:r>
          <w:instrText xml:space="preserve"> PAGEREF tit44 \h </w:instrText>
        </w:r>
        <w:r>
          <w:fldChar w:fldCharType="separate"/>
        </w:r>
        <w:r>
          <w:t>30</w:t>
        </w:r>
        <w:r>
          <w:fldChar w:fldCharType="end"/>
        </w:r>
      </w:hyperlink>
    </w:p>
    <w:p>
      <w:pPr>
        <w:pStyle w:val="toc3"/>
      </w:pPr>
      <w:hyperlink w:anchor="tit45" w:history="1">
        <w:r>
          <w:t xml:space="preserve">1.1.3 Sistemas y planes de gestión de la calidad en obras y en fabricantes de viguetas</w:t>
        </w:r>
        <w:r>
          <w:tab/>
        </w:r>
        <w:r>
          <w:fldChar w:fldCharType="begin"/>
        </w:r>
        <w:r>
          <w:instrText xml:space="preserve"> PAGEREF tit45 \h </w:instrText>
        </w:r>
        <w:r>
          <w:fldChar w:fldCharType="separate"/>
        </w:r>
        <w:r>
          <w:t>30</w:t>
        </w:r>
        <w:r>
          <w:fldChar w:fldCharType="end"/>
        </w:r>
      </w:hyperlink>
    </w:p>
    <w:p>
      <w:pPr>
        <w:pStyle w:val="toc3"/>
      </w:pPr>
      <w:hyperlink w:anchor="tit46" w:history="1">
        <w:r>
          <w:t xml:space="preserve">1.1.4 Losas alivianadas con viguetas pretensadas</w:t>
        </w:r>
        <w:r>
          <w:tab/>
        </w:r>
        <w:r>
          <w:fldChar w:fldCharType="begin"/>
        </w:r>
        <w:r>
          <w:instrText xml:space="preserve"> PAGEREF tit46 \h </w:instrText>
        </w:r>
        <w:r>
          <w:fldChar w:fldCharType="separate"/>
        </w:r>
        <w:r>
          <w:t>31</w:t>
        </w:r>
        <w:r>
          <w:fldChar w:fldCharType="end"/>
        </w:r>
      </w:hyperlink>
    </w:p>
    <w:p>
      <w:pPr>
        <w:pStyle w:val="toc3"/>
      </w:pPr>
      <w:hyperlink w:anchor="tit47" w:history="1">
        <w:r>
          <w:t xml:space="preserve">1.1.5 Vacío de conocimiento</w:t>
        </w:r>
        <w:r>
          <w:tab/>
        </w:r>
        <w:r>
          <w:fldChar w:fldCharType="begin"/>
        </w:r>
        <w:r>
          <w:instrText xml:space="preserve"> PAGEREF tit47 \h </w:instrText>
        </w:r>
        <w:r>
          <w:fldChar w:fldCharType="separate"/>
        </w:r>
        <w:r>
          <w:t>32</w:t>
        </w:r>
        <w:r>
          <w:fldChar w:fldCharType="end"/>
        </w:r>
      </w:hyperlink>
    </w:p>
    <w:p>
      <w:pPr>
        <w:pStyle w:val="toc2"/>
      </w:pPr>
      <w:hyperlink w:anchor="tit48" w:history="1">
        <w:r>
          <w:t xml:space="preserve">1.2 La calidad en la construcción</w:t>
        </w:r>
        <w:r>
          <w:tab/>
        </w:r>
        <w:r>
          <w:fldChar w:fldCharType="begin"/>
        </w:r>
        <w:r>
          <w:instrText xml:space="preserve"> PAGEREF tit48 \h </w:instrText>
        </w:r>
        <w:r>
          <w:fldChar w:fldCharType="separate"/>
        </w:r>
        <w:r>
          <w:t>33</w:t>
        </w:r>
        <w:r>
          <w:fldChar w:fldCharType="end"/>
        </w:r>
      </w:hyperlink>
    </w:p>
    <w:p>
      <w:pPr>
        <w:pStyle w:val="toc3"/>
      </w:pPr>
      <w:hyperlink w:anchor="tit49" w:history="1">
        <w:r>
          <w:t xml:space="preserve">1.2.1 Conceptos de calidad, control, aseguramiento y gestión de la calidad</w:t>
        </w:r>
        <w:r>
          <w:tab/>
        </w:r>
        <w:r>
          <w:fldChar w:fldCharType="begin"/>
        </w:r>
        <w:r>
          <w:instrText xml:space="preserve"> PAGEREF tit49 \h </w:instrText>
        </w:r>
        <w:r>
          <w:fldChar w:fldCharType="separate"/>
        </w:r>
        <w:r>
          <w:t>33</w:t>
        </w:r>
        <w:r>
          <w:fldChar w:fldCharType="end"/>
        </w:r>
      </w:hyperlink>
    </w:p>
    <w:p>
      <w:pPr>
        <w:pStyle w:val="toc3"/>
      </w:pPr>
      <w:hyperlink w:anchor="tit50" w:history="1">
        <w:r>
          <w:t xml:space="preserve">1.2.2 Evolución del enfoque de la calidad</w:t>
        </w:r>
        <w:r>
          <w:tab/>
        </w:r>
        <w:r>
          <w:fldChar w:fldCharType="begin"/>
        </w:r>
        <w:r>
          <w:instrText xml:space="preserve"> PAGEREF tit50 \h </w:instrText>
        </w:r>
        <w:r>
          <w:fldChar w:fldCharType="separate"/>
        </w:r>
        <w:r>
          <w:t>34</w:t>
        </w:r>
        <w:r>
          <w:fldChar w:fldCharType="end"/>
        </w:r>
      </w:hyperlink>
    </w:p>
    <w:p>
      <w:pPr>
        <w:pStyle w:val="toc3"/>
      </w:pPr>
      <w:hyperlink w:anchor="tit51" w:history="1">
        <w:r>
          <w:t xml:space="preserve">1.2.3 Principios de la gestión de la calidad</w:t>
        </w:r>
        <w:r>
          <w:tab/>
        </w:r>
        <w:r>
          <w:fldChar w:fldCharType="begin"/>
        </w:r>
        <w:r>
          <w:instrText xml:space="preserve"> PAGEREF tit51 \h </w:instrText>
        </w:r>
        <w:r>
          <w:fldChar w:fldCharType="separate"/>
        </w:r>
        <w:r>
          <w:t>35</w:t>
        </w:r>
        <w:r>
          <w:fldChar w:fldCharType="end"/>
        </w:r>
      </w:hyperlink>
    </w:p>
    <w:p>
      <w:pPr>
        <w:pStyle w:val="toc2"/>
      </w:pPr>
      <w:hyperlink w:anchor="tit52" w:history="1">
        <w:r>
          <w:t xml:space="preserve">1.3 Sistema de gestión de la calidad según la norma ISO 9001:2026</w:t>
        </w:r>
        <w:r>
          <w:tab/>
        </w:r>
        <w:r>
          <w:fldChar w:fldCharType="begin"/>
        </w:r>
        <w:r>
          <w:instrText xml:space="preserve"> PAGEREF tit52 \h </w:instrText>
        </w:r>
        <w:r>
          <w:fldChar w:fldCharType="separate"/>
        </w:r>
        <w:r>
          <w:t>36</w:t>
        </w:r>
        <w:r>
          <w:fldChar w:fldCharType="end"/>
        </w:r>
      </w:hyperlink>
    </w:p>
    <w:p>
      <w:pPr>
        <w:pStyle w:val="toc3"/>
      </w:pPr>
      <w:hyperlink w:anchor="tit53" w:history="1">
        <w:r>
          <w:t xml:space="preserve">1.3.1 Estructura de la norma y ciclo PHVA</w:t>
        </w:r>
        <w:r>
          <w:tab/>
        </w:r>
        <w:r>
          <w:fldChar w:fldCharType="begin"/>
        </w:r>
        <w:r>
          <w:instrText xml:space="preserve"> PAGEREF tit53 \h </w:instrText>
        </w:r>
        <w:r>
          <w:fldChar w:fldCharType="separate"/>
        </w:r>
        <w:r>
          <w:t>36</w:t>
        </w:r>
        <w:r>
          <w:fldChar w:fldCharType="end"/>
        </w:r>
      </w:hyperlink>
    </w:p>
    <w:p>
      <w:pPr>
        <w:pStyle w:val="toc3"/>
      </w:pPr>
      <w:hyperlink w:anchor="tit54" w:history="1">
        <w:r>
          <w:t xml:space="preserve">1.3.2 Pensamiento basado en riesgos</w:t>
        </w:r>
        <w:r>
          <w:tab/>
        </w:r>
        <w:r>
          <w:fldChar w:fldCharType="begin"/>
        </w:r>
        <w:r>
          <w:instrText xml:space="preserve"> PAGEREF tit54 \h </w:instrText>
        </w:r>
        <w:r>
          <w:fldChar w:fldCharType="separate"/>
        </w:r>
        <w:r>
          <w:t>38</w:t>
        </w:r>
        <w:r>
          <w:fldChar w:fldCharType="end"/>
        </w:r>
      </w:hyperlink>
    </w:p>
    <w:p>
      <w:pPr>
        <w:pStyle w:val="toc3"/>
      </w:pPr>
      <w:hyperlink w:anchor="tit55" w:history="1">
        <w:r>
          <w:t xml:space="preserve">1.3.3 Novedades de la edición 2026</w:t>
        </w:r>
        <w:r>
          <w:tab/>
        </w:r>
        <w:r>
          <w:fldChar w:fldCharType="begin"/>
        </w:r>
        <w:r>
          <w:instrText xml:space="preserve"> PAGEREF tit55 \h </w:instrText>
        </w:r>
        <w:r>
          <w:fldChar w:fldCharType="separate"/>
        </w:r>
        <w:r>
          <w:t>39</w:t>
        </w:r>
        <w:r>
          <w:fldChar w:fldCharType="end"/>
        </w:r>
      </w:hyperlink>
    </w:p>
    <w:p>
      <w:pPr>
        <w:pStyle w:val="toc3"/>
      </w:pPr>
      <w:hyperlink w:anchor="tit56" w:history="1">
        <w:r>
          <w:t xml:space="preserve">1.3.4 Planes de la calidad según la norma ISO 10005:2018</w:t>
        </w:r>
        <w:r>
          <w:tab/>
        </w:r>
        <w:r>
          <w:fldChar w:fldCharType="begin"/>
        </w:r>
        <w:r>
          <w:instrText xml:space="preserve"> PAGEREF tit56 \h </w:instrText>
        </w:r>
        <w:r>
          <w:fldChar w:fldCharType="separate"/>
        </w:r>
        <w:r>
          <w:t>40</w:t>
        </w:r>
        <w:r>
          <w:fldChar w:fldCharType="end"/>
        </w:r>
      </w:hyperlink>
    </w:p>
    <w:p>
      <w:pPr>
        <w:pStyle w:val="toc3"/>
      </w:pPr>
      <w:hyperlink w:anchor="tit57" w:history="1">
        <w:r>
          <w:t xml:space="preserve">1.3.5 Gestión de la calidad en proyectos según la norma ISO 10006:2017</w:t>
        </w:r>
        <w:r>
          <w:tab/>
        </w:r>
        <w:r>
          <w:fldChar w:fldCharType="begin"/>
        </w:r>
        <w:r>
          <w:instrText xml:space="preserve"> PAGEREF tit57 \h </w:instrText>
        </w:r>
        <w:r>
          <w:fldChar w:fldCharType="separate"/>
        </w:r>
        <w:r>
          <w:t>41</w:t>
        </w:r>
        <w:r>
          <w:fldChar w:fldCharType="end"/>
        </w:r>
      </w:hyperlink>
    </w:p>
    <w:p>
      <w:pPr>
        <w:pStyle w:val="toc3"/>
      </w:pPr>
      <w:hyperlink w:anchor="tit58" w:history="1">
        <w:r>
          <w:t xml:space="preserve">1.3.6 Evidencia empírica sobre ISO 9001 en la construcción</w:t>
        </w:r>
        <w:r>
          <w:tab/>
        </w:r>
        <w:r>
          <w:fldChar w:fldCharType="begin"/>
        </w:r>
        <w:r>
          <w:instrText xml:space="preserve"> PAGEREF tit58 \h </w:instrText>
        </w:r>
        <w:r>
          <w:fldChar w:fldCharType="separate"/>
        </w:r>
        <w:r>
          <w:t>41</w:t>
        </w:r>
        <w:r>
          <w:fldChar w:fldCharType="end"/>
        </w:r>
      </w:hyperlink>
    </w:p>
    <w:p>
      <w:pPr>
        <w:pStyle w:val="toc2"/>
      </w:pPr>
      <w:hyperlink w:anchor="tit59" w:history="1">
        <w:r>
          <w:t xml:space="preserve">1.4 Costos de la calidad</w:t>
        </w:r>
        <w:r>
          <w:tab/>
        </w:r>
        <w:r>
          <w:fldChar w:fldCharType="begin"/>
        </w:r>
        <w:r>
          <w:instrText xml:space="preserve"> PAGEREF tit59 \h </w:instrText>
        </w:r>
        <w:r>
          <w:fldChar w:fldCharType="separate"/>
        </w:r>
        <w:r>
          <w:t>42</w:t>
        </w:r>
        <w:r>
          <w:fldChar w:fldCharType="end"/>
        </w:r>
      </w:hyperlink>
    </w:p>
    <w:p>
      <w:pPr>
        <w:pStyle w:val="toc3"/>
      </w:pPr>
      <w:hyperlink w:anchor="tit60" w:history="1">
        <w:r>
          <w:t xml:space="preserve">1.4.1 Modelo de prevención, evaluación y fallas</w:t>
        </w:r>
        <w:r>
          <w:tab/>
        </w:r>
        <w:r>
          <w:fldChar w:fldCharType="begin"/>
        </w:r>
        <w:r>
          <w:instrText xml:space="preserve"> PAGEREF tit60 \h </w:instrText>
        </w:r>
        <w:r>
          <w:fldChar w:fldCharType="separate"/>
        </w:r>
        <w:r>
          <w:t>42</w:t>
        </w:r>
        <w:r>
          <w:fldChar w:fldCharType="end"/>
        </w:r>
      </w:hyperlink>
    </w:p>
    <w:p>
      <w:pPr>
        <w:pStyle w:val="toc3"/>
      </w:pPr>
      <w:hyperlink w:anchor="tit61" w:history="1">
        <w:r>
          <w:t xml:space="preserve">1.4.2 Costo de no calidad y retrabajo</w:t>
        </w:r>
        <w:r>
          <w:tab/>
        </w:r>
        <w:r>
          <w:fldChar w:fldCharType="begin"/>
        </w:r>
        <w:r>
          <w:instrText xml:space="preserve"> PAGEREF tit61 \h </w:instrText>
        </w:r>
        <w:r>
          <w:fldChar w:fldCharType="separate"/>
        </w:r>
        <w:r>
          <w:t>45</w:t>
        </w:r>
        <w:r>
          <w:fldChar w:fldCharType="end"/>
        </w:r>
      </w:hyperlink>
    </w:p>
    <w:p>
      <w:pPr>
        <w:pStyle w:val="toc2"/>
      </w:pPr>
      <w:hyperlink w:anchor="tit62" w:history="1">
        <w:r>
          <w:t xml:space="preserve">1.5 Pérdidas y desperdicio de materiales en la construcción</w:t>
        </w:r>
        <w:r>
          <w:tab/>
        </w:r>
        <w:r>
          <w:fldChar w:fldCharType="begin"/>
        </w:r>
        <w:r>
          <w:instrText xml:space="preserve"> PAGEREF tit62 \h </w:instrText>
        </w:r>
        <w:r>
          <w:fldChar w:fldCharType="separate"/>
        </w:r>
        <w:r>
          <w:t>47</w:t>
        </w:r>
        <w:r>
          <w:fldChar w:fldCharType="end"/>
        </w:r>
      </w:hyperlink>
    </w:p>
    <w:p>
      <w:pPr>
        <w:pStyle w:val="toc3"/>
      </w:pPr>
      <w:hyperlink w:anchor="tit63" w:history="1">
        <w:r>
          <w:t xml:space="preserve">1.5.1 La nueva filosofía de producción y la construcción sin pérdidas</w:t>
        </w:r>
        <w:r>
          <w:tab/>
        </w:r>
        <w:r>
          <w:fldChar w:fldCharType="begin"/>
        </w:r>
        <w:r>
          <w:instrText xml:space="preserve"> PAGEREF tit63 \h </w:instrText>
        </w:r>
        <w:r>
          <w:fldChar w:fldCharType="separate"/>
        </w:r>
        <w:r>
          <w:t>47</w:t>
        </w:r>
        <w:r>
          <w:fldChar w:fldCharType="end"/>
        </w:r>
      </w:hyperlink>
    </w:p>
    <w:p>
      <w:pPr>
        <w:pStyle w:val="toc3"/>
      </w:pPr>
      <w:hyperlink w:anchor="tit64" w:history="1">
        <w:r>
          <w:t xml:space="preserve">1.5.2 Clasificación y causas de las pérdidas</w:t>
        </w:r>
        <w:r>
          <w:tab/>
        </w:r>
        <w:r>
          <w:fldChar w:fldCharType="begin"/>
        </w:r>
        <w:r>
          <w:instrText xml:space="preserve"> PAGEREF tit64 \h </w:instrText>
        </w:r>
        <w:r>
          <w:fldChar w:fldCharType="separate"/>
        </w:r>
        <w:r>
          <w:t>48</w:t>
        </w:r>
        <w:r>
          <w:fldChar w:fldCharType="end"/>
        </w:r>
      </w:hyperlink>
    </w:p>
    <w:p>
      <w:pPr>
        <w:pStyle w:val="toc3"/>
      </w:pPr>
      <w:hyperlink w:anchor="tit65" w:history="1">
        <w:r>
          <w:t xml:space="preserve">1.5.3 Medición del desperdicio y valores de referencia</w:t>
        </w:r>
        <w:r>
          <w:tab/>
        </w:r>
        <w:r>
          <w:fldChar w:fldCharType="begin"/>
        </w:r>
        <w:r>
          <w:instrText xml:space="preserve"> PAGEREF tit65 \h </w:instrText>
        </w:r>
        <w:r>
          <w:fldChar w:fldCharType="separate"/>
        </w:r>
        <w:r>
          <w:t>49</w:t>
        </w:r>
        <w:r>
          <w:fldChar w:fldCharType="end"/>
        </w:r>
      </w:hyperlink>
    </w:p>
    <w:p>
      <w:pPr>
        <w:pStyle w:val="toc2"/>
      </w:pPr>
      <w:hyperlink w:anchor="tit66" w:history="1">
        <w:r>
          <w:t xml:space="preserve">1.6 Losas alivianadas con viguetas pretensadas y complemento de plastoformo</w:t>
        </w:r>
        <w:r>
          <w:tab/>
        </w:r>
        <w:r>
          <w:fldChar w:fldCharType="begin"/>
        </w:r>
        <w:r>
          <w:instrText xml:space="preserve"> PAGEREF tit66 \h </w:instrText>
        </w:r>
        <w:r>
          <w:fldChar w:fldCharType="separate"/>
        </w:r>
        <w:r>
          <w:t>51</w:t>
        </w:r>
        <w:r>
          <w:fldChar w:fldCharType="end"/>
        </w:r>
      </w:hyperlink>
    </w:p>
    <w:p>
      <w:pPr>
        <w:pStyle w:val="toc3"/>
      </w:pPr>
      <w:hyperlink w:anchor="tit67" w:history="1">
        <w:r>
          <w:t xml:space="preserve">1.6.1 Descripción del sistema y de sus componentes</w:t>
        </w:r>
        <w:r>
          <w:tab/>
        </w:r>
        <w:r>
          <w:fldChar w:fldCharType="begin"/>
        </w:r>
        <w:r>
          <w:instrText xml:space="preserve"> PAGEREF tit67 \h </w:instrText>
        </w:r>
        <w:r>
          <w:fldChar w:fldCharType="separate"/>
        </w:r>
        <w:r>
          <w:t>51</w:t>
        </w:r>
        <w:r>
          <w:fldChar w:fldCharType="end"/>
        </w:r>
      </w:hyperlink>
    </w:p>
    <w:p>
      <w:pPr>
        <w:pStyle w:val="toc3"/>
      </w:pPr>
      <w:hyperlink w:anchor="tit68" w:history="1">
        <w:r>
          <w:t xml:space="preserve">1.6.2 Proceso constructivo y puntos críticos de calidad</w:t>
        </w:r>
        <w:r>
          <w:tab/>
        </w:r>
        <w:r>
          <w:fldChar w:fldCharType="begin"/>
        </w:r>
        <w:r>
          <w:instrText xml:space="preserve"> PAGEREF tit68 \h </w:instrText>
        </w:r>
        <w:r>
          <w:fldChar w:fldCharType="separate"/>
        </w:r>
        <w:r>
          <w:t>54</w:t>
        </w:r>
        <w:r>
          <w:fldChar w:fldCharType="end"/>
        </w:r>
      </w:hyperlink>
    </w:p>
    <w:p>
      <w:pPr>
        <w:pStyle w:val="toc3"/>
      </w:pPr>
      <w:hyperlink w:anchor="tit69" w:history="1">
        <w:r>
          <w:t xml:space="preserve">1.6.3 Consumos teóricos de materiales por metro cuadrado</w:t>
        </w:r>
        <w:r>
          <w:tab/>
        </w:r>
        <w:r>
          <w:fldChar w:fldCharType="begin"/>
        </w:r>
        <w:r>
          <w:instrText xml:space="preserve"> PAGEREF tit69 \h </w:instrText>
        </w:r>
        <w:r>
          <w:fldChar w:fldCharType="separate"/>
        </w:r>
        <w:r>
          <w:t>56</w:t>
        </w:r>
        <w:r>
          <w:fldChar w:fldCharType="end"/>
        </w:r>
      </w:hyperlink>
    </w:p>
    <w:p>
      <w:pPr>
        <w:pStyle w:val="toc3"/>
      </w:pPr>
      <w:hyperlink w:anchor="tit70" w:history="1">
        <w:r>
          <w:t xml:space="preserve">1.6.4 Defectos frecuentes y su prevención</w:t>
        </w:r>
        <w:r>
          <w:tab/>
        </w:r>
        <w:r>
          <w:fldChar w:fldCharType="begin"/>
        </w:r>
        <w:r>
          <w:instrText xml:space="preserve"> PAGEREF tit70 \h </w:instrText>
        </w:r>
        <w:r>
          <w:fldChar w:fldCharType="separate"/>
        </w:r>
        <w:r>
          <w:t>58</w:t>
        </w:r>
        <w:r>
          <w:fldChar w:fldCharType="end"/>
        </w:r>
      </w:hyperlink>
    </w:p>
    <w:p>
      <w:pPr>
        <w:pStyle w:val="toc2"/>
      </w:pPr>
      <w:hyperlink w:anchor="tit71" w:history="1">
        <w:r>
          <w:t xml:space="preserve">1.7 Marco normativo</w:t>
        </w:r>
        <w:r>
          <w:tab/>
        </w:r>
        <w:r>
          <w:fldChar w:fldCharType="begin"/>
        </w:r>
        <w:r>
          <w:instrText xml:space="preserve"> PAGEREF tit71 \h </w:instrText>
        </w:r>
        <w:r>
          <w:fldChar w:fldCharType="separate"/>
        </w:r>
        <w:r>
          <w:t>60</w:t>
        </w:r>
        <w:r>
          <w:fldChar w:fldCharType="end"/>
        </w:r>
      </w:hyperlink>
    </w:p>
    <w:p>
      <w:pPr>
        <w:pStyle w:val="toc3"/>
      </w:pPr>
      <w:hyperlink w:anchor="tit72" w:history="1">
        <w:r>
          <w:t xml:space="preserve">1.7.1 Normas de gestión de la calidad</w:t>
        </w:r>
        <w:r>
          <w:tab/>
        </w:r>
        <w:r>
          <w:fldChar w:fldCharType="begin"/>
        </w:r>
        <w:r>
          <w:instrText xml:space="preserve"> PAGEREF tit72 \h </w:instrText>
        </w:r>
        <w:r>
          <w:fldChar w:fldCharType="separate"/>
        </w:r>
        <w:r>
          <w:t>60</w:t>
        </w:r>
        <w:r>
          <w:fldChar w:fldCharType="end"/>
        </w:r>
      </w:hyperlink>
    </w:p>
    <w:p>
      <w:pPr>
        <w:pStyle w:val="toc3"/>
      </w:pPr>
      <w:hyperlink w:anchor="tit73" w:history="1">
        <w:r>
          <w:t xml:space="preserve">1.7.2 Normas técnicas del hormigón, de las viguetas y de los ensayos</w:t>
        </w:r>
        <w:r>
          <w:tab/>
        </w:r>
        <w:r>
          <w:fldChar w:fldCharType="begin"/>
        </w:r>
        <w:r>
          <w:instrText xml:space="preserve"> PAGEREF tit73 \h </w:instrText>
        </w:r>
        <w:r>
          <w:fldChar w:fldCharType="separate"/>
        </w:r>
        <w:r>
          <w:t>60</w:t>
        </w:r>
        <w:r>
          <w:fldChar w:fldCharType="end"/>
        </w:r>
      </w:hyperlink>
    </w:p>
    <w:p>
      <w:pPr>
        <w:pStyle w:val="toc3"/>
      </w:pPr>
      <w:hyperlink w:anchor="tit74" w:history="1">
        <w:r>
          <w:t xml:space="preserve">1.7.3 Legislación de contratación pública</w:t>
        </w:r>
        <w:r>
          <w:tab/>
        </w:r>
        <w:r>
          <w:fldChar w:fldCharType="begin"/>
        </w:r>
        <w:r>
          <w:instrText xml:space="preserve"> PAGEREF tit74 \h </w:instrText>
        </w:r>
        <w:r>
          <w:fldChar w:fldCharType="separate"/>
        </w:r>
        <w:r>
          <w:t>62</w:t>
        </w:r>
        <w:r>
          <w:fldChar w:fldCharType="end"/>
        </w:r>
      </w:hyperlink>
    </w:p>
    <w:p>
      <w:pPr>
        <w:pStyle w:val="toc2"/>
      </w:pPr>
      <w:hyperlink w:anchor="tit75" w:history="1">
        <w:r>
          <w:t xml:space="preserve">1.8 Control de costos en obras públicas</w:t>
        </w:r>
        <w:r>
          <w:tab/>
        </w:r>
        <w:r>
          <w:fldChar w:fldCharType="begin"/>
        </w:r>
        <w:r>
          <w:instrText xml:space="preserve"> PAGEREF tit75 \h </w:instrText>
        </w:r>
        <w:r>
          <w:fldChar w:fldCharType="separate"/>
        </w:r>
        <w:r>
          <w:t>67</w:t>
        </w:r>
        <w:r>
          <w:fldChar w:fldCharType="end"/>
        </w:r>
      </w:hyperlink>
    </w:p>
    <w:p>
      <w:pPr>
        <w:pStyle w:val="toc3"/>
      </w:pPr>
      <w:hyperlink w:anchor="tit76" w:history="1">
        <w:r>
          <w:t xml:space="preserve">1.8.1 Análisis de precios unitarios</w:t>
        </w:r>
        <w:r>
          <w:tab/>
        </w:r>
        <w:r>
          <w:fldChar w:fldCharType="begin"/>
        </w:r>
        <w:r>
          <w:instrText xml:space="preserve"> PAGEREF tit76 \h </w:instrText>
        </w:r>
        <w:r>
          <w:fldChar w:fldCharType="separate"/>
        </w:r>
        <w:r>
          <w:t>67</w:t>
        </w:r>
        <w:r>
          <w:fldChar w:fldCharType="end"/>
        </w:r>
      </w:hyperlink>
    </w:p>
    <w:p>
      <w:pPr>
        <w:pStyle w:val="toc3"/>
      </w:pPr>
      <w:hyperlink w:anchor="tit77" w:history="1">
        <w:r>
          <w:t xml:space="preserve">1.8.2 Cómputos métricos, planillas de avance y modificaciones</w:t>
        </w:r>
        <w:r>
          <w:tab/>
        </w:r>
        <w:r>
          <w:fldChar w:fldCharType="begin"/>
        </w:r>
        <w:r>
          <w:instrText xml:space="preserve"> PAGEREF tit77 \h </w:instrText>
        </w:r>
        <w:r>
          <w:fldChar w:fldCharType="separate"/>
        </w:r>
        <w:r>
          <w:t>68</w:t>
        </w:r>
        <w:r>
          <w:fldChar w:fldCharType="end"/>
        </w:r>
      </w:hyperlink>
    </w:p>
    <w:p>
      <w:pPr>
        <w:pStyle w:val="toc2"/>
      </w:pPr>
      <w:hyperlink w:anchor="tit78" w:history="1">
        <w:r>
          <w:t xml:space="preserve">1.9 Herramientas de la calidad</w:t>
        </w:r>
        <w:r>
          <w:tab/>
        </w:r>
        <w:r>
          <w:fldChar w:fldCharType="begin"/>
        </w:r>
        <w:r>
          <w:instrText xml:space="preserve"> PAGEREF tit78 \h </w:instrText>
        </w:r>
        <w:r>
          <w:fldChar w:fldCharType="separate"/>
        </w:r>
        <w:r>
          <w:t>69</w:t>
        </w:r>
        <w:r>
          <w:fldChar w:fldCharType="end"/>
        </w:r>
      </w:hyperlink>
    </w:p>
    <w:p>
      <w:pPr>
        <w:pStyle w:val="toc2"/>
      </w:pPr>
      <w:hyperlink w:anchor="tit79" w:history="1">
        <w:r>
          <w:t xml:space="preserve">1.10 Evaluación</w:t>
        </w:r>
        <w:r>
          <w:t xml:space="preserve"> </w:t>
        </w:r>
        <w:r>
          <w:rPr>
            <w:iCs/>
            <w:i/>
          </w:rPr>
          <w:t xml:space="preserve">ex ante</w:t>
        </w:r>
        <w:r>
          <w:t xml:space="preserve"> </w:t>
        </w:r>
        <w:r>
          <w:t xml:space="preserve">y simulación</w:t>
        </w:r>
        <w:r>
          <w:tab/>
        </w:r>
        <w:r>
          <w:fldChar w:fldCharType="begin"/>
        </w:r>
        <w:r>
          <w:instrText xml:space="preserve"> PAGEREF tit79 \h </w:instrText>
        </w:r>
        <w:r>
          <w:fldChar w:fldCharType="separate"/>
        </w:r>
        <w:r>
          <w:t>71</w:t>
        </w:r>
        <w:r>
          <w:fldChar w:fldCharType="end"/>
        </w:r>
      </w:hyperlink>
    </w:p>
    <w:p>
      <w:pPr>
        <w:pStyle w:val="toc3"/>
      </w:pPr>
      <w:hyperlink w:anchor="tit80" w:history="1">
        <w:r>
          <w:t xml:space="preserve">1.10.1 Modelo de simulación teórica con tratamiento de control</w:t>
        </w:r>
        <w:r>
          <w:tab/>
        </w:r>
        <w:r>
          <w:fldChar w:fldCharType="begin"/>
        </w:r>
        <w:r>
          <w:instrText xml:space="preserve"> PAGEREF tit80 \h </w:instrText>
        </w:r>
        <w:r>
          <w:fldChar w:fldCharType="separate"/>
        </w:r>
        <w:r>
          <w:t>71</w:t>
        </w:r>
        <w:r>
          <w:fldChar w:fldCharType="end"/>
        </w:r>
      </w:hyperlink>
    </w:p>
    <w:p>
      <w:pPr>
        <w:pStyle w:val="toc3"/>
      </w:pPr>
      <w:hyperlink w:anchor="tit81" w:history="1">
        <w:r>
          <w:t xml:space="preserve">1.10.2 Método de Monte Carlo</w:t>
        </w:r>
        <w:r>
          <w:tab/>
        </w:r>
        <w:r>
          <w:fldChar w:fldCharType="begin"/>
        </w:r>
        <w:r>
          <w:instrText xml:space="preserve"> PAGEREF tit81 \h </w:instrText>
        </w:r>
        <w:r>
          <w:fldChar w:fldCharType="separate"/>
        </w:r>
        <w:r>
          <w:t>72</w:t>
        </w:r>
        <w:r>
          <w:fldChar w:fldCharType="end"/>
        </w:r>
      </w:hyperlink>
    </w:p>
    <w:p>
      <w:pPr>
        <w:pStyle w:val="toc3"/>
      </w:pPr>
      <w:hyperlink w:anchor="tit82" w:history="1">
        <w:r>
          <w:t xml:space="preserve">1.10.3 Distribución triangular</w:t>
        </w:r>
        <w:r>
          <w:tab/>
        </w:r>
        <w:r>
          <w:fldChar w:fldCharType="begin"/>
        </w:r>
        <w:r>
          <w:instrText xml:space="preserve"> PAGEREF tit82 \h </w:instrText>
        </w:r>
        <w:r>
          <w:fldChar w:fldCharType="separate"/>
        </w:r>
        <w:r>
          <w:t>73</w:t>
        </w:r>
        <w:r>
          <w:fldChar w:fldCharType="end"/>
        </w:r>
      </w:hyperlink>
    </w:p>
    <w:p>
      <w:pPr>
        <w:pStyle w:val="toc3"/>
      </w:pPr>
      <w:hyperlink w:anchor="tit83" w:history="1">
        <w:r>
          <w:t xml:space="preserve">1.10.4 Convergencia y análisis de sensibilidad</w:t>
        </w:r>
        <w:r>
          <w:tab/>
        </w:r>
        <w:r>
          <w:fldChar w:fldCharType="begin"/>
        </w:r>
        <w:r>
          <w:instrText xml:space="preserve"> PAGEREF tit83 \h </w:instrText>
        </w:r>
        <w:r>
          <w:fldChar w:fldCharType="separate"/>
        </w:r>
        <w:r>
          <w:t>73</w:t>
        </w:r>
        <w:r>
          <w:fldChar w:fldCharType="end"/>
        </w:r>
      </w:hyperlink>
    </w:p>
    <w:p>
      <w:pPr>
        <w:pStyle w:val="toc2"/>
      </w:pPr>
      <w:hyperlink w:anchor="tit84" w:history="1">
        <w:r>
          <w:t xml:space="preserve">1.11 Definición de términos básicos</w:t>
        </w:r>
        <w:r>
          <w:tab/>
        </w:r>
        <w:r>
          <w:fldChar w:fldCharType="begin"/>
        </w:r>
        <w:r>
          <w:instrText xml:space="preserve"> PAGEREF tit84 \h </w:instrText>
        </w:r>
        <w:r>
          <w:fldChar w:fldCharType="separate"/>
        </w:r>
        <w:r>
          <w:t>74</w:t>
        </w:r>
        <w:r>
          <w:fldChar w:fldCharType="end"/>
        </w:r>
      </w:hyperlink>
    </w:p>
    <w:p>
      <w:pPr>
        <w:pStyle w:val="toc1"/>
      </w:pPr>
      <w:hyperlink w:anchor="tit85" w:history="1">
        <w:r>
          <w:t xml:space="preserve">Capítulo 2. DISEÑO E IMPLEMENTACIÓN DEL SISTEMA DE GESTIÓN DE LA CALIDAD</w:t>
        </w:r>
        <w:r>
          <w:tab/>
        </w:r>
        <w:r>
          <w:fldChar w:fldCharType="begin"/>
        </w:r>
        <w:r>
          <w:instrText xml:space="preserve"> PAGEREF tit85 \h </w:instrText>
        </w:r>
        <w:r>
          <w:fldChar w:fldCharType="separate"/>
        </w:r>
        <w:r>
          <w:t>77</w:t>
        </w:r>
        <w:r>
          <w:fldChar w:fldCharType="end"/>
        </w:r>
      </w:hyperlink>
    </w:p>
    <w:p>
      <w:pPr>
        <w:pStyle w:val="toc2"/>
      </w:pPr>
      <w:hyperlink w:anchor="tit86" w:history="1">
        <w:r>
          <w:t xml:space="preserve">2.1 Conceptualización y alcance del modelo de investigación</w:t>
        </w:r>
        <w:r>
          <w:tab/>
        </w:r>
        <w:r>
          <w:fldChar w:fldCharType="begin"/>
        </w:r>
        <w:r>
          <w:instrText xml:space="preserve"> PAGEREF tit86 \h </w:instrText>
        </w:r>
        <w:r>
          <w:fldChar w:fldCharType="separate"/>
        </w:r>
        <w:r>
          <w:t>77</w:t>
        </w:r>
        <w:r>
          <w:fldChar w:fldCharType="end"/>
        </w:r>
      </w:hyperlink>
    </w:p>
    <w:p>
      <w:pPr>
        <w:pStyle w:val="toc2"/>
      </w:pPr>
      <w:hyperlink w:anchor="tit87" w:history="1">
        <w:r>
          <w:t xml:space="preserve">2.2 Caracterización del caso de estudio</w:t>
        </w:r>
        <w:r>
          <w:tab/>
        </w:r>
        <w:r>
          <w:fldChar w:fldCharType="begin"/>
        </w:r>
        <w:r>
          <w:instrText xml:space="preserve"> PAGEREF tit87 \h </w:instrText>
        </w:r>
        <w:r>
          <w:fldChar w:fldCharType="separate"/>
        </w:r>
        <w:r>
          <w:t>81</w:t>
        </w:r>
        <w:r>
          <w:fldChar w:fldCharType="end"/>
        </w:r>
      </w:hyperlink>
    </w:p>
    <w:p>
      <w:pPr>
        <w:pStyle w:val="toc3"/>
      </w:pPr>
      <w:hyperlink w:anchor="tit88" w:history="1">
        <w:r>
          <w:t xml:space="preserve">2.2.1 Ubicación y descripción del edificio</w:t>
        </w:r>
        <w:r>
          <w:tab/>
        </w:r>
        <w:r>
          <w:fldChar w:fldCharType="begin"/>
        </w:r>
        <w:r>
          <w:instrText xml:space="preserve"> PAGEREF tit88 \h </w:instrText>
        </w:r>
        <w:r>
          <w:fldChar w:fldCharType="separate"/>
        </w:r>
        <w:r>
          <w:t>81</w:t>
        </w:r>
        <w:r>
          <w:fldChar w:fldCharType="end"/>
        </w:r>
      </w:hyperlink>
    </w:p>
    <w:p>
      <w:pPr>
        <w:pStyle w:val="toc3"/>
      </w:pPr>
      <w:hyperlink w:anchor="tit89" w:history="1">
        <w:r>
          <w:t xml:space="preserve">2.2.2 Datos contractuales</w:t>
        </w:r>
        <w:r>
          <w:tab/>
        </w:r>
        <w:r>
          <w:fldChar w:fldCharType="begin"/>
        </w:r>
        <w:r>
          <w:instrText xml:space="preserve"> PAGEREF tit89 \h </w:instrText>
        </w:r>
        <w:r>
          <w:fldChar w:fldCharType="separate"/>
        </w:r>
        <w:r>
          <w:t>82</w:t>
        </w:r>
        <w:r>
          <w:fldChar w:fldCharType="end"/>
        </w:r>
      </w:hyperlink>
    </w:p>
    <w:p>
      <w:pPr>
        <w:pStyle w:val="toc3"/>
      </w:pPr>
      <w:hyperlink w:anchor="tit90" w:history="1">
        <w:r>
          <w:t xml:space="preserve">2.2.3 Cronología de la ejecución</w:t>
        </w:r>
        <w:r>
          <w:tab/>
        </w:r>
        <w:r>
          <w:fldChar w:fldCharType="begin"/>
        </w:r>
        <w:r>
          <w:instrText xml:space="preserve"> PAGEREF tit90 \h </w:instrText>
        </w:r>
        <w:r>
          <w:fldChar w:fldCharType="separate"/>
        </w:r>
        <w:r>
          <w:t>85</w:t>
        </w:r>
        <w:r>
          <w:fldChar w:fldCharType="end"/>
        </w:r>
      </w:hyperlink>
    </w:p>
    <w:p>
      <w:pPr>
        <w:pStyle w:val="toc3"/>
      </w:pPr>
      <w:hyperlink w:anchor="tit91" w:history="1">
        <w:r>
          <w:t xml:space="preserve">2.2.4 Sistema de losa: planos, especificaciones y certificados</w:t>
        </w:r>
        <w:r>
          <w:tab/>
        </w:r>
        <w:r>
          <w:fldChar w:fldCharType="begin"/>
        </w:r>
        <w:r>
          <w:instrText xml:space="preserve"> PAGEREF tit91 \h </w:instrText>
        </w:r>
        <w:r>
          <w:fldChar w:fldCharType="separate"/>
        </w:r>
        <w:r>
          <w:t>88</w:t>
        </w:r>
        <w:r>
          <w:fldChar w:fldCharType="end"/>
        </w:r>
      </w:hyperlink>
    </w:p>
    <w:p>
      <w:pPr>
        <w:pStyle w:val="toc2"/>
      </w:pPr>
      <w:hyperlink w:anchor="tit92" w:history="1">
        <w:r>
          <w:t xml:space="preserve">2.3 Definición de factores y variables</w:t>
        </w:r>
        <w:r>
          <w:tab/>
        </w:r>
        <w:r>
          <w:fldChar w:fldCharType="begin"/>
        </w:r>
        <w:r>
          <w:instrText xml:space="preserve"> PAGEREF tit92 \h </w:instrText>
        </w:r>
        <w:r>
          <w:fldChar w:fldCharType="separate"/>
        </w:r>
        <w:r>
          <w:t>90</w:t>
        </w:r>
        <w:r>
          <w:fldChar w:fldCharType="end"/>
        </w:r>
      </w:hyperlink>
    </w:p>
    <w:p>
      <w:pPr>
        <w:pStyle w:val="toc2"/>
      </w:pPr>
      <w:hyperlink w:anchor="tit93" w:history="1">
        <w:r>
          <w:t xml:space="preserve">2.4 Población y muestra</w:t>
        </w:r>
        <w:r>
          <w:tab/>
        </w:r>
        <w:r>
          <w:fldChar w:fldCharType="begin"/>
        </w:r>
        <w:r>
          <w:instrText xml:space="preserve"> PAGEREF tit93 \h </w:instrText>
        </w:r>
        <w:r>
          <w:fldChar w:fldCharType="separate"/>
        </w:r>
        <w:r>
          <w:t>93</w:t>
        </w:r>
        <w:r>
          <w:fldChar w:fldCharType="end"/>
        </w:r>
      </w:hyperlink>
    </w:p>
    <w:p>
      <w:pPr>
        <w:pStyle w:val="toc2"/>
      </w:pPr>
      <w:hyperlink w:anchor="tit94" w:history="1">
        <w:r>
          <w:t xml:space="preserve">2.5 Diagnóstico de la situación actual (línea base)</w:t>
        </w:r>
        <w:r>
          <w:tab/>
        </w:r>
        <w:r>
          <w:fldChar w:fldCharType="begin"/>
        </w:r>
        <w:r>
          <w:instrText xml:space="preserve"> PAGEREF tit94 \h </w:instrText>
        </w:r>
        <w:r>
          <w:fldChar w:fldCharType="separate"/>
        </w:r>
        <w:r>
          <w:t>94</w:t>
        </w:r>
        <w:r>
          <w:fldChar w:fldCharType="end"/>
        </w:r>
      </w:hyperlink>
    </w:p>
    <w:p>
      <w:pPr>
        <w:pStyle w:val="toc3"/>
      </w:pPr>
      <w:hyperlink w:anchor="tit95" w:history="1">
        <w:r>
          <w:t xml:space="preserve">2.5.1 Brechas frente a la norma ISO 9001:2026</w:t>
        </w:r>
        <w:r>
          <w:tab/>
        </w:r>
        <w:r>
          <w:fldChar w:fldCharType="begin"/>
        </w:r>
        <w:r>
          <w:instrText xml:space="preserve"> PAGEREF tit95 \h </w:instrText>
        </w:r>
        <w:r>
          <w:fldChar w:fldCharType="separate"/>
        </w:r>
        <w:r>
          <w:t>94</w:t>
        </w:r>
        <w:r>
          <w:fldChar w:fldCharType="end"/>
        </w:r>
      </w:hyperlink>
    </w:p>
    <w:p>
      <w:pPr>
        <w:pStyle w:val="toc3"/>
      </w:pPr>
      <w:hyperlink w:anchor="tit96" w:history="1">
        <w:r>
          <w:t xml:space="preserve">2.5.2 Análisis documental de la primera losa</w:t>
        </w:r>
        <w:r>
          <w:tab/>
        </w:r>
        <w:r>
          <w:fldChar w:fldCharType="begin"/>
        </w:r>
        <w:r>
          <w:instrText xml:space="preserve"> PAGEREF tit96 \h </w:instrText>
        </w:r>
        <w:r>
          <w:fldChar w:fldCharType="separate"/>
        </w:r>
        <w:r>
          <w:t>98</w:t>
        </w:r>
        <w:r>
          <w:fldChar w:fldCharType="end"/>
        </w:r>
      </w:hyperlink>
    </w:p>
    <w:p>
      <w:pPr>
        <w:pStyle w:val="toc3"/>
      </w:pPr>
      <w:hyperlink w:anchor="tit105" w:history="1">
        <w:r>
          <w:t xml:space="preserve">2.5.3 No conformidades y análisis de causas</w:t>
        </w:r>
        <w:r>
          <w:tab/>
        </w:r>
        <w:r>
          <w:fldChar w:fldCharType="begin"/>
        </w:r>
        <w:r>
          <w:instrText xml:space="preserve"> PAGEREF tit105 \h </w:instrText>
        </w:r>
        <w:r>
          <w:fldChar w:fldCharType="separate"/>
        </w:r>
        <w:r>
          <w:t>109</w:t>
        </w:r>
        <w:r>
          <w:fldChar w:fldCharType="end"/>
        </w:r>
      </w:hyperlink>
    </w:p>
    <w:p>
      <w:pPr>
        <w:pStyle w:val="toc3"/>
      </w:pPr>
      <w:hyperlink w:anchor="tit106" w:history="1">
        <w:r>
          <w:t xml:space="preserve">2.5.4 Línea base cuantitativa</w:t>
        </w:r>
        <w:r>
          <w:tab/>
        </w:r>
        <w:r>
          <w:fldChar w:fldCharType="begin"/>
        </w:r>
        <w:r>
          <w:instrText xml:space="preserve"> PAGEREF tit106 \h </w:instrText>
        </w:r>
        <w:r>
          <w:fldChar w:fldCharType="separate"/>
        </w:r>
        <w:r>
          <w:t>115</w:t>
        </w:r>
        <w:r>
          <w:fldChar w:fldCharType="end"/>
        </w:r>
      </w:hyperlink>
    </w:p>
    <w:p>
      <w:pPr>
        <w:pStyle w:val="toc2"/>
      </w:pPr>
      <w:hyperlink w:anchor="tit107" w:history="1">
        <w:r>
          <w:t xml:space="preserve">2.6 Diseño del Sistema de Gestión de la Calidad</w:t>
        </w:r>
        <w:r>
          <w:tab/>
        </w:r>
        <w:r>
          <w:fldChar w:fldCharType="begin"/>
        </w:r>
        <w:r>
          <w:instrText xml:space="preserve"> PAGEREF tit107 \h </w:instrText>
        </w:r>
        <w:r>
          <w:fldChar w:fldCharType="separate"/>
        </w:r>
        <w:r>
          <w:t>120</w:t>
        </w:r>
        <w:r>
          <w:fldChar w:fldCharType="end"/>
        </w:r>
      </w:hyperlink>
    </w:p>
    <w:p>
      <w:pPr>
        <w:pStyle w:val="toc3"/>
      </w:pPr>
      <w:hyperlink w:anchor="tit108" w:history="1">
        <w:r>
          <w:t xml:space="preserve">2.6.1 Enfoque y estructura del sistema</w:t>
        </w:r>
        <w:r>
          <w:tab/>
        </w:r>
        <w:r>
          <w:fldChar w:fldCharType="begin"/>
        </w:r>
        <w:r>
          <w:instrText xml:space="preserve"> PAGEREF tit108 \h </w:instrText>
        </w:r>
        <w:r>
          <w:fldChar w:fldCharType="separate"/>
        </w:r>
        <w:r>
          <w:t>123</w:t>
        </w:r>
        <w:r>
          <w:fldChar w:fldCharType="end"/>
        </w:r>
      </w:hyperlink>
    </w:p>
    <w:p>
      <w:pPr>
        <w:pStyle w:val="toc3"/>
      </w:pPr>
      <w:hyperlink w:anchor="tit109" w:history="1">
        <w:r>
          <w:t xml:space="preserve">2.6.2 Contexto, partes interesadas, alcance y exclusiones</w:t>
        </w:r>
        <w:r>
          <w:tab/>
        </w:r>
        <w:r>
          <w:fldChar w:fldCharType="begin"/>
        </w:r>
        <w:r>
          <w:instrText xml:space="preserve"> PAGEREF tit109 \h </w:instrText>
        </w:r>
        <w:r>
          <w:fldChar w:fldCharType="separate"/>
        </w:r>
        <w:r>
          <w:t>124</w:t>
        </w:r>
        <w:r>
          <w:fldChar w:fldCharType="end"/>
        </w:r>
      </w:hyperlink>
    </w:p>
    <w:p>
      <w:pPr>
        <w:pStyle w:val="toc3"/>
      </w:pPr>
      <w:hyperlink w:anchor="tit110" w:history="1">
        <w:r>
          <w:t xml:space="preserve">2.6.3 Liderazgo: política de la calidad, organización y responsabilidades</w:t>
        </w:r>
        <w:r>
          <w:tab/>
        </w:r>
        <w:r>
          <w:fldChar w:fldCharType="begin"/>
        </w:r>
        <w:r>
          <w:instrText xml:space="preserve"> PAGEREF tit110 \h </w:instrText>
        </w:r>
        <w:r>
          <w:fldChar w:fldCharType="separate"/>
        </w:r>
        <w:r>
          <w:t>127</w:t>
        </w:r>
        <w:r>
          <w:fldChar w:fldCharType="end"/>
        </w:r>
      </w:hyperlink>
    </w:p>
    <w:p>
      <w:pPr>
        <w:pStyle w:val="toc3"/>
      </w:pPr>
      <w:hyperlink w:anchor="tit111" w:history="1">
        <w:r>
          <w:t xml:space="preserve">2.6.4 Planificación: riesgos, oportunidades y objetivos de la calidad</w:t>
        </w:r>
        <w:r>
          <w:tab/>
        </w:r>
        <w:r>
          <w:fldChar w:fldCharType="begin"/>
        </w:r>
        <w:r>
          <w:instrText xml:space="preserve"> PAGEREF tit111 \h </w:instrText>
        </w:r>
        <w:r>
          <w:fldChar w:fldCharType="separate"/>
        </w:r>
        <w:r>
          <w:t>129</w:t>
        </w:r>
        <w:r>
          <w:fldChar w:fldCharType="end"/>
        </w:r>
      </w:hyperlink>
    </w:p>
    <w:p>
      <w:pPr>
        <w:pStyle w:val="toc3"/>
      </w:pPr>
      <w:hyperlink w:anchor="tit112" w:history="1">
        <w:r>
          <w:t xml:space="preserve">2.6.5 Apoyo: recursos, competencia, información documentada y comunicación</w:t>
        </w:r>
        <w:r>
          <w:tab/>
        </w:r>
        <w:r>
          <w:fldChar w:fldCharType="begin"/>
        </w:r>
        <w:r>
          <w:instrText xml:space="preserve"> PAGEREF tit112 \h </w:instrText>
        </w:r>
        <w:r>
          <w:fldChar w:fldCharType="separate"/>
        </w:r>
        <w:r>
          <w:t>134</w:t>
        </w:r>
        <w:r>
          <w:fldChar w:fldCharType="end"/>
        </w:r>
      </w:hyperlink>
    </w:p>
    <w:p>
      <w:pPr>
        <w:pStyle w:val="toc3"/>
      </w:pPr>
      <w:hyperlink w:anchor="tit113" w:history="1">
        <w:r>
          <w:t xml:space="preserve">2.6.6 Operación: plan de la calidad, inspección y control de materiales</w:t>
        </w:r>
        <w:r>
          <w:tab/>
        </w:r>
        <w:r>
          <w:fldChar w:fldCharType="begin"/>
        </w:r>
        <w:r>
          <w:instrText xml:space="preserve"> PAGEREF tit113 \h </w:instrText>
        </w:r>
        <w:r>
          <w:fldChar w:fldCharType="separate"/>
        </w:r>
        <w:r>
          <w:t>138</w:t>
        </w:r>
        <w:r>
          <w:fldChar w:fldCharType="end"/>
        </w:r>
      </w:hyperlink>
    </w:p>
    <w:p>
      <w:pPr>
        <w:pStyle w:val="toc3"/>
      </w:pPr>
      <w:hyperlink w:anchor="tit125" w:history="1">
        <w:r>
          <w:t xml:space="preserve">2.6.7 Evaluación del desempeño</w:t>
        </w:r>
        <w:r>
          <w:tab/>
        </w:r>
        <w:r>
          <w:fldChar w:fldCharType="begin"/>
        </w:r>
        <w:r>
          <w:instrText xml:space="preserve"> PAGEREF tit125 \h </w:instrText>
        </w:r>
        <w:r>
          <w:fldChar w:fldCharType="separate"/>
        </w:r>
        <w:r>
          <w:t>158</w:t>
        </w:r>
        <w:r>
          <w:fldChar w:fldCharType="end"/>
        </w:r>
      </w:hyperlink>
    </w:p>
    <w:p>
      <w:pPr>
        <w:pStyle w:val="toc3"/>
      </w:pPr>
      <w:hyperlink w:anchor="tit126" w:history="1">
        <w:r>
          <w:t xml:space="preserve">2.6.8 Mejora: no conformidades, acción correctiva y mejora continua</w:t>
        </w:r>
        <w:r>
          <w:tab/>
        </w:r>
        <w:r>
          <w:fldChar w:fldCharType="begin"/>
        </w:r>
        <w:r>
          <w:instrText xml:space="preserve"> PAGEREF tit126 \h </w:instrText>
        </w:r>
        <w:r>
          <w:fldChar w:fldCharType="separate"/>
        </w:r>
        <w:r>
          <w:t>160</w:t>
        </w:r>
        <w:r>
          <w:fldChar w:fldCharType="end"/>
        </w:r>
      </w:hyperlink>
    </w:p>
    <w:p>
      <w:pPr>
        <w:pStyle w:val="toc3"/>
      </w:pPr>
      <w:hyperlink w:anchor="tit127" w:history="1">
        <w:r>
          <w:t xml:space="preserve">2.6.9 Registro de costos de la calidad</w:t>
        </w:r>
        <w:r>
          <w:tab/>
        </w:r>
        <w:r>
          <w:fldChar w:fldCharType="begin"/>
        </w:r>
        <w:r>
          <w:instrText xml:space="preserve"> PAGEREF tit127 \h </w:instrText>
        </w:r>
        <w:r>
          <w:fldChar w:fldCharType="separate"/>
        </w:r>
        <w:r>
          <w:t>162</w:t>
        </w:r>
        <w:r>
          <w:fldChar w:fldCharType="end"/>
        </w:r>
      </w:hyperlink>
    </w:p>
    <w:p>
      <w:pPr>
        <w:pStyle w:val="toc3"/>
      </w:pPr>
      <w:hyperlink w:anchor="tit128" w:history="1">
        <w:r>
          <w:t xml:space="preserve">2.6.10 Matriz de trazabilidad entre brechas, requisitos, componentes e indicadores</w:t>
        </w:r>
        <w:r>
          <w:tab/>
        </w:r>
        <w:r>
          <w:fldChar w:fldCharType="begin"/>
        </w:r>
        <w:r>
          <w:instrText xml:space="preserve"> PAGEREF tit128 \h </w:instrText>
        </w:r>
        <w:r>
          <w:fldChar w:fldCharType="separate"/>
        </w:r>
        <w:r>
          <w:t>165</w:t>
        </w:r>
        <w:r>
          <w:fldChar w:fldCharType="end"/>
        </w:r>
      </w:hyperlink>
    </w:p>
    <w:p>
      <w:pPr>
        <w:pStyle w:val="toc2"/>
      </w:pPr>
      <w:hyperlink w:anchor="tit129" w:history="1">
        <w:r>
          <w:t xml:space="preserve">2.7 Procedimiento de implementación y toma de observaciones</w:t>
        </w:r>
        <w:r>
          <w:tab/>
        </w:r>
        <w:r>
          <w:fldChar w:fldCharType="begin"/>
        </w:r>
        <w:r>
          <w:instrText xml:space="preserve"> PAGEREF tit129 \h </w:instrText>
        </w:r>
        <w:r>
          <w:fldChar w:fldCharType="separate"/>
        </w:r>
        <w:r>
          <w:t>167</w:t>
        </w:r>
        <w:r>
          <w:fldChar w:fldCharType="end"/>
        </w:r>
      </w:hyperlink>
    </w:p>
    <w:p>
      <w:pPr>
        <w:pStyle w:val="toc3"/>
      </w:pPr>
      <w:hyperlink w:anchor="tit130" w:history="1">
        <w:r>
          <w:t xml:space="preserve">2.7.1 Implementación prevista en la segunda y tercera losa</w:t>
        </w:r>
        <w:r>
          <w:tab/>
        </w:r>
        <w:r>
          <w:fldChar w:fldCharType="begin"/>
        </w:r>
        <w:r>
          <w:instrText xml:space="preserve"> PAGEREF tit130 \h </w:instrText>
        </w:r>
        <w:r>
          <w:fldChar w:fldCharType="separate"/>
        </w:r>
        <w:r>
          <w:t>167</w:t>
        </w:r>
        <w:r>
          <w:fldChar w:fldCharType="end"/>
        </w:r>
      </w:hyperlink>
    </w:p>
    <w:p>
      <w:pPr>
        <w:pStyle w:val="toc3"/>
      </w:pPr>
      <w:hyperlink w:anchor="tit131" w:history="1">
        <w:r>
          <w:t xml:space="preserve">2.7.2 Evaluación ex ante mediante modelación y simulación</w:t>
        </w:r>
        <w:r>
          <w:tab/>
        </w:r>
        <w:r>
          <w:fldChar w:fldCharType="begin"/>
        </w:r>
        <w:r>
          <w:instrText xml:space="preserve"> PAGEREF tit131 \h </w:instrText>
        </w:r>
        <w:r>
          <w:fldChar w:fldCharType="separate"/>
        </w:r>
        <w:r>
          <w:t>169</w:t>
        </w:r>
        <w:r>
          <w:fldChar w:fldCharType="end"/>
        </w:r>
      </w:hyperlink>
    </w:p>
    <w:p>
      <w:pPr>
        <w:pStyle w:val="toc2"/>
      </w:pPr>
      <w:hyperlink w:anchor="tit132" w:history="1">
        <w:r>
          <w:t xml:space="preserve">2.8 Validación de las observaciones, del modelo y de los instrumentos</w:t>
        </w:r>
        <w:r>
          <w:tab/>
        </w:r>
        <w:r>
          <w:fldChar w:fldCharType="begin"/>
        </w:r>
        <w:r>
          <w:instrText xml:space="preserve"> PAGEREF tit132 \h </w:instrText>
        </w:r>
        <w:r>
          <w:fldChar w:fldCharType="separate"/>
        </w:r>
        <w:r>
          <w:t>171</w:t>
        </w:r>
        <w:r>
          <w:fldChar w:fldCharType="end"/>
        </w:r>
      </w:hyperlink>
    </w:p>
    <w:p>
      <w:pPr>
        <w:pStyle w:val="toc2"/>
      </w:pPr>
      <w:hyperlink w:anchor="tit133" w:history="1">
        <w:r>
          <w:t xml:space="preserve">2.9 Plan de análisis y contraste de hipótesis</w:t>
        </w:r>
        <w:r>
          <w:tab/>
        </w:r>
        <w:r>
          <w:fldChar w:fldCharType="begin"/>
        </w:r>
        <w:r>
          <w:instrText xml:space="preserve"> PAGEREF tit133 \h </w:instrText>
        </w:r>
        <w:r>
          <w:fldChar w:fldCharType="separate"/>
        </w:r>
        <w:r>
          <w:t>172</w:t>
        </w:r>
        <w:r>
          <w:fldChar w:fldCharType="end"/>
        </w:r>
      </w:hyperlink>
    </w:p>
    <w:p>
      <w:pPr>
        <w:pStyle w:val="toc3"/>
      </w:pPr>
      <w:hyperlink w:anchor="tit134" w:history="1">
        <w:r>
          <w:t xml:space="preserve">2.9.1 Verificación futura con datos de obra</w:t>
        </w:r>
        <w:r>
          <w:tab/>
        </w:r>
        <w:r>
          <w:fldChar w:fldCharType="begin"/>
        </w:r>
        <w:r>
          <w:instrText xml:space="preserve"> PAGEREF tit134 \h </w:instrText>
        </w:r>
        <w:r>
          <w:fldChar w:fldCharType="separate"/>
        </w:r>
        <w:r>
          <w:t>173</w:t>
        </w:r>
        <w:r>
          <w:fldChar w:fldCharType="end"/>
        </w:r>
      </w:hyperlink>
    </w:p>
    <w:p>
      <w:pPr>
        <w:pStyle w:val="toc1"/>
      </w:pPr>
      <w:hyperlink w:anchor="tit135" w:history="1">
        <w:r>
          <w:t xml:space="preserve">Capítulo 3. PRESENTACIÓN DE RESULTADOS Y ANÁLISIS DE LOS MISMOS</w:t>
        </w:r>
        <w:r>
          <w:tab/>
        </w:r>
        <w:r>
          <w:fldChar w:fldCharType="begin"/>
        </w:r>
        <w:r>
          <w:instrText xml:space="preserve"> PAGEREF tit135 \h </w:instrText>
        </w:r>
        <w:r>
          <w:fldChar w:fldCharType="separate"/>
        </w:r>
        <w:r>
          <w:t>175</w:t>
        </w:r>
        <w:r>
          <w:fldChar w:fldCharType="end"/>
        </w:r>
      </w:hyperlink>
    </w:p>
    <w:p>
      <w:pPr>
        <w:pStyle w:val="toc2"/>
      </w:pPr>
      <w:hyperlink w:anchor="tit136" w:history="1">
        <w:r>
          <w:t xml:space="preserve">3.1 Resultados del diagnóstico de la primera losa</w:t>
        </w:r>
        <w:r>
          <w:tab/>
        </w:r>
        <w:r>
          <w:fldChar w:fldCharType="begin"/>
        </w:r>
        <w:r>
          <w:instrText xml:space="preserve"> PAGEREF tit136 \h </w:instrText>
        </w:r>
        <w:r>
          <w:fldChar w:fldCharType="separate"/>
        </w:r>
        <w:r>
          <w:t>175</w:t>
        </w:r>
        <w:r>
          <w:fldChar w:fldCharType="end"/>
        </w:r>
      </w:hyperlink>
    </w:p>
    <w:p>
      <w:pPr>
        <w:pStyle w:val="toc2"/>
      </w:pPr>
      <w:hyperlink w:anchor="tit137" w:history="1">
        <w:r>
          <w:t xml:space="preserve">3.2 Línea base de desperdicio y de costo de no calidad</w:t>
        </w:r>
        <w:r>
          <w:tab/>
        </w:r>
        <w:r>
          <w:fldChar w:fldCharType="begin"/>
        </w:r>
        <w:r>
          <w:instrText xml:space="preserve"> PAGEREF tit137 \h </w:instrText>
        </w:r>
        <w:r>
          <w:fldChar w:fldCharType="separate"/>
        </w:r>
        <w:r>
          <w:t>177</w:t>
        </w:r>
        <w:r>
          <w:fldChar w:fldCharType="end"/>
        </w:r>
      </w:hyperlink>
    </w:p>
    <w:p>
      <w:pPr>
        <w:pStyle w:val="toc2"/>
      </w:pPr>
      <w:hyperlink w:anchor="tit138" w:history="1">
        <w:r>
          <w:t xml:space="preserve">3.3 Resultado del modelo con los valores más probables</w:t>
        </w:r>
        <w:r>
          <w:tab/>
        </w:r>
        <w:r>
          <w:fldChar w:fldCharType="begin"/>
        </w:r>
        <w:r>
          <w:instrText xml:space="preserve"> PAGEREF tit138 \h </w:instrText>
        </w:r>
        <w:r>
          <w:fldChar w:fldCharType="separate"/>
        </w:r>
        <w:r>
          <w:t>180</w:t>
        </w:r>
        <w:r>
          <w:fldChar w:fldCharType="end"/>
        </w:r>
      </w:hyperlink>
    </w:p>
    <w:p>
      <w:pPr>
        <w:pStyle w:val="toc2"/>
      </w:pPr>
      <w:hyperlink w:anchor="tit139" w:history="1">
        <w:r>
          <w:t xml:space="preserve">3.4 Resultados de la simulación de Monte Carlo</w:t>
        </w:r>
        <w:r>
          <w:tab/>
        </w:r>
        <w:r>
          <w:fldChar w:fldCharType="begin"/>
        </w:r>
        <w:r>
          <w:instrText xml:space="preserve"> PAGEREF tit139 \h </w:instrText>
        </w:r>
        <w:r>
          <w:fldChar w:fldCharType="separate"/>
        </w:r>
        <w:r>
          <w:t>181</w:t>
        </w:r>
        <w:r>
          <w:fldChar w:fldCharType="end"/>
        </w:r>
      </w:hyperlink>
    </w:p>
    <w:p>
      <w:pPr>
        <w:pStyle w:val="toc2"/>
      </w:pPr>
      <w:hyperlink w:anchor="tit140" w:history="1">
        <w:r>
          <w:t xml:space="preserve">3.5 Contraste de hipótesis</w:t>
        </w:r>
        <w:r>
          <w:tab/>
        </w:r>
        <w:r>
          <w:fldChar w:fldCharType="begin"/>
        </w:r>
        <w:r>
          <w:instrText xml:space="preserve"> PAGEREF tit140 \h </w:instrText>
        </w:r>
        <w:r>
          <w:fldChar w:fldCharType="separate"/>
        </w:r>
        <w:r>
          <w:t>184</w:t>
        </w:r>
        <w:r>
          <w:fldChar w:fldCharType="end"/>
        </w:r>
      </w:hyperlink>
    </w:p>
    <w:p>
      <w:pPr>
        <w:pStyle w:val="toc2"/>
      </w:pPr>
      <w:hyperlink w:anchor="tit141" w:history="1">
        <w:r>
          <w:t xml:space="preserve">3.6 Sensibilidad, punto de equilibrio y escenarios complementarios</w:t>
        </w:r>
        <w:r>
          <w:tab/>
        </w:r>
        <w:r>
          <w:fldChar w:fldCharType="begin"/>
        </w:r>
        <w:r>
          <w:instrText xml:space="preserve"> PAGEREF tit141 \h </w:instrText>
        </w:r>
        <w:r>
          <w:fldChar w:fldCharType="separate"/>
        </w:r>
        <w:r>
          <w:t>186</w:t>
        </w:r>
        <w:r>
          <w:fldChar w:fldCharType="end"/>
        </w:r>
      </w:hyperlink>
    </w:p>
    <w:p>
      <w:pPr>
        <w:pStyle w:val="toc3"/>
      </w:pPr>
      <w:hyperlink w:anchor="tit142" w:history="1">
        <w:r>
          <w:t xml:space="preserve">3.6.1 Sensibilidad a los parámetros del modelo</w:t>
        </w:r>
        <w:r>
          <w:tab/>
        </w:r>
        <w:r>
          <w:fldChar w:fldCharType="begin"/>
        </w:r>
        <w:r>
          <w:instrText xml:space="preserve"> PAGEREF tit142 \h </w:instrText>
        </w:r>
        <w:r>
          <w:fldChar w:fldCharType="separate"/>
        </w:r>
        <w:r>
          <w:t>186</w:t>
        </w:r>
        <w:r>
          <w:fldChar w:fldCharType="end"/>
        </w:r>
      </w:hyperlink>
    </w:p>
    <w:p>
      <w:pPr>
        <w:pStyle w:val="toc3"/>
      </w:pPr>
      <w:hyperlink w:anchor="tit143" w:history="1">
        <w:r>
          <w:t xml:space="preserve">3.6.2 Punto de equilibrio de la eficacia del SGC</w:t>
        </w:r>
        <w:r>
          <w:tab/>
        </w:r>
        <w:r>
          <w:fldChar w:fldCharType="begin"/>
        </w:r>
        <w:r>
          <w:instrText xml:space="preserve"> PAGEREF tit143 \h </w:instrText>
        </w:r>
        <w:r>
          <w:fldChar w:fldCharType="separate"/>
        </w:r>
        <w:r>
          <w:t>187</w:t>
        </w:r>
        <w:r>
          <w:fldChar w:fldCharType="end"/>
        </w:r>
      </w:hyperlink>
    </w:p>
    <w:p>
      <w:pPr>
        <w:pStyle w:val="toc3"/>
      </w:pPr>
      <w:hyperlink w:anchor="tit144" w:history="1">
        <w:r>
          <w:t xml:space="preserve">3.6.3 Robustez ante variantes de los supuestos</w:t>
        </w:r>
        <w:r>
          <w:tab/>
        </w:r>
        <w:r>
          <w:fldChar w:fldCharType="begin"/>
        </w:r>
        <w:r>
          <w:instrText xml:space="preserve"> PAGEREF tit144 \h </w:instrText>
        </w:r>
        <w:r>
          <w:fldChar w:fldCharType="separate"/>
        </w:r>
        <w:r>
          <w:t>188</w:t>
        </w:r>
        <w:r>
          <w:fldChar w:fldCharType="end"/>
        </w:r>
      </w:hyperlink>
    </w:p>
    <w:p>
      <w:pPr>
        <w:pStyle w:val="toc3"/>
      </w:pPr>
      <w:hyperlink w:anchor="tit145" w:history="1">
        <w:r>
          <w:t xml:space="preserve">3.6.4 Escenarios complementarios</w:t>
        </w:r>
        <w:r>
          <w:tab/>
        </w:r>
        <w:r>
          <w:fldChar w:fldCharType="begin"/>
        </w:r>
        <w:r>
          <w:instrText xml:space="preserve"> PAGEREF tit145 \h </w:instrText>
        </w:r>
        <w:r>
          <w:fldChar w:fldCharType="separate"/>
        </w:r>
        <w:r>
          <w:t>189</w:t>
        </w:r>
        <w:r>
          <w:fldChar w:fldCharType="end"/>
        </w:r>
      </w:hyperlink>
    </w:p>
    <w:p>
      <w:pPr>
        <w:pStyle w:val="toc2"/>
      </w:pPr>
      <w:hyperlink w:anchor="tit146" w:history="1">
        <w:r>
          <w:t xml:space="preserve">3.7 Beneficio de la conciliación de cantidades</w:t>
        </w:r>
        <w:r>
          <w:tab/>
        </w:r>
        <w:r>
          <w:fldChar w:fldCharType="begin"/>
        </w:r>
        <w:r>
          <w:instrText xml:space="preserve"> PAGEREF tit146 \h </w:instrText>
        </w:r>
        <w:r>
          <w:fldChar w:fldCharType="separate"/>
        </w:r>
        <w:r>
          <w:t>190</w:t>
        </w:r>
        <w:r>
          <w:fldChar w:fldCharType="end"/>
        </w:r>
      </w:hyperlink>
    </w:p>
    <w:p>
      <w:pPr>
        <w:pStyle w:val="toc2"/>
      </w:pPr>
      <w:hyperlink w:anchor="tit147" w:history="1">
        <w:r>
          <w:t xml:space="preserve">3.8 Validación del SGC por juicio de expertos</w:t>
        </w:r>
        <w:r>
          <w:tab/>
        </w:r>
        <w:r>
          <w:fldChar w:fldCharType="begin"/>
        </w:r>
        <w:r>
          <w:instrText xml:space="preserve"> PAGEREF tit147 \h </w:instrText>
        </w:r>
        <w:r>
          <w:fldChar w:fldCharType="separate"/>
        </w:r>
        <w:r>
          <w:t>193</w:t>
        </w:r>
        <w:r>
          <w:fldChar w:fldCharType="end"/>
        </w:r>
      </w:hyperlink>
    </w:p>
    <w:p>
      <w:pPr>
        <w:pStyle w:val="toc2"/>
      </w:pPr>
      <w:hyperlink w:anchor="tit148" w:history="1">
        <w:r>
          <w:t xml:space="preserve">3.9 Discusión de resultados</w:t>
        </w:r>
        <w:r>
          <w:tab/>
        </w:r>
        <w:r>
          <w:fldChar w:fldCharType="begin"/>
        </w:r>
        <w:r>
          <w:instrText xml:space="preserve"> PAGEREF tit148 \h </w:instrText>
        </w:r>
        <w:r>
          <w:fldChar w:fldCharType="separate"/>
        </w:r>
        <w:r>
          <w:t>194</w:t>
        </w:r>
        <w:r>
          <w:fldChar w:fldCharType="end"/>
        </w:r>
      </w:hyperlink>
    </w:p>
    <w:p>
      <w:pPr>
        <w:pStyle w:val="toc1"/>
      </w:pPr>
      <w:hyperlink w:anchor="tit149" w:history="1">
        <w:r>
          <w:t xml:space="preserve">CONCLUSIONES Y RECOMENDACIONES</w:t>
        </w:r>
        <w:r>
          <w:tab/>
        </w:r>
        <w:r>
          <w:fldChar w:fldCharType="begin"/>
        </w:r>
        <w:r>
          <w:instrText xml:space="preserve"> PAGEREF tit149 \h </w:instrText>
        </w:r>
        <w:r>
          <w:fldChar w:fldCharType="separate"/>
        </w:r>
        <w:r>
          <w:t>202</w:t>
        </w:r>
        <w:r>
          <w:fldChar w:fldCharType="end"/>
        </w:r>
      </w:hyperlink>
    </w:p>
    <w:p>
      <w:pPr>
        <w:pStyle w:val="toc2"/>
      </w:pPr>
      <w:hyperlink w:anchor="tit150" w:history="1">
        <w:r>
          <w:t xml:space="preserve">1 Conclusión general</w:t>
        </w:r>
        <w:r>
          <w:tab/>
        </w:r>
        <w:r>
          <w:fldChar w:fldCharType="begin"/>
        </w:r>
        <w:r>
          <w:instrText xml:space="preserve"> PAGEREF tit150 \h </w:instrText>
        </w:r>
        <w:r>
          <w:fldChar w:fldCharType="separate"/>
        </w:r>
        <w:r>
          <w:t>202</w:t>
        </w:r>
        <w:r>
          <w:fldChar w:fldCharType="end"/>
        </w:r>
      </w:hyperlink>
    </w:p>
    <w:p>
      <w:pPr>
        <w:pStyle w:val="toc2"/>
      </w:pPr>
      <w:hyperlink w:anchor="tit151" w:history="1">
        <w:r>
          <w:t xml:space="preserve">2 Conclusiones específicas</w:t>
        </w:r>
        <w:r>
          <w:tab/>
        </w:r>
        <w:r>
          <w:fldChar w:fldCharType="begin"/>
        </w:r>
        <w:r>
          <w:instrText xml:space="preserve"> PAGEREF tit151 \h </w:instrText>
        </w:r>
        <w:r>
          <w:fldChar w:fldCharType="separate"/>
        </w:r>
        <w:r>
          <w:t>203</w:t>
        </w:r>
        <w:r>
          <w:fldChar w:fldCharType="end"/>
        </w:r>
      </w:hyperlink>
    </w:p>
    <w:p>
      <w:pPr>
        <w:pStyle w:val="toc2"/>
      </w:pPr>
      <w:hyperlink w:anchor="tit152" w:history="1">
        <w:r>
          <w:t xml:space="preserve">3 Recomendaciones</w:t>
        </w:r>
        <w:r>
          <w:tab/>
        </w:r>
        <w:r>
          <w:fldChar w:fldCharType="begin"/>
        </w:r>
        <w:r>
          <w:instrText xml:space="preserve"> PAGEREF tit152 \h </w:instrText>
        </w:r>
        <w:r>
          <w:fldChar w:fldCharType="separate"/>
        </w:r>
        <w:r>
          <w:t>205</w:t>
        </w:r>
        <w:r>
          <w:fldChar w:fldCharType="end"/>
        </w:r>
      </w:hyperlink>
    </w:p>
    <w:p>
      <w:pPr>
        <w:pStyle w:val="toc3"/>
      </w:pPr>
      <w:hyperlink w:anchor="tit153" w:history="1">
        <w:r>
          <w:t xml:space="preserve">3.1 Al Departamento de Infraestructura de la UATF</w:t>
        </w:r>
        <w:r>
          <w:tab/>
        </w:r>
        <w:r>
          <w:fldChar w:fldCharType="begin"/>
        </w:r>
        <w:r>
          <w:instrText xml:space="preserve"> PAGEREF tit153 \h </w:instrText>
        </w:r>
        <w:r>
          <w:fldChar w:fldCharType="separate"/>
        </w:r>
        <w:r>
          <w:t>205</w:t>
        </w:r>
        <w:r>
          <w:fldChar w:fldCharType="end"/>
        </w:r>
      </w:hyperlink>
    </w:p>
    <w:p>
      <w:pPr>
        <w:pStyle w:val="toc3"/>
      </w:pPr>
      <w:hyperlink w:anchor="tit154" w:history="1">
        <w:r>
          <w:t xml:space="preserve">3.2 A las futuras empresas contratistas</w:t>
        </w:r>
        <w:r>
          <w:tab/>
        </w:r>
        <w:r>
          <w:fldChar w:fldCharType="begin"/>
        </w:r>
        <w:r>
          <w:instrText xml:space="preserve"> PAGEREF tit154 \h </w:instrText>
        </w:r>
        <w:r>
          <w:fldChar w:fldCharType="separate"/>
        </w:r>
        <w:r>
          <w:t>206</w:t>
        </w:r>
        <w:r>
          <w:fldChar w:fldCharType="end"/>
        </w:r>
      </w:hyperlink>
    </w:p>
    <w:p>
      <w:pPr>
        <w:pStyle w:val="toc3"/>
      </w:pPr>
      <w:hyperlink w:anchor="tit155" w:history="1">
        <w:r>
          <w:t xml:space="preserve">3.3 A la Supervisión y la Fiscalización</w:t>
        </w:r>
        <w:r>
          <w:tab/>
        </w:r>
        <w:r>
          <w:fldChar w:fldCharType="begin"/>
        </w:r>
        <w:r>
          <w:instrText xml:space="preserve"> PAGEREF tit155 \h </w:instrText>
        </w:r>
        <w:r>
          <w:fldChar w:fldCharType="separate"/>
        </w:r>
        <w:r>
          <w:t>207</w:t>
        </w:r>
        <w:r>
          <w:fldChar w:fldCharType="end"/>
        </w:r>
      </w:hyperlink>
    </w:p>
    <w:p>
      <w:pPr>
        <w:pStyle w:val="toc3"/>
      </w:pPr>
      <w:hyperlink w:anchor="tit156" w:history="1">
        <w:r>
          <w:t xml:space="preserve">3.4 Para futuras investigaciones</w:t>
        </w:r>
        <w:r>
          <w:tab/>
        </w:r>
        <w:r>
          <w:fldChar w:fldCharType="begin"/>
        </w:r>
        <w:r>
          <w:instrText xml:space="preserve"> PAGEREF tit156 \h </w:instrText>
        </w:r>
        <w:r>
          <w:fldChar w:fldCharType="separate"/>
        </w:r>
        <w:r>
          <w:t>207</w:t>
        </w:r>
        <w:r>
          <w:fldChar w:fldCharType="end"/>
        </w:r>
      </w:hyperlink>
    </w:p>
    <w:p>
      <w:pPr>
        <w:pStyle w:val="toc2"/>
      </w:pPr>
      <w:hyperlink w:anchor="tit157" w:history="1">
        <w:r>
          <w:t xml:space="preserve">4 Limitaciones del estudio</w:t>
        </w:r>
        <w:r>
          <w:tab/>
        </w:r>
        <w:r>
          <w:fldChar w:fldCharType="begin"/>
        </w:r>
        <w:r>
          <w:instrText xml:space="preserve"> PAGEREF tit157 \h </w:instrText>
        </w:r>
        <w:r>
          <w:fldChar w:fldCharType="separate"/>
        </w:r>
        <w:r>
          <w:t>208</w:t>
        </w:r>
        <w:r>
          <w:fldChar w:fldCharType="end"/>
        </w:r>
      </w:hyperlink>
    </w:p>
    <w:p>
      <w:pPr>
        <w:pStyle w:val="toc1"/>
      </w:pPr>
      <w:hyperlink w:anchor="tit158" w:history="1">
        <w:r>
          <w:t xml:space="preserve">Bibliografía</w:t>
        </w:r>
        <w:r>
          <w:tab/>
        </w:r>
        <w:r>
          <w:fldChar w:fldCharType="begin"/>
        </w:r>
        <w:r>
          <w:instrText xml:space="preserve"> PAGEREF tit158 \h </w:instrText>
        </w:r>
        <w:r>
          <w:fldChar w:fldCharType="separate"/>
        </w:r>
        <w:r>
          <w:t>210</w:t>
        </w:r>
        <w:r>
          <w:fldChar w:fldCharType="end"/>
        </w:r>
      </w:hyperlink>
    </w:p>
    <w:p>
      <w:pPr>
        <w:pStyle w:val="toc1"/>
      </w:pPr>
      <w:hyperlink w:anchor="tit159" w:history="1">
        <w:r>
          <w:t xml:space="preserve">ANEXOS</w:t>
        </w:r>
        <w:r>
          <w:tab/>
        </w:r>
        <w:r>
          <w:fldChar w:fldCharType="begin"/>
        </w:r>
        <w:r>
          <w:instrText xml:space="preserve"> PAGEREF tit159 \h </w:instrText>
        </w:r>
        <w:r>
          <w:fldChar w:fldCharType="separate"/>
        </w:r>
        <w:r>
          <w:t>221</w:t>
        </w:r>
        <w:r>
          <w:fldChar w:fldCharType="end"/>
        </w:r>
      </w:hyperlink>
    </w:p>
    <w:p>
      <w:pPr>
        <w:pStyle w:val="toc1"/>
      </w:pPr>
      <w:hyperlink w:anchor="tit160" w:history="1">
        <w:r>
          <w:t xml:space="preserve">Anexo A. MATRIZ DE CONSISTENCIA</w:t>
        </w:r>
        <w:r>
          <w:tab/>
        </w:r>
        <w:r>
          <w:fldChar w:fldCharType="begin"/>
        </w:r>
        <w:r>
          <w:instrText xml:space="preserve"> PAGEREF tit160 \h </w:instrText>
        </w:r>
        <w:r>
          <w:fldChar w:fldCharType="separate"/>
        </w:r>
        <w:r>
          <w:t>222</w:t>
        </w:r>
        <w:r>
          <w:fldChar w:fldCharType="end"/>
        </w:r>
      </w:hyperlink>
    </w:p>
    <w:p>
      <w:pPr>
        <w:pStyle w:val="toc1"/>
      </w:pPr>
      <w:hyperlink w:anchor="tit161" w:history="1">
        <w:r>
          <w:t xml:space="preserve">Anexo B. OPERACIONALIZACIÓN DE VARIABLES</w:t>
        </w:r>
        <w:r>
          <w:tab/>
        </w:r>
        <w:r>
          <w:fldChar w:fldCharType="begin"/>
        </w:r>
        <w:r>
          <w:instrText xml:space="preserve"> PAGEREF tit161 \h </w:instrText>
        </w:r>
        <w:r>
          <w:fldChar w:fldCharType="separate"/>
        </w:r>
        <w:r>
          <w:t>225</w:t>
        </w:r>
        <w:r>
          <w:fldChar w:fldCharType="end"/>
        </w:r>
      </w:hyperlink>
    </w:p>
    <w:p>
      <w:pPr>
        <w:pStyle w:val="toc1"/>
      </w:pPr>
      <w:hyperlink w:anchor="tit162" w:history="1">
        <w:r>
          <w:t xml:space="preserve">Anexo C. INSTRUMENTOS DE RECOLECCIÓN DE DATOS Y FORMATOS DEL SGC</w:t>
        </w:r>
        <w:r>
          <w:tab/>
        </w:r>
        <w:r>
          <w:fldChar w:fldCharType="begin"/>
        </w:r>
        <w:r>
          <w:instrText xml:space="preserve"> PAGEREF tit162 \h </w:instrText>
        </w:r>
        <w:r>
          <w:fldChar w:fldCharType="separate"/>
        </w:r>
        <w:r>
          <w:t>227</w:t>
        </w:r>
        <w:r>
          <w:fldChar w:fldCharType="end"/>
        </w:r>
      </w:hyperlink>
    </w:p>
    <w:p>
      <w:pPr>
        <w:pStyle w:val="toc2"/>
      </w:pPr>
      <w:hyperlink w:anchor="tit163" w:history="1">
        <w:r>
          <w:t xml:space="preserve">C.1. Lista de verificación de requisitos de ISO 9001:2026 (primera losa)</w:t>
        </w:r>
        <w:r>
          <w:tab/>
        </w:r>
        <w:r>
          <w:fldChar w:fldCharType="begin"/>
        </w:r>
        <w:r>
          <w:instrText xml:space="preserve"> PAGEREF tit163 \h </w:instrText>
        </w:r>
        <w:r>
          <w:fldChar w:fldCharType="separate"/>
        </w:r>
        <w:r>
          <w:t>227</w:t>
        </w:r>
        <w:r>
          <w:fldChar w:fldCharType="end"/>
        </w:r>
      </w:hyperlink>
    </w:p>
    <w:p>
      <w:pPr>
        <w:pStyle w:val="toc2"/>
      </w:pPr>
      <w:hyperlink w:anchor="tit164" w:history="1">
        <w:r>
          <w:t xml:space="preserve">C.2. Fichas PPI de liberación por paño</w:t>
        </w:r>
        <w:r>
          <w:tab/>
        </w:r>
        <w:r>
          <w:fldChar w:fldCharType="begin"/>
        </w:r>
        <w:r>
          <w:instrText xml:space="preserve"> PAGEREF tit164 \h </w:instrText>
        </w:r>
        <w:r>
          <w:fldChar w:fldCharType="separate"/>
        </w:r>
        <w:r>
          <w:t>239</w:t>
        </w:r>
        <w:r>
          <w:fldChar w:fldCharType="end"/>
        </w:r>
      </w:hyperlink>
    </w:p>
    <w:p>
      <w:pPr>
        <w:pStyle w:val="toc2"/>
      </w:pPr>
      <w:hyperlink w:anchor="tit165" w:history="1">
        <w:r>
          <w:t xml:space="preserve">C.3. Ficha de recepción de materiales</w:t>
        </w:r>
        <w:r>
          <w:tab/>
        </w:r>
        <w:r>
          <w:fldChar w:fldCharType="begin"/>
        </w:r>
        <w:r>
          <w:instrText xml:space="preserve"> PAGEREF tit165 \h </w:instrText>
        </w:r>
        <w:r>
          <w:fldChar w:fldCharType="separate"/>
        </w:r>
        <w:r>
          <w:t>242</w:t>
        </w:r>
        <w:r>
          <w:fldChar w:fldCharType="end"/>
        </w:r>
      </w:hyperlink>
    </w:p>
    <w:p>
      <w:pPr>
        <w:pStyle w:val="toc2"/>
      </w:pPr>
      <w:hyperlink w:anchor="tit166" w:history="1">
        <w:r>
          <w:t xml:space="preserve">C.4. Ficha de control de materiales y conciliación por paño</w:t>
        </w:r>
        <w:r>
          <w:tab/>
        </w:r>
        <w:r>
          <w:fldChar w:fldCharType="begin"/>
        </w:r>
        <w:r>
          <w:instrText xml:space="preserve"> PAGEREF tit166 \h </w:instrText>
        </w:r>
        <w:r>
          <w:fldChar w:fldCharType="separate"/>
        </w:r>
        <w:r>
          <w:t>244</w:t>
        </w:r>
        <w:r>
          <w:fldChar w:fldCharType="end"/>
        </w:r>
      </w:hyperlink>
    </w:p>
    <w:p>
      <w:pPr>
        <w:pStyle w:val="toc2"/>
      </w:pPr>
      <w:hyperlink w:anchor="tit167" w:history="1">
        <w:r>
          <w:t xml:space="preserve">C.5. Registro de no conformidades y acción correctiva</w:t>
        </w:r>
        <w:r>
          <w:tab/>
        </w:r>
        <w:r>
          <w:fldChar w:fldCharType="begin"/>
        </w:r>
        <w:r>
          <w:instrText xml:space="preserve"> PAGEREF tit167 \h </w:instrText>
        </w:r>
        <w:r>
          <w:fldChar w:fldCharType="separate"/>
        </w:r>
        <w:r>
          <w:t>246</w:t>
        </w:r>
        <w:r>
          <w:fldChar w:fldCharType="end"/>
        </w:r>
      </w:hyperlink>
    </w:p>
    <w:p>
      <w:pPr>
        <w:pStyle w:val="toc2"/>
      </w:pPr>
      <w:hyperlink w:anchor="tit168" w:history="1">
        <w:r>
          <w:t xml:space="preserve">C.6. Planilla de costos de la calidad (modelo PAF)</w:t>
        </w:r>
        <w:r>
          <w:tab/>
        </w:r>
        <w:r>
          <w:fldChar w:fldCharType="begin"/>
        </w:r>
        <w:r>
          <w:instrText xml:space="preserve"> PAGEREF tit168 \h </w:instrText>
        </w:r>
        <w:r>
          <w:fldChar w:fldCharType="separate"/>
        </w:r>
        <w:r>
          <w:t>247</w:t>
        </w:r>
        <w:r>
          <w:fldChar w:fldCharType="end"/>
        </w:r>
      </w:hyperlink>
    </w:p>
    <w:p>
      <w:pPr>
        <w:pStyle w:val="toc2"/>
      </w:pPr>
      <w:hyperlink w:anchor="tit169" w:history="1">
        <w:r>
          <w:t xml:space="preserve">C.7. Guía de entrevista semiestructurada</w:t>
        </w:r>
        <w:r>
          <w:tab/>
        </w:r>
        <w:r>
          <w:fldChar w:fldCharType="begin"/>
        </w:r>
        <w:r>
          <w:instrText xml:space="preserve"> PAGEREF tit169 \h </w:instrText>
        </w:r>
        <w:r>
          <w:fldChar w:fldCharType="separate"/>
        </w:r>
        <w:r>
          <w:t>249</w:t>
        </w:r>
        <w:r>
          <w:fldChar w:fldCharType="end"/>
        </w:r>
      </w:hyperlink>
    </w:p>
    <w:p>
      <w:pPr>
        <w:pStyle w:val="toc2"/>
      </w:pPr>
      <w:hyperlink w:anchor="tit170" w:history="1">
        <w:r>
          <w:t xml:space="preserve">C.8. Formato de validación por juicio de expertos</w:t>
        </w:r>
        <w:r>
          <w:tab/>
        </w:r>
        <w:r>
          <w:fldChar w:fldCharType="begin"/>
        </w:r>
        <w:r>
          <w:instrText xml:space="preserve"> PAGEREF tit170 \h </w:instrText>
        </w:r>
        <w:r>
          <w:fldChar w:fldCharType="separate"/>
        </w:r>
        <w:r>
          <w:t>251</w:t>
        </w:r>
        <w:r>
          <w:fldChar w:fldCharType="end"/>
        </w:r>
      </w:hyperlink>
    </w:p>
    <w:p>
      <w:pPr>
        <w:pStyle w:val="toc1"/>
      </w:pPr>
      <w:hyperlink w:anchor="tit171" w:history="1">
        <w:r>
          <w:t xml:space="preserve">Anexo D. VALIDACIÓN DEL SGC POR JUICIO DE EXPERTOS</w:t>
        </w:r>
        <w:r>
          <w:tab/>
        </w:r>
        <w:r>
          <w:fldChar w:fldCharType="begin"/>
        </w:r>
        <w:r>
          <w:instrText xml:space="preserve"> PAGEREF tit171 \h </w:instrText>
        </w:r>
        <w:r>
          <w:fldChar w:fldCharType="separate"/>
        </w:r>
        <w:r>
          <w:t>255</w:t>
        </w:r>
        <w:r>
          <w:fldChar w:fldCharType="end"/>
        </w:r>
      </w:hyperlink>
    </w:p>
    <w:p>
      <w:pPr>
        <w:pStyle w:val="toc1"/>
      </w:pPr>
      <w:hyperlink w:anchor="tit172" w:history="1">
        <w:r>
          <w:t xml:space="preserve">Anexo E. PLANOS DE LA PRIMERA LOSA</w:t>
        </w:r>
        <w:r>
          <w:tab/>
        </w:r>
        <w:r>
          <w:fldChar w:fldCharType="begin"/>
        </w:r>
        <w:r>
          <w:instrText xml:space="preserve"> PAGEREF tit172 \h </w:instrText>
        </w:r>
        <w:r>
          <w:fldChar w:fldCharType="separate"/>
        </w:r>
        <w:r>
          <w:t>256</w:t>
        </w:r>
        <w:r>
          <w:fldChar w:fldCharType="end"/>
        </w:r>
      </w:hyperlink>
    </w:p>
    <w:p>
      <w:pPr>
        <w:pStyle w:val="toc1"/>
      </w:pPr>
      <w:hyperlink w:anchor="tit173" w:history="1">
        <w:r>
          <w:t xml:space="preserve">Anexo F. CÓMPUTOS MÉTRICOS Y PLANILLAS DE AVANCE</w:t>
        </w:r>
        <w:r>
          <w:tab/>
        </w:r>
        <w:r>
          <w:fldChar w:fldCharType="begin"/>
        </w:r>
        <w:r>
          <w:instrText xml:space="preserve"> PAGEREF tit173 \h </w:instrText>
        </w:r>
        <w:r>
          <w:fldChar w:fldCharType="separate"/>
        </w:r>
        <w:r>
          <w:t>260</w:t>
        </w:r>
        <w:r>
          <w:fldChar w:fldCharType="end"/>
        </w:r>
      </w:hyperlink>
    </w:p>
    <w:p>
      <w:pPr>
        <w:pStyle w:val="toc1"/>
      </w:pPr>
      <w:hyperlink w:anchor="tit174" w:history="1">
        <w:r>
          <w:t xml:space="preserve">Anexo G. CERTIFICADOS DE CALIDAD DE MATERIALES</w:t>
        </w:r>
        <w:r>
          <w:tab/>
        </w:r>
        <w:r>
          <w:fldChar w:fldCharType="begin"/>
        </w:r>
        <w:r>
          <w:instrText xml:space="preserve"> PAGEREF tit174 \h </w:instrText>
        </w:r>
        <w:r>
          <w:fldChar w:fldCharType="separate"/>
        </w:r>
        <w:r>
          <w:t>263</w:t>
        </w:r>
        <w:r>
          <w:fldChar w:fldCharType="end"/>
        </w:r>
      </w:hyperlink>
    </w:p>
    <w:p>
      <w:pPr>
        <w:pStyle w:val="toc1"/>
      </w:pPr>
      <w:hyperlink w:anchor="tit175" w:history="1">
        <w:r>
          <w:t xml:space="preserve">Anexo H. RESULTADOS DE ENSAYOS DE LABORATORIO</w:t>
        </w:r>
        <w:r>
          <w:tab/>
        </w:r>
        <w:r>
          <w:fldChar w:fldCharType="begin"/>
        </w:r>
        <w:r>
          <w:instrText xml:space="preserve"> PAGEREF tit175 \h </w:instrText>
        </w:r>
        <w:r>
          <w:fldChar w:fldCharType="separate"/>
        </w:r>
        <w:r>
          <w:t>266</w:t>
        </w:r>
        <w:r>
          <w:fldChar w:fldCharType="end"/>
        </w:r>
      </w:hyperlink>
    </w:p>
    <w:p>
      <w:pPr>
        <w:pStyle w:val="toc1"/>
      </w:pPr>
      <w:hyperlink w:anchor="tit176" w:history="1">
        <w:r>
          <w:t xml:space="preserve">Anexo I. ANÁLISIS DE PRECIOS UNITARIOS DE REFERENCIA</w:t>
        </w:r>
        <w:r>
          <w:tab/>
        </w:r>
        <w:r>
          <w:fldChar w:fldCharType="begin"/>
        </w:r>
        <w:r>
          <w:instrText xml:space="preserve"> PAGEREF tit176 \h </w:instrText>
        </w:r>
        <w:r>
          <w:fldChar w:fldCharType="separate"/>
        </w:r>
        <w:r>
          <w:t>269</w:t>
        </w:r>
        <w:r>
          <w:fldChar w:fldCharType="end"/>
        </w:r>
      </w:hyperlink>
    </w:p>
    <w:p>
      <w:pPr>
        <w:pStyle w:val="toc2"/>
      </w:pPr>
      <w:hyperlink w:anchor="tit177" w:history="1">
        <w:r>
          <w:t xml:space="preserve">I.1. APU de referencia del ítem 13</w:t>
        </w:r>
        <w:r>
          <w:tab/>
        </w:r>
        <w:r>
          <w:fldChar w:fldCharType="begin"/>
        </w:r>
        <w:r>
          <w:instrText xml:space="preserve"> PAGEREF tit177 \h </w:instrText>
        </w:r>
        <w:r>
          <w:fldChar w:fldCharType="separate"/>
        </w:r>
        <w:r>
          <w:t>269</w:t>
        </w:r>
        <w:r>
          <w:fldChar w:fldCharType="end"/>
        </w:r>
      </w:hyperlink>
    </w:p>
    <w:p>
      <w:pPr>
        <w:pStyle w:val="toc2"/>
      </w:pPr>
      <w:hyperlink w:anchor="tit178" w:history="1">
        <w:r>
          <w:t xml:space="preserve">I.2. APU de referencia del acero</w:t>
        </w:r>
        <w:r>
          <w:tab/>
        </w:r>
        <w:r>
          <w:fldChar w:fldCharType="begin"/>
        </w:r>
        <w:r>
          <w:instrText xml:space="preserve"> PAGEREF tit178 \h </w:instrText>
        </w:r>
        <w:r>
          <w:fldChar w:fldCharType="separate"/>
        </w:r>
        <w:r>
          <w:t>270</w:t>
        </w:r>
        <w:r>
          <w:fldChar w:fldCharType="end"/>
        </w:r>
      </w:hyperlink>
    </w:p>
    <w:p>
      <w:pPr>
        <w:pStyle w:val="toc1"/>
      </w:pPr>
      <w:hyperlink w:anchor="tit179" w:history="1">
        <w:r>
          <w:t xml:space="preserve">Anexo J. DOCUMENTOS DE CONTEXTO</w:t>
        </w:r>
        <w:r>
          <w:tab/>
        </w:r>
        <w:r>
          <w:fldChar w:fldCharType="begin"/>
        </w:r>
        <w:r>
          <w:instrText xml:space="preserve"> PAGEREF tit179 \h </w:instrText>
        </w:r>
        <w:r>
          <w:fldChar w:fldCharType="separate"/>
        </w:r>
        <w:r>
          <w:t>272</w:t>
        </w:r>
        <w:r>
          <w:fldChar w:fldCharType="end"/>
        </w:r>
      </w:hyperlink>
    </w:p>
    <w:p>
      <w:pPr>
        <w:pStyle w:val="toc1"/>
      </w:pPr>
      <w:hyperlink w:anchor="tit180" w:history="1">
        <w:r>
          <w:t xml:space="preserve">Anexo K. MODELO DE COSTOS Y SIMULACIÓN DE MONTE CARLO</w:t>
        </w:r>
        <w:r>
          <w:tab/>
        </w:r>
        <w:r>
          <w:fldChar w:fldCharType="begin"/>
        </w:r>
        <w:r>
          <w:instrText xml:space="preserve"> PAGEREF tit180 \h </w:instrText>
        </w:r>
        <w:r>
          <w:fldChar w:fldCharType="separate"/>
        </w:r>
        <w:r>
          <w:t>274</w:t>
        </w:r>
        <w:r>
          <w:fldChar w:fldCharType="end"/>
        </w:r>
      </w:hyperlink>
    </w:p>
    <w:p>
      <w:pPr>
        <w:pStyle w:val="toc2"/>
      </w:pPr>
      <w:hyperlink w:anchor="tit181" w:history="1">
        <w:r>
          <w:t xml:space="preserve">Parámetros inciertos y sus fuentes</w:t>
        </w:r>
        <w:r>
          <w:tab/>
        </w:r>
        <w:r>
          <w:fldChar w:fldCharType="begin"/>
        </w:r>
        <w:r>
          <w:instrText xml:space="preserve"> PAGEREF tit181 \h </w:instrText>
        </w:r>
        <w:r>
          <w:fldChar w:fldCharType="separate"/>
        </w:r>
        <w:r>
          <w:t>274</w:t>
        </w:r>
        <w:r>
          <w:fldChar w:fldCharType="end"/>
        </w:r>
      </w:hyperlink>
    </w:p>
    <w:p>
      <w:pPr>
        <w:pStyle w:val="toc2"/>
      </w:pPr>
      <w:hyperlink w:anchor="tit182" w:history="1">
        <w:r>
          <w:t xml:space="preserve">Convergencia de la simulación</w:t>
        </w:r>
        <w:r>
          <w:tab/>
        </w:r>
        <w:r>
          <w:fldChar w:fldCharType="begin"/>
        </w:r>
        <w:r>
          <w:instrText xml:space="preserve"> PAGEREF tit182 \h </w:instrText>
        </w:r>
        <w:r>
          <w:fldChar w:fldCharType="separate"/>
        </w:r>
        <w:r>
          <w:t>276</w:t>
        </w:r>
        <w:r>
          <w:fldChar w:fldCharType="end"/>
        </w:r>
      </w:hyperlink>
    </w:p>
    <w:p>
      <w:pPr>
        <w:pStyle w:val="TOCHeading"/>
      </w:pPr>
      <w:bookmarkStart w:id="1402" w:name="idxlot"/>
      <w:r>
        <w:t xml:space="preserve">Índice de tablas</w:t>
      </w:r>
      <w:bookmarkEnd w:id="1402"/>
    </w:p>
    <w:p>
      <w:pPr>
        <w:pStyle w:val="tableoffigures"/>
      </w:pPr>
      <w:hyperlink w:anchor="tab1" w:history="1">
        <w:r>
          <w:t xml:space="preserve">Tabla 1. Variación del monto y del plazo del contrato de obra</w:t>
        </w:r>
        <w:r>
          <w:tab/>
        </w:r>
        <w:r>
          <w:fldChar w:fldCharType="begin"/>
        </w:r>
        <w:r>
          <w:instrText xml:space="preserve"> PAGEREF tab1 \h </w:instrText>
        </w:r>
        <w:r>
          <w:fldChar w:fldCharType="separate"/>
        </w:r>
        <w:r>
          <w:t>8</w:t>
        </w:r>
        <w:r>
          <w:fldChar w:fldCharType="end"/>
        </w:r>
      </w:hyperlink>
    </w:p>
    <w:p>
      <w:pPr>
        <w:pStyle w:val="tableoffigures"/>
      </w:pPr>
      <w:hyperlink w:anchor="tab2" w:history="1">
        <w:r>
          <w:t xml:space="preserve">Tabla 2. Cantidades y montos del ítem losa alivianada con viguetas pretensadas</w:t>
        </w:r>
        <w:r>
          <w:tab/>
        </w:r>
        <w:r>
          <w:fldChar w:fldCharType="begin"/>
        </w:r>
        <w:r>
          <w:instrText xml:space="preserve"> PAGEREF tab2 \h </w:instrText>
        </w:r>
        <w:r>
          <w:fldChar w:fldCharType="separate"/>
        </w:r>
        <w:r>
          <w:t>9</w:t>
        </w:r>
        <w:r>
          <w:fldChar w:fldCharType="end"/>
        </w:r>
      </w:hyperlink>
    </w:p>
    <w:p>
      <w:pPr>
        <w:pStyle w:val="tableoffigures"/>
      </w:pPr>
      <w:hyperlink w:anchor="tab3" w:history="1">
        <w:r>
          <w:t xml:space="preserve">Tabla 3. Precios promedio de materiales de construcción en Potosí</w:t>
        </w:r>
        <w:r>
          <w:tab/>
        </w:r>
        <w:r>
          <w:fldChar w:fldCharType="begin"/>
        </w:r>
        <w:r>
          <w:instrText xml:space="preserve"> PAGEREF tab3 \h </w:instrText>
        </w:r>
        <w:r>
          <w:fldChar w:fldCharType="separate"/>
        </w:r>
        <w:r>
          <w:t>10</w:t>
        </w:r>
        <w:r>
          <w:fldChar w:fldCharType="end"/>
        </w:r>
      </w:hyperlink>
    </w:p>
    <w:p>
      <w:pPr>
        <w:pStyle w:val="tableoffigures"/>
      </w:pPr>
      <w:hyperlink w:anchor="tab4" w:history="1">
        <w:r>
          <w:t xml:space="preserve">Tabla 4. Identificación de las variables de investigación</w:t>
        </w:r>
        <w:r>
          <w:tab/>
        </w:r>
        <w:r>
          <w:fldChar w:fldCharType="begin"/>
        </w:r>
        <w:r>
          <w:instrText xml:space="preserve"> PAGEREF tab4 \h </w:instrText>
        </w:r>
        <w:r>
          <w:fldChar w:fldCharType="separate"/>
        </w:r>
        <w:r>
          <w:t>16</w:t>
        </w:r>
        <w:r>
          <w:fldChar w:fldCharType="end"/>
        </w:r>
      </w:hyperlink>
    </w:p>
    <w:p>
      <w:pPr>
        <w:pStyle w:val="tableoffigures"/>
      </w:pPr>
      <w:hyperlink w:anchor="tab5" w:history="1">
        <w:r>
          <w:t xml:space="preserve">Tabla 5. Técnicas e instrumentos de recolección de datos</w:t>
        </w:r>
        <w:r>
          <w:tab/>
        </w:r>
        <w:r>
          <w:fldChar w:fldCharType="begin"/>
        </w:r>
        <w:r>
          <w:instrText xml:space="preserve"> PAGEREF tab5 \h </w:instrText>
        </w:r>
        <w:r>
          <w:fldChar w:fldCharType="separate"/>
        </w:r>
        <w:r>
          <w:t>22</w:t>
        </w:r>
        <w:r>
          <w:fldChar w:fldCharType="end"/>
        </w:r>
      </w:hyperlink>
    </w:p>
    <w:p>
      <w:pPr>
        <w:pStyle w:val="tableoffigures"/>
      </w:pPr>
      <w:hyperlink w:anchor="tab6" w:history="1">
        <w:r>
          <w:t xml:space="preserve">Tabla 6. Antecedentes de la investigación</w:t>
        </w:r>
        <w:r>
          <w:tab/>
        </w:r>
        <w:r>
          <w:fldChar w:fldCharType="begin"/>
        </w:r>
        <w:r>
          <w:instrText xml:space="preserve"> PAGEREF tab6 \h </w:instrText>
        </w:r>
        <w:r>
          <w:fldChar w:fldCharType="separate"/>
        </w:r>
        <w:r>
          <w:t>27</w:t>
        </w:r>
        <w:r>
          <w:fldChar w:fldCharType="end"/>
        </w:r>
      </w:hyperlink>
    </w:p>
    <w:p>
      <w:pPr>
        <w:pStyle w:val="tableoffigures"/>
      </w:pPr>
      <w:hyperlink w:anchor="tab7" w:history="1">
        <w:r>
          <w:t xml:space="preserve">Tabla 7. Principios de la gestión de la calidad y su lectura en la ejecución de una losa</w:t>
        </w:r>
        <w:r>
          <w:tab/>
        </w:r>
        <w:r>
          <w:fldChar w:fldCharType="begin"/>
        </w:r>
        <w:r>
          <w:instrText xml:space="preserve"> PAGEREF tab7 \h </w:instrText>
        </w:r>
        <w:r>
          <w:fldChar w:fldCharType="separate"/>
        </w:r>
        <w:r>
          <w:t>36</w:t>
        </w:r>
        <w:r>
          <w:fldChar w:fldCharType="end"/>
        </w:r>
      </w:hyperlink>
    </w:p>
    <w:p>
      <w:pPr>
        <w:pStyle w:val="tableoffigures"/>
      </w:pPr>
      <w:hyperlink w:anchor="tab8" w:history="1">
        <w:r>
          <w:t xml:space="preserve">Tabla 8. Categorías del modelo de prevención, evaluación y fallas en la ejecución de la losa</w:t>
        </w:r>
        <w:r>
          <w:tab/>
        </w:r>
        <w:r>
          <w:fldChar w:fldCharType="begin"/>
        </w:r>
        <w:r>
          <w:instrText xml:space="preserve"> PAGEREF tab8 \h </w:instrText>
        </w:r>
        <w:r>
          <w:fldChar w:fldCharType="separate"/>
        </w:r>
        <w:r>
          <w:t>43</w:t>
        </w:r>
        <w:r>
          <w:fldChar w:fldCharType="end"/>
        </w:r>
      </w:hyperlink>
    </w:p>
    <w:p>
      <w:pPr>
        <w:pStyle w:val="tableoffigures"/>
      </w:pPr>
      <w:hyperlink w:anchor="tab9" w:history="1">
        <w:r>
          <w:t xml:space="preserve">Tabla 9. Valores de referencia del desperdicio de materiales en la literatura revisada</w:t>
        </w:r>
        <w:r>
          <w:tab/>
        </w:r>
        <w:r>
          <w:fldChar w:fldCharType="begin"/>
        </w:r>
        <w:r>
          <w:instrText xml:space="preserve"> PAGEREF tab9 \h </w:instrText>
        </w:r>
        <w:r>
          <w:fldChar w:fldCharType="separate"/>
        </w:r>
        <w:r>
          <w:t>50</w:t>
        </w:r>
        <w:r>
          <w:fldChar w:fldCharType="end"/>
        </w:r>
      </w:hyperlink>
    </w:p>
    <w:p>
      <w:pPr>
        <w:pStyle w:val="tableoffigures"/>
      </w:pPr>
      <w:hyperlink w:anchor="tab10" w:history="1">
        <w:r>
          <w:t xml:space="preserve">Tabla 10. Proceso constructivo de la losa alivianada y puntos críticos de calidad</w:t>
        </w:r>
        <w:r>
          <w:tab/>
        </w:r>
        <w:r>
          <w:fldChar w:fldCharType="begin"/>
        </w:r>
        <w:r>
          <w:instrText xml:space="preserve"> PAGEREF tab10 \h </w:instrText>
        </w:r>
        <w:r>
          <w:fldChar w:fldCharType="separate"/>
        </w:r>
        <w:r>
          <w:t>55</w:t>
        </w:r>
        <w:r>
          <w:fldChar w:fldCharType="end"/>
        </w:r>
      </w:hyperlink>
    </w:p>
    <w:p>
      <w:pPr>
        <w:pStyle w:val="tableoffigures"/>
      </w:pPr>
      <w:hyperlink w:anchor="tab11" w:history="1">
        <w:r>
          <w:t xml:space="preserve">Tabla 11. Consumos teóricos de referencia por metro cuadrado de losa</w:t>
        </w:r>
        <w:r>
          <w:tab/>
        </w:r>
        <w:r>
          <w:fldChar w:fldCharType="begin"/>
        </w:r>
        <w:r>
          <w:instrText xml:space="preserve"> PAGEREF tab11 \h </w:instrText>
        </w:r>
        <w:r>
          <w:fldChar w:fldCharType="separate"/>
        </w:r>
        <w:r>
          <w:t>57</w:t>
        </w:r>
        <w:r>
          <w:fldChar w:fldCharType="end"/>
        </w:r>
      </w:hyperlink>
    </w:p>
    <w:p>
      <w:pPr>
        <w:pStyle w:val="tableoffigures"/>
      </w:pPr>
      <w:hyperlink w:anchor="tab12" w:history="1">
        <w:r>
          <w:t xml:space="preserve">Tabla 12. Defectos frecuentes de la losa alivianada, causas y prevención</w:t>
        </w:r>
        <w:r>
          <w:tab/>
        </w:r>
        <w:r>
          <w:fldChar w:fldCharType="begin"/>
        </w:r>
        <w:r>
          <w:instrText xml:space="preserve"> PAGEREF tab12 \h </w:instrText>
        </w:r>
        <w:r>
          <w:fldChar w:fldCharType="separate"/>
        </w:r>
        <w:r>
          <w:t>58</w:t>
        </w:r>
        <w:r>
          <w:fldChar w:fldCharType="end"/>
        </w:r>
      </w:hyperlink>
    </w:p>
    <w:p>
      <w:pPr>
        <w:pStyle w:val="tableoffigures"/>
      </w:pPr>
      <w:hyperlink w:anchor="tab13" w:history="1">
        <w:r>
          <w:t xml:space="preserve">Tabla 13. Marco normativo del SGC de la losa alivianada</w:t>
        </w:r>
        <w:r>
          <w:tab/>
        </w:r>
        <w:r>
          <w:fldChar w:fldCharType="begin"/>
        </w:r>
        <w:r>
          <w:instrText xml:space="preserve"> PAGEREF tab13 \h </w:instrText>
        </w:r>
        <w:r>
          <w:fldChar w:fldCharType="separate"/>
        </w:r>
        <w:r>
          <w:t>64</w:t>
        </w:r>
        <w:r>
          <w:fldChar w:fldCharType="end"/>
        </w:r>
      </w:hyperlink>
    </w:p>
    <w:p>
      <w:pPr>
        <w:pStyle w:val="tableoffigures"/>
      </w:pPr>
      <w:hyperlink w:anchor="tab14" w:history="1">
        <w:r>
          <w:t xml:space="preserve">Tabla 14. Herramientas de la calidad y su uso en esta tesis</w:t>
        </w:r>
        <w:r>
          <w:tab/>
        </w:r>
        <w:r>
          <w:fldChar w:fldCharType="begin"/>
        </w:r>
        <w:r>
          <w:instrText xml:space="preserve"> PAGEREF tab14 \h </w:instrText>
        </w:r>
        <w:r>
          <w:fldChar w:fldCharType="separate"/>
        </w:r>
        <w:r>
          <w:t>70</w:t>
        </w:r>
        <w:r>
          <w:fldChar w:fldCharType="end"/>
        </w:r>
      </w:hyperlink>
    </w:p>
    <w:p>
      <w:pPr>
        <w:pStyle w:val="tableoffigures"/>
      </w:pPr>
      <w:hyperlink w:anchor="tab15" w:history="1">
        <w:r>
          <w:t xml:space="preserve">Tabla 15. Definición de términos básicos</w:t>
        </w:r>
        <w:r>
          <w:tab/>
        </w:r>
        <w:r>
          <w:fldChar w:fldCharType="begin"/>
        </w:r>
        <w:r>
          <w:instrText xml:space="preserve"> PAGEREF tab15 \h </w:instrText>
        </w:r>
        <w:r>
          <w:fldChar w:fldCharType="separate"/>
        </w:r>
        <w:r>
          <w:t>74</w:t>
        </w:r>
        <w:r>
          <w:fldChar w:fldCharType="end"/>
        </w:r>
      </w:hyperlink>
    </w:p>
    <w:p>
      <w:pPr>
        <w:pStyle w:val="tableoffigures"/>
      </w:pPr>
      <w:hyperlink w:anchor="tab16" w:history="1">
        <w:r>
          <w:t xml:space="preserve">Tabla 16. Fases del modelo de investigación</w:t>
        </w:r>
        <w:r>
          <w:tab/>
        </w:r>
        <w:r>
          <w:fldChar w:fldCharType="begin"/>
        </w:r>
        <w:r>
          <w:instrText xml:space="preserve"> PAGEREF tab16 \h </w:instrText>
        </w:r>
        <w:r>
          <w:fldChar w:fldCharType="separate"/>
        </w:r>
        <w:r>
          <w:t>81</w:t>
        </w:r>
        <w:r>
          <w:fldChar w:fldCharType="end"/>
        </w:r>
      </w:hyperlink>
    </w:p>
    <w:p>
      <w:pPr>
        <w:pStyle w:val="tableoffigures"/>
      </w:pPr>
      <w:hyperlink w:anchor="tab17" w:history="1">
        <w:r>
          <w:t xml:space="preserve">Tabla 17. Datos del contrato de obra y de sus modificaciones</w:t>
        </w:r>
        <w:r>
          <w:tab/>
        </w:r>
        <w:r>
          <w:fldChar w:fldCharType="begin"/>
        </w:r>
        <w:r>
          <w:instrText xml:space="preserve"> PAGEREF tab17 \h </w:instrText>
        </w:r>
        <w:r>
          <w:fldChar w:fldCharType="separate"/>
        </w:r>
        <w:r>
          <w:t>83</w:t>
        </w:r>
        <w:r>
          <w:fldChar w:fldCharType="end"/>
        </w:r>
      </w:hyperlink>
    </w:p>
    <w:p>
      <w:pPr>
        <w:pStyle w:val="tableoffigures"/>
      </w:pPr>
      <w:hyperlink w:anchor="tab18" w:history="1">
        <w:r>
          <w:t xml:space="preserve">Tabla 18. Cláusulas del contrato relacionadas con la calidad y el control de materiales</w:t>
        </w:r>
        <w:r>
          <w:tab/>
        </w:r>
        <w:r>
          <w:fldChar w:fldCharType="begin"/>
        </w:r>
        <w:r>
          <w:instrText xml:space="preserve"> PAGEREF tab18 \h </w:instrText>
        </w:r>
        <w:r>
          <w:fldChar w:fldCharType="separate"/>
        </w:r>
        <w:r>
          <w:t>84</w:t>
        </w:r>
        <w:r>
          <w:fldChar w:fldCharType="end"/>
        </w:r>
      </w:hyperlink>
    </w:p>
    <w:p>
      <w:pPr>
        <w:pStyle w:val="tableoffigures"/>
      </w:pPr>
      <w:hyperlink w:anchor="tab19" w:history="1">
        <w:r>
          <w:t xml:space="preserve">Tabla 19. Cronología de la ejecución del proyecto y de la primera losa</w:t>
        </w:r>
        <w:r>
          <w:tab/>
        </w:r>
        <w:r>
          <w:fldChar w:fldCharType="begin"/>
        </w:r>
        <w:r>
          <w:instrText xml:space="preserve"> PAGEREF tab19 \h </w:instrText>
        </w:r>
        <w:r>
          <w:fldChar w:fldCharType="separate"/>
        </w:r>
        <w:r>
          <w:t>86</w:t>
        </w:r>
        <w:r>
          <w:fldChar w:fldCharType="end"/>
        </w:r>
      </w:hyperlink>
    </w:p>
    <w:p>
      <w:pPr>
        <w:pStyle w:val="tableoffigures"/>
      </w:pPr>
      <w:hyperlink w:anchor="tab20" w:history="1">
        <w:r>
          <w:t xml:space="preserve">Tabla 20. Características de la losa alivianada según los documentos del proyecto</w:t>
        </w:r>
        <w:r>
          <w:tab/>
        </w:r>
        <w:r>
          <w:fldChar w:fldCharType="begin"/>
        </w:r>
        <w:r>
          <w:instrText xml:space="preserve"> PAGEREF tab20 \h </w:instrText>
        </w:r>
        <w:r>
          <w:fldChar w:fldCharType="separate"/>
        </w:r>
        <w:r>
          <w:t>90</w:t>
        </w:r>
        <w:r>
          <w:fldChar w:fldCharType="end"/>
        </w:r>
      </w:hyperlink>
    </w:p>
    <w:p>
      <w:pPr>
        <w:pStyle w:val="tableoffigures"/>
      </w:pPr>
      <w:hyperlink w:anchor="tab21" w:history="1">
        <w:r>
          <w:t xml:space="preserve">Tabla 21. Factores, variables e indicadores del modelo</w:t>
        </w:r>
        <w:r>
          <w:tab/>
        </w:r>
        <w:r>
          <w:fldChar w:fldCharType="begin"/>
        </w:r>
        <w:r>
          <w:instrText xml:space="preserve"> PAGEREF tab21 \h </w:instrText>
        </w:r>
        <w:r>
          <w:fldChar w:fldCharType="separate"/>
        </w:r>
        <w:r>
          <w:t>91</w:t>
        </w:r>
        <w:r>
          <w:fldChar w:fldCharType="end"/>
        </w:r>
      </w:hyperlink>
    </w:p>
    <w:p>
      <w:pPr>
        <w:pStyle w:val="tableoffigures"/>
      </w:pPr>
      <w:hyperlink w:anchor="tab22" w:history="1">
        <w:r>
          <w:t xml:space="preserve">Tabla 22. Cumplimiento de los requisitos de ISO 9001 por cláusula: primera losa y diagnósticos de referencia</w:t>
        </w:r>
        <w:r>
          <w:tab/>
        </w:r>
        <w:r>
          <w:fldChar w:fldCharType="begin"/>
        </w:r>
        <w:r>
          <w:instrText xml:space="preserve"> PAGEREF tab22 \h </w:instrText>
        </w:r>
        <w:r>
          <w:fldChar w:fldCharType="separate"/>
        </w:r>
        <w:r>
          <w:t>95</w:t>
        </w:r>
        <w:r>
          <w:fldChar w:fldCharType="end"/>
        </w:r>
      </w:hyperlink>
    </w:p>
    <w:p>
      <w:pPr>
        <w:pStyle w:val="tableoffigures"/>
      </w:pPr>
      <w:hyperlink w:anchor="tab23" w:history="1">
        <w:r>
          <w:t xml:space="preserve">Tabla 23. Resultados del certificado de laboratorio N.</w:t>
        </w:r>
        <w:r>
          <w:rPr>
            <w:vertAlign w:val="superscript"/>
          </w:rPr>
          <w:t xml:space="preserve">o</w:t>
        </w:r>
        <w:r>
          <w:t xml:space="preserve"> 000293 por probeta</w:t>
        </w:r>
        <w:r>
          <w:tab/>
        </w:r>
        <w:r>
          <w:fldChar w:fldCharType="begin"/>
        </w:r>
        <w:r>
          <w:instrText xml:space="preserve"> PAGEREF tab23 \h </w:instrText>
        </w:r>
        <w:r>
          <w:fldChar w:fldCharType="separate"/>
        </w:r>
        <w:r>
          <w:t>98</w:t>
        </w:r>
        <w:r>
          <w:fldChar w:fldCharType="end"/>
        </w:r>
      </w:hyperlink>
    </w:p>
    <w:p>
      <w:pPr>
        <w:pStyle w:val="tableoffigures"/>
      </w:pPr>
      <w:hyperlink w:anchor="tab24" w:history="1">
        <w:r>
          <w:t xml:space="preserve">Tabla 24. Síntesis del Libro de Órdenes del periodo de ejecución de la primera losa</w:t>
        </w:r>
        <w:r>
          <w:tab/>
        </w:r>
        <w:r>
          <w:fldChar w:fldCharType="begin"/>
        </w:r>
        <w:r>
          <w:instrText xml:space="preserve"> PAGEREF tab24 \h </w:instrText>
        </w:r>
        <w:r>
          <w:fldChar w:fldCharType="separate"/>
        </w:r>
        <w:r>
          <w:t>101</w:t>
        </w:r>
        <w:r>
          <w:fldChar w:fldCharType="end"/>
        </w:r>
      </w:hyperlink>
    </w:p>
    <w:p>
      <w:pPr>
        <w:pStyle w:val="tableoffigures"/>
      </w:pPr>
      <w:hyperlink w:anchor="tab25" w:history="1">
        <w:r>
          <w:t xml:space="preserve">Tabla 25. Conciliación del acero acumulado entre la Planilla N.</w:t>
        </w:r>
        <w:r>
          <w:rPr>
            <w:vertAlign w:val="superscript"/>
          </w:rPr>
          <w:t xml:space="preserve">o</w:t>
        </w:r>
        <w:r>
          <w:t xml:space="preserve"> 2 y el cómputo de cierre, por grupos de elementos</w:t>
        </w:r>
        <w:r>
          <w:tab/>
        </w:r>
        <w:r>
          <w:fldChar w:fldCharType="begin"/>
        </w:r>
        <w:r>
          <w:instrText xml:space="preserve"> PAGEREF tab25 \h </w:instrText>
        </w:r>
        <w:r>
          <w:fldChar w:fldCharType="separate"/>
        </w:r>
        <w:r>
          <w:t>105</w:t>
        </w:r>
        <w:r>
          <w:fldChar w:fldCharType="end"/>
        </w:r>
      </w:hyperlink>
    </w:p>
    <w:p>
      <w:pPr>
        <w:pStyle w:val="tableoffigures"/>
      </w:pPr>
      <w:hyperlink w:anchor="tab26" w:history="1">
        <w:r>
          <w:t xml:space="preserve">Tabla 26. No conformidades identificadas en la ejecución de la primera losa</w:t>
        </w:r>
        <w:r>
          <w:tab/>
        </w:r>
        <w:r>
          <w:fldChar w:fldCharType="begin"/>
        </w:r>
        <w:r>
          <w:instrText xml:space="preserve"> PAGEREF tab26 \h </w:instrText>
        </w:r>
        <w:r>
          <w:fldChar w:fldCharType="separate"/>
        </w:r>
        <w:r>
          <w:t>109</w:t>
        </w:r>
        <w:r>
          <w:fldChar w:fldCharType="end"/>
        </w:r>
      </w:hyperlink>
    </w:p>
    <w:p>
      <w:pPr>
        <w:pStyle w:val="tableoffigures"/>
      </w:pPr>
      <w:hyperlink w:anchor="tab27" w:history="1">
        <w:r>
          <w:t xml:space="preserve">Tabla 27. Cantidades teóricas de materiales de la primera losa y del saldo</w:t>
        </w:r>
        <w:r>
          <w:tab/>
        </w:r>
        <w:r>
          <w:fldChar w:fldCharType="begin"/>
        </w:r>
        <w:r>
          <w:instrText xml:space="preserve"> PAGEREF tab27 \h </w:instrText>
        </w:r>
        <w:r>
          <w:fldChar w:fldCharType="separate"/>
        </w:r>
        <w:r>
          <w:t>116</w:t>
        </w:r>
        <w:r>
          <w:fldChar w:fldCharType="end"/>
        </w:r>
      </w:hyperlink>
    </w:p>
    <w:p>
      <w:pPr>
        <w:pStyle w:val="tableoffigures"/>
      </w:pPr>
      <w:hyperlink w:anchor="tab28" w:history="1">
        <w:r>
          <w:t xml:space="preserve">Tabla 28. Cantidades teóricas, entregadas y pagadas de la primera losa e índices de la línea base</w:t>
        </w:r>
        <w:r>
          <w:tab/>
        </w:r>
        <w:r>
          <w:fldChar w:fldCharType="begin"/>
        </w:r>
        <w:r>
          <w:instrText xml:space="preserve"> PAGEREF tab28 \h </w:instrText>
        </w:r>
        <w:r>
          <w:fldChar w:fldCharType="separate"/>
        </w:r>
        <w:r>
          <w:t>117</w:t>
        </w:r>
        <w:r>
          <w:fldChar w:fldCharType="end"/>
        </w:r>
      </w:hyperlink>
    </w:p>
    <w:p>
      <w:pPr>
        <w:pStyle w:val="tableoffigures"/>
      </w:pPr>
      <w:hyperlink w:anchor="tab29" w:history="1">
        <w:r>
          <w:t xml:space="preserve">Tabla 29. Parámetros de la línea base (escenario de control) del modelo de costos</w:t>
        </w:r>
        <w:r>
          <w:tab/>
        </w:r>
        <w:r>
          <w:fldChar w:fldCharType="begin"/>
        </w:r>
        <w:r>
          <w:instrText xml:space="preserve"> PAGEREF tab29 \h </w:instrText>
        </w:r>
        <w:r>
          <w:fldChar w:fldCharType="separate"/>
        </w:r>
        <w:r>
          <w:t>119</w:t>
        </w:r>
        <w:r>
          <w:fldChar w:fldCharType="end"/>
        </w:r>
      </w:hyperlink>
    </w:p>
    <w:p>
      <w:pPr>
        <w:pStyle w:val="tableoffigures"/>
      </w:pPr>
      <w:hyperlink w:anchor="tab30" w:history="1">
        <w:r>
          <w:t xml:space="preserve">Tabla 30. Partes interesadas, necesidades y requisitos para el SGC</w:t>
        </w:r>
        <w:r>
          <w:tab/>
        </w:r>
        <w:r>
          <w:fldChar w:fldCharType="begin"/>
        </w:r>
        <w:r>
          <w:instrText xml:space="preserve"> PAGEREF tab30 \h </w:instrText>
        </w:r>
        <w:r>
          <w:fldChar w:fldCharType="separate"/>
        </w:r>
        <w:r>
          <w:t>125</w:t>
        </w:r>
        <w:r>
          <w:fldChar w:fldCharType="end"/>
        </w:r>
      </w:hyperlink>
    </w:p>
    <w:p>
      <w:pPr>
        <w:pStyle w:val="tableoffigures"/>
      </w:pPr>
      <w:hyperlink w:anchor="tab31" w:history="1">
        <w:r>
          <w:t xml:space="preserve">Tabla 31. Matriz de responsabilidades (RACI) del SGC del ítem losa alivianada</w:t>
        </w:r>
        <w:r>
          <w:tab/>
        </w:r>
        <w:r>
          <w:fldChar w:fldCharType="begin"/>
        </w:r>
        <w:r>
          <w:instrText xml:space="preserve"> PAGEREF tab31 \h </w:instrText>
        </w:r>
        <w:r>
          <w:fldChar w:fldCharType="separate"/>
        </w:r>
        <w:r>
          <w:t>128</w:t>
        </w:r>
        <w:r>
          <w:fldChar w:fldCharType="end"/>
        </w:r>
      </w:hyperlink>
    </w:p>
    <w:p>
      <w:pPr>
        <w:pStyle w:val="tableoffigures"/>
      </w:pPr>
      <w:hyperlink w:anchor="tab32" w:history="1">
        <w:r>
          <w:t xml:space="preserve">Tabla 32. Matriz de riesgos del proceso constructivo de la losa alivianada</w:t>
        </w:r>
        <w:r>
          <w:tab/>
        </w:r>
        <w:r>
          <w:fldChar w:fldCharType="begin"/>
        </w:r>
        <w:r>
          <w:instrText xml:space="preserve"> PAGEREF tab32 \h </w:instrText>
        </w:r>
        <w:r>
          <w:fldChar w:fldCharType="separate"/>
        </w:r>
        <w:r>
          <w:t>130</w:t>
        </w:r>
        <w:r>
          <w:fldChar w:fldCharType="end"/>
        </w:r>
      </w:hyperlink>
    </w:p>
    <w:p>
      <w:pPr>
        <w:pStyle w:val="tableoffigures"/>
      </w:pPr>
      <w:hyperlink w:anchor="tab33" w:history="1">
        <w:r>
          <w:t xml:space="preserve">Tabla 33. Objetivos de la calidad, indicadores y metas del SGC</w:t>
        </w:r>
        <w:r>
          <w:tab/>
        </w:r>
        <w:r>
          <w:fldChar w:fldCharType="begin"/>
        </w:r>
        <w:r>
          <w:instrText xml:space="preserve"> PAGEREF tab33 \h </w:instrText>
        </w:r>
        <w:r>
          <w:fldChar w:fldCharType="separate"/>
        </w:r>
        <w:r>
          <w:t>133</w:t>
        </w:r>
        <w:r>
          <w:fldChar w:fldCharType="end"/>
        </w:r>
      </w:hyperlink>
    </w:p>
    <w:p>
      <w:pPr>
        <w:pStyle w:val="tableoffigures"/>
      </w:pPr>
      <w:hyperlink w:anchor="tab34" w:history="1">
        <w:r>
          <w:t xml:space="preserve">Tabla 34. Lista maestra de documentos del SGC del ítem losa alivianada</w:t>
        </w:r>
        <w:r>
          <w:tab/>
        </w:r>
        <w:r>
          <w:fldChar w:fldCharType="begin"/>
        </w:r>
        <w:r>
          <w:instrText xml:space="preserve"> PAGEREF tab34 \h </w:instrText>
        </w:r>
        <w:r>
          <w:fldChar w:fldCharType="separate"/>
        </w:r>
        <w:r>
          <w:t>136</w:t>
        </w:r>
        <w:r>
          <w:fldChar w:fldCharType="end"/>
        </w:r>
      </w:hyperlink>
    </w:p>
    <w:p>
      <w:pPr>
        <w:pStyle w:val="tableoffigures"/>
      </w:pPr>
      <w:hyperlink w:anchor="tab35" w:history="1">
        <w:r>
          <w:t xml:space="preserve">Tabla 35. Estructura del plan de la calidad del ítem según la norma ISO 10005:2018</w:t>
        </w:r>
        <w:r>
          <w:tab/>
        </w:r>
        <w:r>
          <w:fldChar w:fldCharType="begin"/>
        </w:r>
        <w:r>
          <w:instrText xml:space="preserve"> PAGEREF tab35 \h </w:instrText>
        </w:r>
        <w:r>
          <w:fldChar w:fldCharType="separate"/>
        </w:r>
        <w:r>
          <w:t>140</w:t>
        </w:r>
        <w:r>
          <w:fldChar w:fldCharType="end"/>
        </w:r>
      </w:hyperlink>
    </w:p>
    <w:p>
      <w:pPr>
        <w:pStyle w:val="tableoffigures"/>
      </w:pPr>
      <w:hyperlink w:anchor="tab36" w:history="1">
        <w:r>
          <w:t xml:space="preserve">Tabla 36. Plan de puntos de inspección y ensayo (PPI) de la losa alivianada</w:t>
        </w:r>
        <w:r>
          <w:tab/>
        </w:r>
        <w:r>
          <w:fldChar w:fldCharType="begin"/>
        </w:r>
        <w:r>
          <w:instrText xml:space="preserve"> PAGEREF tab36 \h </w:instrText>
        </w:r>
        <w:r>
          <w:fldChar w:fldCharType="separate"/>
        </w:r>
        <w:r>
          <w:t>142</w:t>
        </w:r>
        <w:r>
          <w:fldChar w:fldCharType="end"/>
        </w:r>
      </w:hyperlink>
    </w:p>
    <w:p>
      <w:pPr>
        <w:pStyle w:val="tableoffigures"/>
      </w:pPr>
      <w:hyperlink w:anchor="tab37" w:history="1">
        <w:r>
          <w:t xml:space="preserve">Tabla 37. Criterios de recepción y aceptación de materiales (PCM-01)</w:t>
        </w:r>
        <w:r>
          <w:tab/>
        </w:r>
        <w:r>
          <w:fldChar w:fldCharType="begin"/>
        </w:r>
        <w:r>
          <w:instrText xml:space="preserve"> PAGEREF tab37 \h </w:instrText>
        </w:r>
        <w:r>
          <w:fldChar w:fldCharType="separate"/>
        </w:r>
        <w:r>
          <w:t>148</w:t>
        </w:r>
        <w:r>
          <w:fldChar w:fldCharType="end"/>
        </w:r>
      </w:hyperlink>
    </w:p>
    <w:p>
      <w:pPr>
        <w:pStyle w:val="tableoffigures"/>
      </w:pPr>
      <w:hyperlink w:anchor="tab38" w:history="1">
        <w:r>
          <w:t xml:space="preserve">Tabla 38. Controles de conciliación de cantidades y umbrales de alerta (PCM-04)</w:t>
        </w:r>
        <w:r>
          <w:tab/>
        </w:r>
        <w:r>
          <w:fldChar w:fldCharType="begin"/>
        </w:r>
        <w:r>
          <w:instrText xml:space="preserve"> PAGEREF tab38 \h </w:instrText>
        </w:r>
        <w:r>
          <w:fldChar w:fldCharType="separate"/>
        </w:r>
        <w:r>
          <w:t>151</w:t>
        </w:r>
        <w:r>
          <w:fldChar w:fldCharType="end"/>
        </w:r>
      </w:hyperlink>
    </w:p>
    <w:p>
      <w:pPr>
        <w:pStyle w:val="tableoffigures"/>
      </w:pPr>
      <w:hyperlink w:anchor="tab39" w:history="1">
        <w:r>
          <w:t xml:space="preserve">Tabla 39. Aplicación retrospectiva de la conciliación al acero de la primera losa</w:t>
        </w:r>
        <w:r>
          <w:tab/>
        </w:r>
        <w:r>
          <w:fldChar w:fldCharType="begin"/>
        </w:r>
        <w:r>
          <w:instrText xml:space="preserve"> PAGEREF tab39 \h </w:instrText>
        </w:r>
        <w:r>
          <w:fldChar w:fldCharType="separate"/>
        </w:r>
        <w:r>
          <w:t>152</w:t>
        </w:r>
        <w:r>
          <w:fldChar w:fldCharType="end"/>
        </w:r>
      </w:hyperlink>
    </w:p>
    <w:p>
      <w:pPr>
        <w:pStyle w:val="tableoffigures"/>
      </w:pPr>
      <w:hyperlink w:anchor="tab40" w:history="1">
        <w:r>
          <w:t xml:space="preserve">Tabla 40. Número mínimo de ensayos de resistencia para una losa de 1.117,30 m</w:t>
        </w:r>
        <w:r>
          <w:rPr>
            <w:vertAlign w:val="superscript"/>
          </w:rPr>
          <w:t xml:space="preserve">2</w:t>
        </w:r>
        <w:r>
          <w:tab/>
        </w:r>
        <w:r>
          <w:fldChar w:fldCharType="begin"/>
        </w:r>
        <w:r>
          <w:instrText xml:space="preserve"> PAGEREF tab40 \h </w:instrText>
        </w:r>
        <w:r>
          <w:fldChar w:fldCharType="separate"/>
        </w:r>
        <w:r>
          <w:t>155</w:t>
        </w:r>
        <w:r>
          <w:fldChar w:fldCharType="end"/>
        </w:r>
      </w:hyperlink>
    </w:p>
    <w:p>
      <w:pPr>
        <w:pStyle w:val="tableoffigures"/>
      </w:pPr>
      <w:hyperlink w:anchor="tab41" w:history="1">
        <w:r>
          <w:t xml:space="preserve">Tabla 41. Seguimiento de los indicadores: registros, umbrales de reacción y respuesta</w:t>
        </w:r>
        <w:r>
          <w:tab/>
        </w:r>
        <w:r>
          <w:fldChar w:fldCharType="begin"/>
        </w:r>
        <w:r>
          <w:instrText xml:space="preserve"> PAGEREF tab41 \h </w:instrText>
        </w:r>
        <w:r>
          <w:fldChar w:fldCharType="separate"/>
        </w:r>
        <w:r>
          <w:t>158</w:t>
        </w:r>
        <w:r>
          <w:fldChar w:fldCharType="end"/>
        </w:r>
      </w:hyperlink>
    </w:p>
    <w:p>
      <w:pPr>
        <w:pStyle w:val="tableoffigures"/>
      </w:pPr>
      <w:hyperlink w:anchor="tab42" w:history="1">
        <w:r>
          <w:t xml:space="preserve">Tabla 42. Conceptos de costos de la calidad de la losa y su valoración (modelo PAF)</w:t>
        </w:r>
        <w:r>
          <w:tab/>
        </w:r>
        <w:r>
          <w:fldChar w:fldCharType="begin"/>
        </w:r>
        <w:r>
          <w:instrText xml:space="preserve"> PAGEREF tab42 \h </w:instrText>
        </w:r>
        <w:r>
          <w:fldChar w:fldCharType="separate"/>
        </w:r>
        <w:r>
          <w:t>163</w:t>
        </w:r>
        <w:r>
          <w:fldChar w:fldCharType="end"/>
        </w:r>
      </w:hyperlink>
    </w:p>
    <w:p>
      <w:pPr>
        <w:pStyle w:val="tableoffigures"/>
      </w:pPr>
      <w:hyperlink w:anchor="tab43" w:history="1">
        <w:r>
          <w:t xml:space="preserve">Tabla 43. Matriz de trazabilidad: brecha, requisito ISO 9001, componente del SGC e indicador</w:t>
        </w:r>
        <w:r>
          <w:tab/>
        </w:r>
        <w:r>
          <w:fldChar w:fldCharType="begin"/>
        </w:r>
        <w:r>
          <w:instrText xml:space="preserve"> PAGEREF tab43 \h </w:instrText>
        </w:r>
        <w:r>
          <w:fldChar w:fldCharType="separate"/>
        </w:r>
        <w:r>
          <w:t>165</w:t>
        </w:r>
        <w:r>
          <w:fldChar w:fldCharType="end"/>
        </w:r>
      </w:hyperlink>
    </w:p>
    <w:p>
      <w:pPr>
        <w:pStyle w:val="tableoffigures"/>
      </w:pPr>
      <w:hyperlink w:anchor="tab44" w:history="1">
        <w:r>
          <w:t xml:space="preserve">Tabla 44. Secuencia de implementación del SGC en una losa</w:t>
        </w:r>
        <w:r>
          <w:tab/>
        </w:r>
        <w:r>
          <w:fldChar w:fldCharType="begin"/>
        </w:r>
        <w:r>
          <w:instrText xml:space="preserve"> PAGEREF tab44 \h </w:instrText>
        </w:r>
        <w:r>
          <w:fldChar w:fldCharType="separate"/>
        </w:r>
        <w:r>
          <w:t>168</w:t>
        </w:r>
        <w:r>
          <w:fldChar w:fldCharType="end"/>
        </w:r>
      </w:hyperlink>
    </w:p>
    <w:p>
      <w:pPr>
        <w:pStyle w:val="tableoffigures"/>
      </w:pPr>
      <w:hyperlink w:anchor="tab45" w:history="1">
        <w:r>
          <w:t xml:space="preserve">Tabla 45. Reglas de decisión para el contraste de hipótesis</w:t>
        </w:r>
        <w:r>
          <w:tab/>
        </w:r>
        <w:r>
          <w:fldChar w:fldCharType="begin"/>
        </w:r>
        <w:r>
          <w:instrText xml:space="preserve"> PAGEREF tab45 \h </w:instrText>
        </w:r>
        <w:r>
          <w:fldChar w:fldCharType="separate"/>
        </w:r>
        <w:r>
          <w:t>172</w:t>
        </w:r>
        <w:r>
          <w:fldChar w:fldCharType="end"/>
        </w:r>
      </w:hyperlink>
    </w:p>
    <w:p>
      <w:pPr>
        <w:pStyle w:val="tableoffigures"/>
      </w:pPr>
      <w:hyperlink w:anchor="tab46" w:history="1">
        <w:r>
          <w:t xml:space="preserve">Tabla 46. Síntesis de los resultados del diagnóstico de la primera losa</w:t>
        </w:r>
        <w:r>
          <w:tab/>
        </w:r>
        <w:r>
          <w:fldChar w:fldCharType="begin"/>
        </w:r>
        <w:r>
          <w:instrText xml:space="preserve"> PAGEREF tab46 \h </w:instrText>
        </w:r>
        <w:r>
          <w:fldChar w:fldCharType="separate"/>
        </w:r>
        <w:r>
          <w:t>176</w:t>
        </w:r>
        <w:r>
          <w:fldChar w:fldCharType="end"/>
        </w:r>
      </w:hyperlink>
    </w:p>
    <w:p>
      <w:pPr>
        <w:pStyle w:val="tableoffigures"/>
      </w:pPr>
      <w:hyperlink w:anchor="tab47" w:history="1">
        <w:r>
          <w:t xml:space="preserve">Tabla 47. Índice de desperdicio por material sin SGC y con SGC</w:t>
        </w:r>
        <w:r>
          <w:tab/>
        </w:r>
        <w:r>
          <w:fldChar w:fldCharType="begin"/>
        </w:r>
        <w:r>
          <w:instrText xml:space="preserve"> PAGEREF tab47 \h </w:instrText>
        </w:r>
        <w:r>
          <w:fldChar w:fldCharType="separate"/>
        </w:r>
        <w:r>
          <w:t>179</w:t>
        </w:r>
        <w:r>
          <w:fldChar w:fldCharType="end"/>
        </w:r>
      </w:hyperlink>
    </w:p>
    <w:p>
      <w:pPr>
        <w:pStyle w:val="tableoffigures"/>
      </w:pPr>
      <w:hyperlink w:anchor="tab48" w:history="1">
        <w:r>
          <w:t xml:space="preserve">Tabla 48. Resultado del modelo de costos con los valores más probables de los parámetros</w:t>
        </w:r>
        <w:r>
          <w:tab/>
        </w:r>
        <w:r>
          <w:fldChar w:fldCharType="begin"/>
        </w:r>
        <w:r>
          <w:instrText xml:space="preserve"> PAGEREF tab48 \h </w:instrText>
        </w:r>
        <w:r>
          <w:fldChar w:fldCharType="separate"/>
        </w:r>
        <w:r>
          <w:t>181</w:t>
        </w:r>
        <w:r>
          <w:fldChar w:fldCharType="end"/>
        </w:r>
      </w:hyperlink>
    </w:p>
    <w:p>
      <w:pPr>
        <w:pStyle w:val="tableoffigures"/>
      </w:pPr>
      <w:hyperlink w:anchor="tab49" w:history="1">
        <w:r>
          <w:t xml:space="preserve">Tabla 49. Resultados de la simulación de Monte Carlo del costo de ejecución del saldo de la losa</w:t>
        </w:r>
        <w:r>
          <w:tab/>
        </w:r>
        <w:r>
          <w:fldChar w:fldCharType="begin"/>
        </w:r>
        <w:r>
          <w:instrText xml:space="preserve"> PAGEREF tab49 \h </w:instrText>
        </w:r>
        <w:r>
          <w:fldChar w:fldCharType="separate"/>
        </w:r>
        <w:r>
          <w:t>182</w:t>
        </w:r>
        <w:r>
          <w:fldChar w:fldCharType="end"/>
        </w:r>
      </w:hyperlink>
    </w:p>
    <w:p>
      <w:pPr>
        <w:pStyle w:val="tableoffigures"/>
      </w:pPr>
      <w:hyperlink w:anchor="tab50" w:history="1">
        <w:r>
          <w:t xml:space="preserve">Tabla 50. Contraste de las hipótesis con las reglas de decisión probabilísticas</w:t>
        </w:r>
        <w:r>
          <w:tab/>
        </w:r>
        <w:r>
          <w:fldChar w:fldCharType="begin"/>
        </w:r>
        <w:r>
          <w:instrText xml:space="preserve"> PAGEREF tab50 \h </w:instrText>
        </w:r>
        <w:r>
          <w:fldChar w:fldCharType="separate"/>
        </w:r>
        <w:r>
          <w:t>185</w:t>
        </w:r>
        <w:r>
          <w:fldChar w:fldCharType="end"/>
        </w:r>
      </w:hyperlink>
    </w:p>
    <w:p>
      <w:pPr>
        <w:pStyle w:val="tableoffigures"/>
      </w:pPr>
      <w:hyperlink w:anchor="tab51" w:history="1">
        <w:r>
          <w:t xml:space="preserve">Tabla 51. Robustez del resultado ante variantes de los supuestos principales</w:t>
        </w:r>
        <w:r>
          <w:tab/>
        </w:r>
        <w:r>
          <w:fldChar w:fldCharType="begin"/>
        </w:r>
        <w:r>
          <w:instrText xml:space="preserve"> PAGEREF tab51 \h </w:instrText>
        </w:r>
        <w:r>
          <w:fldChar w:fldCharType="separate"/>
        </w:r>
        <w:r>
          <w:t>188</w:t>
        </w:r>
        <w:r>
          <w:fldChar w:fldCharType="end"/>
        </w:r>
      </w:hyperlink>
    </w:p>
    <w:p>
      <w:pPr>
        <w:pStyle w:val="tableoffigures"/>
      </w:pPr>
      <w:hyperlink w:anchor="tab52" w:history="1">
        <w:r>
          <w:t xml:space="preserve">Tabla 52. Diferencias de cantidades documentadas y control del PCM-04 que las habría detectado</w:t>
        </w:r>
        <w:r>
          <w:tab/>
        </w:r>
        <w:r>
          <w:fldChar w:fldCharType="begin"/>
        </w:r>
        <w:r>
          <w:instrText xml:space="preserve"> PAGEREF tab52 \h </w:instrText>
        </w:r>
        <w:r>
          <w:fldChar w:fldCharType="separate"/>
        </w:r>
        <w:r>
          <w:t>192</w:t>
        </w:r>
        <w:r>
          <w:fldChar w:fldCharType="end"/>
        </w:r>
      </w:hyperlink>
    </w:p>
    <w:p>
      <w:pPr>
        <w:pStyle w:val="tableoffigures"/>
      </w:pPr>
      <w:hyperlink w:anchor="tab53" w:history="1">
        <w:r>
          <w:t xml:space="preserve">Tabla 53. Coeficiente V de Aiken por criterio de validación del SGC</w:t>
        </w:r>
        <w:r>
          <w:tab/>
        </w:r>
        <w:r>
          <w:fldChar w:fldCharType="begin"/>
        </w:r>
        <w:r>
          <w:instrText xml:space="preserve"> PAGEREF tab53 \h </w:instrText>
        </w:r>
        <w:r>
          <w:fldChar w:fldCharType="separate"/>
        </w:r>
        <w:r>
          <w:t>194</w:t>
        </w:r>
        <w:r>
          <w:fldChar w:fldCharType="end"/>
        </w:r>
      </w:hyperlink>
    </w:p>
    <w:p>
      <w:pPr>
        <w:pStyle w:val="tableoffigures"/>
      </w:pPr>
      <w:hyperlink w:anchor="tab54" w:history="1">
        <w:r>
          <w:t xml:space="preserve">Tabla 54. Matriz de consistencia de la investigación</w:t>
        </w:r>
        <w:r>
          <w:tab/>
        </w:r>
        <w:r>
          <w:fldChar w:fldCharType="begin"/>
        </w:r>
        <w:r>
          <w:instrText xml:space="preserve"> PAGEREF tab54 \h </w:instrText>
        </w:r>
        <w:r>
          <w:fldChar w:fldCharType="separate"/>
        </w:r>
        <w:r>
          <w:t>222</w:t>
        </w:r>
        <w:r>
          <w:fldChar w:fldCharType="end"/>
        </w:r>
      </w:hyperlink>
    </w:p>
    <w:p>
      <w:pPr>
        <w:pStyle w:val="tableoffigures"/>
      </w:pPr>
      <w:hyperlink w:anchor="tab55" w:history="1">
        <w:r>
          <w:t xml:space="preserve">Tabla 55. Operacionalización de las variables</w:t>
        </w:r>
        <w:r>
          <w:tab/>
        </w:r>
        <w:r>
          <w:fldChar w:fldCharType="begin"/>
        </w:r>
        <w:r>
          <w:instrText xml:space="preserve"> PAGEREF tab55 \h </w:instrText>
        </w:r>
        <w:r>
          <w:fldChar w:fldCharType="separate"/>
        </w:r>
        <w:r>
          <w:t>225</w:t>
        </w:r>
        <w:r>
          <w:fldChar w:fldCharType="end"/>
        </w:r>
      </w:hyperlink>
    </w:p>
    <w:p>
      <w:pPr>
        <w:pStyle w:val="tableoffigures"/>
      </w:pPr>
      <w:hyperlink w:anchor="tab56" w:history="1">
        <w:r>
          <w:t xml:space="preserve">Tabla 56. Lista de verificación C.1 aplicada a la ejecución de la primera losa</w:t>
        </w:r>
        <w:r>
          <w:tab/>
        </w:r>
        <w:r>
          <w:fldChar w:fldCharType="begin"/>
        </w:r>
        <w:r>
          <w:instrText xml:space="preserve"> PAGEREF tab56 \h </w:instrText>
        </w:r>
        <w:r>
          <w:fldChar w:fldCharType="separate"/>
        </w:r>
        <w:r>
          <w:t>229</w:t>
        </w:r>
        <w:r>
          <w:fldChar w:fldCharType="end"/>
        </w:r>
      </w:hyperlink>
    </w:p>
    <w:p>
      <w:pPr>
        <w:pStyle w:val="tableoffigures"/>
      </w:pPr>
      <w:hyperlink w:anchor="tab57" w:history="1">
        <w:r>
          <w:t xml:space="preserve">Tabla 57. Resumen de la lista de verificación C.1 por cláusula</w:t>
        </w:r>
        <w:r>
          <w:tab/>
        </w:r>
        <w:r>
          <w:fldChar w:fldCharType="begin"/>
        </w:r>
        <w:r>
          <w:instrText xml:space="preserve"> PAGEREF tab57 \h </w:instrText>
        </w:r>
        <w:r>
          <w:fldChar w:fldCharType="separate"/>
        </w:r>
        <w:r>
          <w:t>239</w:t>
        </w:r>
        <w:r>
          <w:fldChar w:fldCharType="end"/>
        </w:r>
      </w:hyperlink>
    </w:p>
    <w:p>
      <w:pPr>
        <w:pStyle w:val="tableoffigures"/>
      </w:pPr>
      <w:hyperlink w:anchor="tab65" w:history="1">
        <w:r>
          <w:t xml:space="preserve">Tabla 65. Parámetros inciertos del modelo de costos y sus fuentes</w:t>
        </w:r>
        <w:r>
          <w:tab/>
        </w:r>
        <w:r>
          <w:fldChar w:fldCharType="begin"/>
        </w:r>
        <w:r>
          <w:instrText xml:space="preserve"> PAGEREF tab65 \h </w:instrText>
        </w:r>
        <w:r>
          <w:fldChar w:fldCharType="separate"/>
        </w:r>
        <w:r>
          <w:t>274</w:t>
        </w:r>
        <w:r>
          <w:fldChar w:fldCharType="end"/>
        </w:r>
      </w:hyperlink>
    </w:p>
    <w:p>
      <w:pPr>
        <w:pStyle w:val="TOCHeading"/>
      </w:pPr>
      <w:bookmarkStart w:id="1403" w:name="idxlof"/>
      <w:r>
        <w:t xml:space="preserve">Índice de figuras</w:t>
      </w:r>
      <w:bookmarkEnd w:id="1403"/>
    </w:p>
    <w:p>
      <w:pPr>
        <w:pStyle w:val="tableoffigures"/>
      </w:pPr>
      <w:hyperlink w:anchor="fig1" w:history="1">
        <w:r>
          <w:t xml:space="preserve">Figura 1. Estructura de la norma ISO 9001 representada en el ciclo PHVA</w:t>
        </w:r>
        <w:r>
          <w:tab/>
        </w:r>
        <w:r>
          <w:fldChar w:fldCharType="begin"/>
        </w:r>
        <w:r>
          <w:instrText xml:space="preserve"> PAGEREF fig1 \h </w:instrText>
        </w:r>
        <w:r>
          <w:fldChar w:fldCharType="separate"/>
        </w:r>
        <w:r>
          <w:t>38</w:t>
        </w:r>
        <w:r>
          <w:fldChar w:fldCharType="end"/>
        </w:r>
      </w:hyperlink>
    </w:p>
    <w:p>
      <w:pPr>
        <w:pStyle w:val="tableoffigures"/>
      </w:pPr>
      <w:hyperlink w:anchor="fig2" w:history="1">
        <w:r>
          <w:t xml:space="preserve">Figura 2. Curvas de los costos de la calidad y punto óptimo operativo provisional</w:t>
        </w:r>
        <w:r>
          <w:tab/>
        </w:r>
        <w:r>
          <w:fldChar w:fldCharType="begin"/>
        </w:r>
        <w:r>
          <w:instrText xml:space="preserve"> PAGEREF fig2 \h </w:instrText>
        </w:r>
        <w:r>
          <w:fldChar w:fldCharType="separate"/>
        </w:r>
        <w:r>
          <w:t>45</w:t>
        </w:r>
        <w:r>
          <w:fldChar w:fldCharType="end"/>
        </w:r>
      </w:hyperlink>
    </w:p>
    <w:p>
      <w:pPr>
        <w:pStyle w:val="tableoffigures"/>
      </w:pPr>
      <w:hyperlink w:anchor="fig3" w:history="1">
        <w:r>
          <w:t xml:space="preserve">Figura 3. Sección típica de la losa alivianada con viguetas pretensadas</w:t>
        </w:r>
        <w:r>
          <w:tab/>
        </w:r>
        <w:r>
          <w:fldChar w:fldCharType="begin"/>
        </w:r>
        <w:r>
          <w:instrText xml:space="preserve"> PAGEREF fig3 \h </w:instrText>
        </w:r>
        <w:r>
          <w:fldChar w:fldCharType="separate"/>
        </w:r>
        <w:r>
          <w:t>53</w:t>
        </w:r>
        <w:r>
          <w:fldChar w:fldCharType="end"/>
        </w:r>
      </w:hyperlink>
    </w:p>
    <w:p>
      <w:pPr>
        <w:pStyle w:val="tableoffigures"/>
      </w:pPr>
      <w:hyperlink w:anchor="fig4" w:history="1">
        <w:r>
          <w:t xml:space="preserve">Figura 4. Corte transversal de la losa con la carpeta de compresión y la armadura de distribución</w:t>
        </w:r>
        <w:r>
          <w:tab/>
        </w:r>
        <w:r>
          <w:fldChar w:fldCharType="begin"/>
        </w:r>
        <w:r>
          <w:instrText xml:space="preserve"> PAGEREF fig4 \h </w:instrText>
        </w:r>
        <w:r>
          <w:fldChar w:fldCharType="separate"/>
        </w:r>
        <w:r>
          <w:t>54</w:t>
        </w:r>
        <w:r>
          <w:fldChar w:fldCharType="end"/>
        </w:r>
      </w:hyperlink>
    </w:p>
    <w:p>
      <w:pPr>
        <w:pStyle w:val="tableoffigures"/>
      </w:pPr>
      <w:hyperlink w:anchor="fig5" w:history="1">
        <w:r>
          <w:t xml:space="preserve">Figura 5. Esquema del modelo de investigación con posprueba simulada</w:t>
        </w:r>
        <w:r>
          <w:tab/>
        </w:r>
        <w:r>
          <w:fldChar w:fldCharType="begin"/>
        </w:r>
        <w:r>
          <w:instrText xml:space="preserve"> PAGEREF fig5 \h </w:instrText>
        </w:r>
        <w:r>
          <w:fldChar w:fldCharType="separate"/>
        </w:r>
        <w:r>
          <w:t>80</w:t>
        </w:r>
        <w:r>
          <w:fldChar w:fldCharType="end"/>
        </w:r>
      </w:hyperlink>
    </w:p>
    <w:p>
      <w:pPr>
        <w:pStyle w:val="tableoffigures"/>
      </w:pPr>
      <w:hyperlink w:anchor="fig6" w:history="1">
        <w:r>
          <w:t xml:space="preserve">Figura 6. Geometría y paños de la primera losa del Edificio de Posgrado</w:t>
        </w:r>
        <w:r>
          <w:tab/>
        </w:r>
        <w:r>
          <w:fldChar w:fldCharType="begin"/>
        </w:r>
        <w:r>
          <w:instrText xml:space="preserve"> PAGEREF fig6 \h </w:instrText>
        </w:r>
        <w:r>
          <w:fldChar w:fldCharType="separate"/>
        </w:r>
        <w:r>
          <w:t>89</w:t>
        </w:r>
        <w:r>
          <w:fldChar w:fldCharType="end"/>
        </w:r>
      </w:hyperlink>
    </w:p>
    <w:p>
      <w:pPr>
        <w:pStyle w:val="tableoffigures"/>
      </w:pPr>
      <w:hyperlink w:anchor="fig7" w:history="1">
        <w:r>
          <w:t xml:space="preserve">Figura 7. Cumplimiento de los requisitos de ISO 9001 por cláusula en la primera losa y en dos diagnósticos de referencia</w:t>
        </w:r>
        <w:r>
          <w:tab/>
        </w:r>
        <w:r>
          <w:fldChar w:fldCharType="begin"/>
        </w:r>
        <w:r>
          <w:instrText xml:space="preserve"> PAGEREF fig7 \h </w:instrText>
        </w:r>
        <w:r>
          <w:fldChar w:fldCharType="separate"/>
        </w:r>
        <w:r>
          <w:t>96</w:t>
        </w:r>
        <w:r>
          <w:fldChar w:fldCharType="end"/>
        </w:r>
      </w:hyperlink>
    </w:p>
    <w:p>
      <w:pPr>
        <w:pStyle w:val="tableoffigures"/>
      </w:pPr>
      <w:hyperlink w:anchor="fig8" w:history="1">
        <w:r>
          <w:t xml:space="preserve">Figura 8. Diagrama de Pareto de las no conformidades de la primera losa por categoría</w:t>
        </w:r>
        <w:r>
          <w:tab/>
        </w:r>
        <w:r>
          <w:fldChar w:fldCharType="begin"/>
        </w:r>
        <w:r>
          <w:instrText xml:space="preserve"> PAGEREF fig8 \h </w:instrText>
        </w:r>
        <w:r>
          <w:fldChar w:fldCharType="separate"/>
        </w:r>
        <w:r>
          <w:t>113</w:t>
        </w:r>
        <w:r>
          <w:fldChar w:fldCharType="end"/>
        </w:r>
      </w:hyperlink>
    </w:p>
    <w:p>
      <w:pPr>
        <w:pStyle w:val="tableoffigures"/>
      </w:pPr>
      <w:hyperlink w:anchor="fig9" w:history="1">
        <w:r>
          <w:t xml:space="preserve">Figura 9. Diagrama de Ishikawa del desperdicio de materiales y los sobrecostos de la primera losa</w:t>
        </w:r>
        <w:r>
          <w:tab/>
        </w:r>
        <w:r>
          <w:fldChar w:fldCharType="begin"/>
        </w:r>
        <w:r>
          <w:instrText xml:space="preserve"> PAGEREF fig9 \h </w:instrText>
        </w:r>
        <w:r>
          <w:fldChar w:fldCharType="separate"/>
        </w:r>
        <w:r>
          <w:t>114</w:t>
        </w:r>
        <w:r>
          <w:fldChar w:fldCharType="end"/>
        </w:r>
      </w:hyperlink>
    </w:p>
    <w:p>
      <w:pPr>
        <w:pStyle w:val="tableoffigures"/>
      </w:pPr>
      <w:hyperlink w:anchor="fig10" w:history="1">
        <w:r>
          <w:t xml:space="preserve">Figura 10. Ciclo PHVA aplicado a la ejecución de la losa alivianada</w:t>
        </w:r>
        <w:r>
          <w:tab/>
        </w:r>
        <w:r>
          <w:fldChar w:fldCharType="begin"/>
        </w:r>
        <w:r>
          <w:instrText xml:space="preserve"> PAGEREF fig10 \h </w:instrText>
        </w:r>
        <w:r>
          <w:fldChar w:fldCharType="separate"/>
        </w:r>
        <w:r>
          <w:t>124</w:t>
        </w:r>
        <w:r>
          <w:fldChar w:fldCharType="end"/>
        </w:r>
      </w:hyperlink>
    </w:p>
    <w:p>
      <w:pPr>
        <w:pStyle w:val="tableoffigures"/>
      </w:pPr>
      <w:hyperlink w:anchor="fig11" w:history="1">
        <w:r>
          <w:t xml:space="preserve">Figura 11. Mapa de procesos del ítem losa alivianada</w:t>
        </w:r>
        <w:r>
          <w:tab/>
        </w:r>
        <w:r>
          <w:fldChar w:fldCharType="begin"/>
        </w:r>
        <w:r>
          <w:instrText xml:space="preserve"> PAGEREF fig11 \h </w:instrText>
        </w:r>
        <w:r>
          <w:fldChar w:fldCharType="separate"/>
        </w:r>
        <w:r>
          <w:t>139</w:t>
        </w:r>
        <w:r>
          <w:fldChar w:fldCharType="end"/>
        </w:r>
      </w:hyperlink>
    </w:p>
    <w:p>
      <w:pPr>
        <w:pStyle w:val="tableoffigures"/>
      </w:pPr>
      <w:hyperlink w:anchor="fig12" w:history="1">
        <w:r>
          <w:t xml:space="preserve">Figura 12. Flujo del procedimiento de no conformidades y acción correctiva</w:t>
        </w:r>
        <w:r>
          <w:tab/>
        </w:r>
        <w:r>
          <w:fldChar w:fldCharType="begin"/>
        </w:r>
        <w:r>
          <w:instrText xml:space="preserve"> PAGEREF fig12 \h </w:instrText>
        </w:r>
        <w:r>
          <w:fldChar w:fldCharType="separate"/>
        </w:r>
        <w:r>
          <w:t>161</w:t>
        </w:r>
        <w:r>
          <w:fldChar w:fldCharType="end"/>
        </w:r>
      </w:hyperlink>
    </w:p>
    <w:p>
      <w:pPr>
        <w:pStyle w:val="tableoffigures"/>
      </w:pPr>
      <w:hyperlink w:anchor="fig13" w:history="1">
        <w:r>
          <w:t xml:space="preserve">Figura 13. Costo de no calidad por componente sin SGC y con SGC, con los valores más probables de los parámetros</w:t>
        </w:r>
        <w:r>
          <w:tab/>
        </w:r>
        <w:r>
          <w:fldChar w:fldCharType="begin"/>
        </w:r>
        <w:r>
          <w:instrText xml:space="preserve"> PAGEREF fig13 \h </w:instrText>
        </w:r>
        <w:r>
          <w:fldChar w:fldCharType="separate"/>
        </w:r>
        <w:r>
          <w:t>180</w:t>
        </w:r>
        <w:r>
          <w:fldChar w:fldCharType="end"/>
        </w:r>
      </w:hyperlink>
    </w:p>
    <w:p>
      <w:pPr>
        <w:pStyle w:val="tableoffigures"/>
      </w:pPr>
      <w:hyperlink w:anchor="fig14" w:history="1">
        <w:r>
          <w:t xml:space="preserve">Figura 14. Distribución de la reducción relativa del costo unitario en los escenarios simulados</w:t>
        </w:r>
        <w:r>
          <w:tab/>
        </w:r>
        <w:r>
          <w:fldChar w:fldCharType="begin"/>
        </w:r>
        <w:r>
          <w:instrText xml:space="preserve"> PAGEREF fig14 \h </w:instrText>
        </w:r>
        <w:r>
          <w:fldChar w:fldCharType="separate"/>
        </w:r>
        <w:r>
          <w:t>183</w:t>
        </w:r>
        <w:r>
          <w:fldChar w:fldCharType="end"/>
        </w:r>
      </w:hyperlink>
    </w:p>
    <w:p>
      <w:pPr>
        <w:pStyle w:val="tableoffigures"/>
      </w:pPr>
      <w:hyperlink w:anchor="fig15" w:history="1">
        <w:r>
          <w:t xml:space="preserve">Figura 15. Distribución acumulada del costo unitario de ejecución sin SGC y con SGC</w:t>
        </w:r>
        <w:r>
          <w:tab/>
        </w:r>
        <w:r>
          <w:fldChar w:fldCharType="begin"/>
        </w:r>
        <w:r>
          <w:instrText xml:space="preserve"> PAGEREF fig15 \h </w:instrText>
        </w:r>
        <w:r>
          <w:fldChar w:fldCharType="separate"/>
        </w:r>
        <w:r>
          <w:t>184</w:t>
        </w:r>
        <w:r>
          <w:fldChar w:fldCharType="end"/>
        </w:r>
      </w:hyperlink>
    </w:p>
    <w:p>
      <w:pPr>
        <w:pStyle w:val="tableoffigures"/>
      </w:pPr>
      <w:hyperlink w:anchor="fig16" w:history="1">
        <w:r>
          <w:t xml:space="preserve">Figura 16. Sensibilidad de la reducción del costo unitario a cada parámetro del modelo</w:t>
        </w:r>
        <w:r>
          <w:tab/>
        </w:r>
        <w:r>
          <w:fldChar w:fldCharType="begin"/>
        </w:r>
        <w:r>
          <w:instrText xml:space="preserve"> PAGEREF fig16 \h </w:instrText>
        </w:r>
        <w:r>
          <w:fldChar w:fldCharType="separate"/>
        </w:r>
        <w:r>
          <w:t>187</w:t>
        </w:r>
        <w:r>
          <w:fldChar w:fldCharType="end"/>
        </w:r>
      </w:hyperlink>
    </w:p>
    <w:p>
      <w:pPr>
        <w:pStyle w:val="tableoffigures"/>
      </w:pPr>
      <w:hyperlink w:anchor="fig17" w:history="1">
        <w:r>
          <w:t xml:space="preserve">Figura 17. Media acumulada de la reducción del costo unitario según el número de iteraciones</w:t>
        </w:r>
        <w:r>
          <w:tab/>
        </w:r>
        <w:r>
          <w:fldChar w:fldCharType="begin"/>
        </w:r>
        <w:r>
          <w:instrText xml:space="preserve"> PAGEREF fig17 \h </w:instrText>
        </w:r>
        <w:r>
          <w:fldChar w:fldCharType="separate"/>
        </w:r>
        <w:r>
          <w:t>276</w:t>
        </w:r>
        <w:r>
          <w:fldChar w:fldCharType="end"/>
        </w:r>
      </w:hyperlink>
    </w:p>
    <w:p>
      <w:pPr>
        <w:pStyle w:val="Heading1"/>
      </w:pPr>
      <w:bookmarkStart w:id="22" w:name="tit3"/>
      <w:r>
        <w:t xml:space="preserve">Lista de abreviaturas y siglas</w:t>
      </w:r>
      <w:bookmarkEnd w:id="22"/>
    </w:p>
    <w:tbl>
      <w:tblPr>
        <w:tblStyle w:val="Table"/>
        <w:tblW w:w="9360" w:type="dxa"/>
        <w:jc w:val="left"/>
        <w:tblLayout w:type="fixed"/>
        <w:tblCellMar>
          <w:top w:w="0" w:type="dxa"/>
          <w:left w:w="85" w:type="dxa"/>
          <w:bottom w:w="0" w:type="dxa"/>
          <w:right w:w="85" w:type="dxa"/>
        </w:tblCellMar>
        <w:tblLook w:firstRow="0" w:lastRow="0" w:firstColumn="0" w:lastColumn="0" w:noHBand="0" w:noVBand="0" w:val="0000"/>
      </w:tblPr>
      <w:tblGrid>
        <w:gridCol w:w="2075"/>
        <w:gridCol w:w="7285"/>
      </w:tblGrid>
      <w:tr>
        <w:tc>
          <w:tcPr>
            <w:tcW w:w="2075" w:type="dxa"/>
          </w:tcPr>
          <w:p>
            <w:pPr>
              <w:pStyle w:val="CeldaAPA"/>
              <w:jc w:val="left"/>
            </w:pPr>
            <w:r>
              <w:rPr>
                <w:bCs/>
                <w:b/>
              </w:rPr>
              <w:t xml:space="preserve">ACI</w:t>
            </w:r>
          </w:p>
        </w:tc>
        <w:tc>
          <w:tcPr>
            <w:tcW w:w="7285" w:type="dxa"/>
          </w:tcPr>
          <w:p>
            <w:pPr>
              <w:pStyle w:val="CeldaAPA"/>
              <w:jc w:val="left"/>
            </w:pPr>
            <w:r>
              <w:rPr/>
              <w:t xml:space="preserve">American Concrete Institute</w:t>
            </w:r>
          </w:p>
        </w:tc>
      </w:tr>
      <w:tr>
        <w:tc>
          <w:tcPr>
            <w:tcW w:w="2075" w:type="dxa"/>
          </w:tcPr>
          <w:p>
            <w:pPr>
              <w:pStyle w:val="CeldaAPA"/>
              <w:jc w:val="left"/>
            </w:pPr>
            <w:r>
              <w:rPr>
                <w:bCs/>
                <w:b/>
              </w:rPr>
              <w:t xml:space="preserve">APU</w:t>
            </w:r>
          </w:p>
        </w:tc>
        <w:tc>
          <w:tcPr>
            <w:tcW w:w="7285" w:type="dxa"/>
          </w:tcPr>
          <w:p>
            <w:pPr>
              <w:pStyle w:val="CeldaAPA"/>
              <w:jc w:val="left"/>
            </w:pPr>
            <w:r>
              <w:rPr/>
              <w:t xml:space="preserve">Análisis de precios unitarios</w:t>
            </w:r>
          </w:p>
        </w:tc>
      </w:tr>
      <w:tr>
        <w:tc>
          <w:tcPr>
            <w:tcW w:w="2075" w:type="dxa"/>
          </w:tcPr>
          <w:p>
            <w:pPr>
              <w:pStyle w:val="CeldaAPA"/>
              <w:jc w:val="left"/>
            </w:pPr>
            <w:r>
              <w:rPr>
                <w:bCs/>
                <w:b/>
              </w:rPr>
              <w:t xml:space="preserve">ASTM</w:t>
            </w:r>
          </w:p>
        </w:tc>
        <w:tc>
          <w:tcPr>
            <w:tcW w:w="7285" w:type="dxa"/>
          </w:tcPr>
          <w:p>
            <w:pPr>
              <w:pStyle w:val="CeldaAPA"/>
              <w:jc w:val="left"/>
            </w:pPr>
            <w:r>
              <w:rPr/>
              <w:t xml:space="preserve">ASTM International (antes American Society for Testing and Materials)</w:t>
            </w:r>
          </w:p>
        </w:tc>
      </w:tr>
      <w:tr>
        <w:tc>
          <w:tcPr>
            <w:tcW w:w="2075" w:type="dxa"/>
          </w:tcPr>
          <w:p>
            <w:pPr>
              <w:pStyle w:val="CeldaAPA"/>
              <w:jc w:val="left"/>
            </w:pPr>
            <w:r>
              <w:rPr>
                <w:bCs/>
                <w:b/>
              </w:rPr>
              <w:t xml:space="preserve">CADECO</w:t>
            </w:r>
          </w:p>
        </w:tc>
        <w:tc>
          <w:tcPr>
            <w:tcW w:w="7285" w:type="dxa"/>
          </w:tcPr>
          <w:p>
            <w:pPr>
              <w:pStyle w:val="CeldaAPA"/>
              <w:jc w:val="left"/>
            </w:pPr>
            <w:r>
              <w:rPr/>
              <w:t xml:space="preserve">Cámara Departamental de la Construcción</w:t>
            </w:r>
          </w:p>
        </w:tc>
      </w:tr>
      <w:tr>
        <w:tc>
          <w:tcPr>
            <w:tcW w:w="2075" w:type="dxa"/>
          </w:tcPr>
          <w:p>
            <w:pPr>
              <w:pStyle w:val="CeldaAPA"/>
              <w:jc w:val="left"/>
            </w:pPr>
            <w:r>
              <w:rPr>
                <w:bCs/>
                <w:b/>
              </w:rPr>
              <w:t xml:space="preserve">CBH-87</w:t>
            </w:r>
          </w:p>
        </w:tc>
        <w:tc>
          <w:tcPr>
            <w:tcW w:w="7285" w:type="dxa"/>
          </w:tcPr>
          <w:p>
            <w:pPr>
              <w:pStyle w:val="CeldaAPA"/>
              <w:jc w:val="left"/>
            </w:pPr>
            <w:r>
              <w:rPr/>
              <w:t xml:space="preserve">Código Boliviano del Hormigón Armado de 1987</w:t>
            </w:r>
          </w:p>
        </w:tc>
      </w:tr>
      <w:tr>
        <w:tc>
          <w:tcPr>
            <w:tcW w:w="2075" w:type="dxa"/>
          </w:tcPr>
          <w:p>
            <w:pPr>
              <w:pStyle w:val="CeldaAPA"/>
              <w:jc w:val="left"/>
            </w:pPr>
            <w:r>
              <w:rPr>
                <w:bCs/>
                <w:b/>
              </w:rPr>
              <w:t xml:space="preserve">CC</w:t>
            </w:r>
          </w:p>
        </w:tc>
        <w:tc>
          <w:tcPr>
            <w:tcW w:w="7285" w:type="dxa"/>
          </w:tcPr>
          <w:p>
            <w:pPr>
              <w:pStyle w:val="CeldaAPA"/>
              <w:jc w:val="left"/>
            </w:pPr>
            <w:r>
              <w:rPr/>
              <w:t xml:space="preserve">Costo de la calidad (prevención y evaluación)</w:t>
            </w:r>
          </w:p>
        </w:tc>
      </w:tr>
      <w:tr>
        <w:tc>
          <w:tcPr>
            <w:tcW w:w="2075" w:type="dxa"/>
          </w:tcPr>
          <w:p>
            <w:pPr>
              <w:pStyle w:val="CeldaAPA"/>
              <w:jc w:val="left"/>
            </w:pPr>
            <w:r>
              <w:rPr>
                <w:bCs/>
                <w:b/>
              </w:rPr>
              <w:t xml:space="preserve">CD</w:t>
            </w:r>
          </w:p>
        </w:tc>
        <w:tc>
          <w:tcPr>
            <w:tcW w:w="7285" w:type="dxa"/>
          </w:tcPr>
          <w:p>
            <w:pPr>
              <w:pStyle w:val="CeldaAPA"/>
              <w:jc w:val="left"/>
            </w:pPr>
            <w:r>
              <w:rPr/>
              <w:t xml:space="preserve">Costo directo</w:t>
            </w:r>
          </w:p>
        </w:tc>
      </w:tr>
      <w:tr>
        <w:tc>
          <w:tcPr>
            <w:tcW w:w="2075" w:type="dxa"/>
          </w:tcPr>
          <w:p>
            <w:pPr>
              <w:pStyle w:val="CeldaAPA"/>
              <w:jc w:val="left"/>
            </w:pPr>
            <w:r>
              <w:rPr>
                <w:bCs/>
                <w:b/>
              </w:rPr>
              <w:t xml:space="preserve">CNC</w:t>
            </w:r>
          </w:p>
        </w:tc>
        <w:tc>
          <w:tcPr>
            <w:tcW w:w="7285" w:type="dxa"/>
          </w:tcPr>
          <w:p>
            <w:pPr>
              <w:pStyle w:val="CeldaAPA"/>
              <w:jc w:val="left"/>
            </w:pPr>
            <w:r>
              <w:rPr/>
              <w:t xml:space="preserve">Costo de no calidad (fallas internas y externas)</w:t>
            </w:r>
          </w:p>
        </w:tc>
      </w:tr>
      <w:tr>
        <w:tc>
          <w:tcPr>
            <w:tcW w:w="2075" w:type="dxa"/>
          </w:tcPr>
          <w:p>
            <w:pPr>
              <w:pStyle w:val="CeldaAPA"/>
              <w:jc w:val="left"/>
            </w:pPr>
            <w:r>
              <w:rPr>
                <w:bCs/>
                <w:b/>
              </w:rPr>
              <w:t xml:space="preserve">CU</w:t>
            </w:r>
          </w:p>
        </w:tc>
        <w:tc>
          <w:tcPr>
            <w:tcW w:w="7285" w:type="dxa"/>
          </w:tcPr>
          <w:p>
            <w:pPr>
              <w:pStyle w:val="CeldaAPA"/>
              <w:jc w:val="left"/>
            </w:pPr>
            <w:r>
              <w:rPr/>
              <w:t xml:space="preserve">Costo unitario de ejecución (Bs/m</w:t>
            </w:r>
            <w:r>
              <w:rPr>
                <w:vertAlign w:val="superscript"/>
              </w:rPr>
              <w:t xml:space="preserve">2</w:t>
            </w:r>
            <w:r>
              <w:rPr/>
              <w:t xml:space="preserve">)</w:t>
            </w:r>
          </w:p>
        </w:tc>
      </w:tr>
      <w:tr>
        <w:tc>
          <w:tcPr>
            <w:tcW w:w="2075" w:type="dxa"/>
          </w:tcPr>
          <w:p>
            <w:pPr>
              <w:pStyle w:val="CeldaAPA"/>
              <w:jc w:val="left"/>
            </w:pPr>
            <w:r>
              <w:rPr>
                <w:bCs/>
                <w:b/>
              </w:rPr>
              <w:t xml:space="preserve">CUCE</w:t>
            </w:r>
          </w:p>
        </w:tc>
        <w:tc>
          <w:tcPr>
            <w:tcW w:w="7285" w:type="dxa"/>
          </w:tcPr>
          <w:p>
            <w:pPr>
              <w:pStyle w:val="CeldaAPA"/>
              <w:jc w:val="left"/>
            </w:pPr>
            <w:r>
              <w:rPr/>
              <w:t xml:space="preserve">Código Único de Contrataciones Estatales</w:t>
            </w:r>
          </w:p>
        </w:tc>
      </w:tr>
      <w:tr>
        <w:tc>
          <w:tcPr>
            <w:tcW w:w="2075" w:type="dxa"/>
          </w:tcPr>
          <w:p>
            <w:pPr>
              <w:pStyle w:val="CeldaAPA"/>
              <w:jc w:val="left"/>
            </w:pPr>
            <w:r>
              <w:rPr>
                <w:bCs/>
                <w:b/>
              </w:rPr>
              <w:t xml:space="preserve">CV</w:t>
            </w:r>
          </w:p>
        </w:tc>
        <w:tc>
          <w:tcPr>
            <w:tcW w:w="7285" w:type="dxa"/>
          </w:tcPr>
          <w:p>
            <w:pPr>
              <w:pStyle w:val="CeldaAPA"/>
              <w:jc w:val="left"/>
            </w:pPr>
            <w:r>
              <w:rPr/>
              <w:t xml:space="preserve">Coeficiente de variación</w:t>
            </w:r>
          </w:p>
        </w:tc>
      </w:tr>
      <w:tr>
        <w:tc>
          <w:tcPr>
            <w:tcW w:w="2075" w:type="dxa"/>
          </w:tcPr>
          <w:p>
            <w:pPr>
              <w:pStyle w:val="CeldaAPA"/>
              <w:jc w:val="left"/>
            </w:pPr>
            <w:r>
              <w:rPr>
                <w:bCs/>
                <w:b/>
              </w:rPr>
              <w:t xml:space="preserve">DBC</w:t>
            </w:r>
          </w:p>
        </w:tc>
        <w:tc>
          <w:tcPr>
            <w:tcW w:w="7285" w:type="dxa"/>
          </w:tcPr>
          <w:p>
            <w:pPr>
              <w:pStyle w:val="CeldaAPA"/>
              <w:jc w:val="left"/>
            </w:pPr>
            <w:r>
              <w:rPr/>
              <w:t xml:space="preserve">Documento Base de Contratación</w:t>
            </w:r>
          </w:p>
        </w:tc>
      </w:tr>
      <w:tr>
        <w:tc>
          <w:tcPr>
            <w:tcW w:w="2075" w:type="dxa"/>
          </w:tcPr>
          <w:p>
            <w:pPr>
              <w:pStyle w:val="CeldaAPA"/>
              <w:jc w:val="left"/>
            </w:pPr>
            <w:r>
              <w:rPr>
                <w:bCs/>
                <w:b/>
              </w:rPr>
              <w:t xml:space="preserve">D. S.</w:t>
            </w:r>
          </w:p>
        </w:tc>
        <w:tc>
          <w:tcPr>
            <w:tcW w:w="7285" w:type="dxa"/>
          </w:tcPr>
          <w:p>
            <w:pPr>
              <w:pStyle w:val="CeldaAPA"/>
              <w:jc w:val="left"/>
            </w:pPr>
            <w:r>
              <w:rPr/>
              <w:t xml:space="preserve">Decreto Supremo</w:t>
            </w:r>
          </w:p>
        </w:tc>
      </w:tr>
      <w:tr>
        <w:tc>
          <w:tcPr>
            <w:tcW w:w="2075" w:type="dxa"/>
          </w:tcPr>
          <w:p>
            <w:pPr>
              <w:pStyle w:val="CeldaAPA"/>
              <w:jc w:val="left"/>
            </w:pPr>
            <w:r>
              <w:rPr>
                <w:bCs/>
                <w:b/>
              </w:rPr>
              <w:t xml:space="preserve">EPS</w:t>
            </w:r>
          </w:p>
        </w:tc>
        <w:tc>
          <w:tcPr>
            <w:tcW w:w="7285" w:type="dxa"/>
          </w:tcPr>
          <w:p>
            <w:pPr>
              <w:pStyle w:val="CeldaAPA"/>
              <w:jc w:val="left"/>
            </w:pPr>
            <w:r>
              <w:rPr/>
              <w:t xml:space="preserve">Poliestireno expandido (plastoformo)</w:t>
            </w:r>
          </w:p>
        </w:tc>
      </w:tr>
      <w:tr>
        <w:tc>
          <w:tcPr>
            <w:tcW w:w="2075" w:type="dxa"/>
          </w:tcPr>
          <w:p>
            <w:pPr>
              <w:pStyle w:val="CeldaAPA"/>
              <w:jc w:val="left"/>
            </w:pPr>
            <w:r>
              <w:rPr>
                <w:bCs/>
                <w:b/>
              </w:rPr>
              <w:t xml:space="preserve">ET</w:t>
            </w:r>
          </w:p>
        </w:tc>
        <w:tc>
          <w:tcPr>
            <w:tcW w:w="7285" w:type="dxa"/>
          </w:tcPr>
          <w:p>
            <w:pPr>
              <w:pStyle w:val="CeldaAPA"/>
              <w:jc w:val="left"/>
            </w:pPr>
            <w:r>
              <w:rPr/>
              <w:t xml:space="preserve">Especificaciones técnicas</w:t>
            </w:r>
          </w:p>
        </w:tc>
      </w:tr>
      <w:tr>
        <w:tc>
          <w:tcPr>
            <w:tcW w:w="2075" w:type="dxa"/>
          </w:tcPr>
          <w:p>
            <w:pPr>
              <w:pStyle w:val="CeldaAPA"/>
              <w:jc w:val="left"/>
            </w:pPr>
            <w:r>
              <w:rPr>
                <w:bCs/>
                <w:b/>
              </w:rPr>
              <w:t xml:space="preserve">FANCESA</w:t>
            </w:r>
          </w:p>
        </w:tc>
        <w:tc>
          <w:tcPr>
            <w:tcW w:w="7285" w:type="dxa"/>
          </w:tcPr>
          <w:p>
            <w:pPr>
              <w:pStyle w:val="CeldaAPA"/>
              <w:jc w:val="left"/>
            </w:pPr>
            <w:r>
              <w:rPr/>
              <w:t xml:space="preserve">Fábrica Nacional de Cemento S. A.</w:t>
            </w:r>
          </w:p>
        </w:tc>
      </w:tr>
      <w:tr>
        <w:tc>
          <w:tcPr>
            <w:tcW w:w="2075" w:type="dxa"/>
          </w:tcPr>
          <w:p>
            <w:pPr>
              <w:pStyle w:val="CeldaAPA"/>
              <w:jc w:val="left"/>
            </w:pPr>
            <w:r>
              <w:rPr>
                <w:bCs/>
                <w:b/>
              </w:rPr>
              <w:t xml:space="preserve">f’c</w:t>
            </w:r>
          </w:p>
        </w:tc>
        <w:tc>
          <w:tcPr>
            <w:tcW w:w="7285" w:type="dxa"/>
          </w:tcPr>
          <w:p>
            <w:pPr>
              <w:pStyle w:val="CeldaAPA"/>
              <w:jc w:val="left"/>
            </w:pPr>
            <w:r>
              <w:rPr/>
              <w:t xml:space="preserve">Resistencia especificada a la compresión del hormigón</w:t>
            </w:r>
          </w:p>
        </w:tc>
      </w:tr>
      <w:tr>
        <w:tc>
          <w:tcPr>
            <w:tcW w:w="2075" w:type="dxa"/>
          </w:tcPr>
          <w:p>
            <w:pPr>
              <w:pStyle w:val="CeldaAPA"/>
              <w:jc w:val="left"/>
            </w:pPr>
            <w:r>
              <w:rPr>
                <w:bCs/>
                <w:b/>
              </w:rPr>
              <w:t xml:space="preserve">GG</w:t>
            </w:r>
          </w:p>
        </w:tc>
        <w:tc>
          <w:tcPr>
            <w:tcW w:w="7285" w:type="dxa"/>
          </w:tcPr>
          <w:p>
            <w:pPr>
              <w:pStyle w:val="CeldaAPA"/>
              <w:jc w:val="left"/>
            </w:pPr>
            <w:r>
              <w:rPr/>
              <w:t xml:space="preserve">Gastos generales</w:t>
            </w:r>
          </w:p>
        </w:tc>
      </w:tr>
      <w:tr>
        <w:tc>
          <w:tcPr>
            <w:tcW w:w="2075" w:type="dxa"/>
          </w:tcPr>
          <w:p>
            <w:pPr>
              <w:pStyle w:val="CeldaAPA"/>
              <w:jc w:val="left"/>
            </w:pPr>
            <w:r>
              <w:rPr>
                <w:bCs/>
                <w:b/>
              </w:rPr>
              <w:t xml:space="preserve">H</w:t>
            </w:r>
            <w:r>
              <w:rPr>
                <w:vertAlign w:val="superscript"/>
                <w:bCs/>
                <w:b/>
              </w:rPr>
              <w:t xml:space="preserve">o</w:t>
            </w:r>
            <w:r>
              <w:rPr>
                <w:bCs/>
                <w:b/>
              </w:rPr>
              <w:t xml:space="preserve">A</w:t>
            </w:r>
            <w:r>
              <w:rPr>
                <w:vertAlign w:val="superscript"/>
                <w:bCs/>
                <w:b/>
              </w:rPr>
              <w:t xml:space="preserve">o</w:t>
            </w:r>
          </w:p>
        </w:tc>
        <w:tc>
          <w:tcPr>
            <w:tcW w:w="7285" w:type="dxa"/>
          </w:tcPr>
          <w:p>
            <w:pPr>
              <w:pStyle w:val="CeldaAPA"/>
              <w:jc w:val="left"/>
            </w:pPr>
            <w:r>
              <w:rPr/>
              <w:t xml:space="preserve">Hormigón armado</w:t>
            </w:r>
          </w:p>
        </w:tc>
      </w:tr>
      <w:tr>
        <w:tc>
          <w:tcPr>
            <w:tcW w:w="2075" w:type="dxa"/>
          </w:tcPr>
          <w:p>
            <w:pPr>
              <w:pStyle w:val="CeldaAPA"/>
              <w:jc w:val="left"/>
            </w:pPr>
            <w:r>
              <w:rPr>
                <w:bCs/>
                <w:b/>
              </w:rPr>
              <w:t xml:space="preserve">H</w:t>
            </w:r>
            <w:r>
              <w:rPr>
                <w:vertAlign w:val="superscript"/>
                <w:bCs/>
                <w:b/>
              </w:rPr>
              <w:t xml:space="preserve">o</w:t>
            </w:r>
            <w:r>
              <w:rPr>
                <w:bCs/>
                <w:b/>
              </w:rPr>
              <w:t xml:space="preserve">S</w:t>
            </w:r>
            <w:r>
              <w:rPr>
                <w:vertAlign w:val="superscript"/>
                <w:bCs/>
                <w:b/>
              </w:rPr>
              <w:t xml:space="preserve">o</w:t>
            </w:r>
          </w:p>
        </w:tc>
        <w:tc>
          <w:tcPr>
            <w:tcW w:w="7285" w:type="dxa"/>
          </w:tcPr>
          <w:p>
            <w:pPr>
              <w:pStyle w:val="CeldaAPA"/>
              <w:jc w:val="left"/>
            </w:pPr>
            <w:r>
              <w:rPr/>
              <w:t xml:space="preserve">Hormigón simple</w:t>
            </w:r>
          </w:p>
        </w:tc>
      </w:tr>
      <w:tr>
        <w:tc>
          <w:tcPr>
            <w:tcW w:w="2075" w:type="dxa"/>
          </w:tcPr>
          <w:p>
            <w:pPr>
              <w:pStyle w:val="CeldaAPA"/>
              <w:jc w:val="left"/>
            </w:pPr>
            <w:r>
              <w:rPr>
                <w:bCs/>
                <w:b/>
              </w:rPr>
              <w:t xml:space="preserve">IBNORCA</w:t>
            </w:r>
          </w:p>
        </w:tc>
        <w:tc>
          <w:tcPr>
            <w:tcW w:w="7285" w:type="dxa"/>
          </w:tcPr>
          <w:p>
            <w:pPr>
              <w:pStyle w:val="CeldaAPA"/>
              <w:jc w:val="left"/>
            </w:pPr>
            <w:r>
              <w:rPr/>
              <w:t xml:space="preserve">Instituto Boliviano de Normalización y Calidad</w:t>
            </w:r>
          </w:p>
        </w:tc>
      </w:tr>
      <w:tr>
        <w:tc>
          <w:tcPr>
            <w:tcW w:w="2075" w:type="dxa"/>
          </w:tcPr>
          <w:p>
            <w:pPr>
              <w:pStyle w:val="CeldaAPA"/>
              <w:jc w:val="left"/>
            </w:pPr>
            <w:r>
              <w:rPr>
                <w:bCs/>
                <w:b/>
              </w:rPr>
              <w:t xml:space="preserve">IDH</w:t>
            </w:r>
          </w:p>
        </w:tc>
        <w:tc>
          <w:tcPr>
            <w:tcW w:w="7285" w:type="dxa"/>
          </w:tcPr>
          <w:p>
            <w:pPr>
              <w:pStyle w:val="CeldaAPA"/>
              <w:jc w:val="left"/>
            </w:pPr>
            <w:r>
              <w:rPr/>
              <w:t xml:space="preserve">Impuesto Directo a los Hidrocarburos</w:t>
            </w:r>
          </w:p>
        </w:tc>
      </w:tr>
      <w:tr>
        <w:tc>
          <w:tcPr>
            <w:tcW w:w="2075" w:type="dxa"/>
          </w:tcPr>
          <w:p>
            <w:pPr>
              <w:pStyle w:val="CeldaAPA"/>
              <w:jc w:val="left"/>
            </w:pPr>
            <w:r>
              <w:rPr>
                <w:bCs/>
                <w:b/>
              </w:rPr>
              <w:t xml:space="preserve">IDM</w:t>
            </w:r>
          </w:p>
        </w:tc>
        <w:tc>
          <w:tcPr>
            <w:tcW w:w="7285" w:type="dxa"/>
          </w:tcPr>
          <w:p>
            <w:pPr>
              <w:pStyle w:val="CeldaAPA"/>
              <w:jc w:val="left"/>
            </w:pPr>
            <w:r>
              <w:rPr/>
              <w:t xml:space="preserve">Índice de desperdicio de materiales</w:t>
            </w:r>
          </w:p>
        </w:tc>
      </w:tr>
      <w:tr>
        <w:tc>
          <w:tcPr>
            <w:tcW w:w="2075" w:type="dxa"/>
          </w:tcPr>
          <w:p>
            <w:pPr>
              <w:pStyle w:val="CeldaAPA"/>
              <w:jc w:val="left"/>
            </w:pPr>
            <w:r>
              <w:rPr>
                <w:bCs/>
                <w:b/>
              </w:rPr>
              <w:t xml:space="preserve">INE</w:t>
            </w:r>
          </w:p>
        </w:tc>
        <w:tc>
          <w:tcPr>
            <w:tcW w:w="7285" w:type="dxa"/>
          </w:tcPr>
          <w:p>
            <w:pPr>
              <w:pStyle w:val="CeldaAPA"/>
              <w:jc w:val="left"/>
            </w:pPr>
            <w:r>
              <w:rPr/>
              <w:t xml:space="preserve">Instituto Nacional de Estadística</w:t>
            </w:r>
          </w:p>
        </w:tc>
      </w:tr>
      <w:tr>
        <w:tc>
          <w:tcPr>
            <w:tcW w:w="2075" w:type="dxa"/>
          </w:tcPr>
          <w:p>
            <w:pPr>
              <w:pStyle w:val="CeldaAPA"/>
              <w:jc w:val="left"/>
            </w:pPr>
            <w:r>
              <w:rPr>
                <w:bCs/>
                <w:b/>
              </w:rPr>
              <w:t xml:space="preserve">ISO</w:t>
            </w:r>
          </w:p>
        </w:tc>
        <w:tc>
          <w:tcPr>
            <w:tcW w:w="7285" w:type="dxa"/>
          </w:tcPr>
          <w:p>
            <w:pPr>
              <w:pStyle w:val="CeldaAPA"/>
              <w:jc w:val="left"/>
            </w:pPr>
            <w:r>
              <w:rPr/>
              <w:t xml:space="preserve">Organización Internacional de Normalización</w:t>
            </w:r>
          </w:p>
        </w:tc>
      </w:tr>
      <w:tr>
        <w:tc>
          <w:tcPr>
            <w:tcW w:w="2075" w:type="dxa"/>
          </w:tcPr>
          <w:p>
            <w:pPr>
              <w:pStyle w:val="CeldaAPA"/>
              <w:jc w:val="left"/>
            </w:pPr>
            <w:r>
              <w:rPr>
                <w:bCs/>
                <w:b/>
              </w:rPr>
              <w:t xml:space="preserve">IT</w:t>
            </w:r>
          </w:p>
        </w:tc>
        <w:tc>
          <w:tcPr>
            <w:tcW w:w="7285" w:type="dxa"/>
          </w:tcPr>
          <w:p>
            <w:pPr>
              <w:pStyle w:val="CeldaAPA"/>
              <w:jc w:val="left"/>
            </w:pPr>
            <w:r>
              <w:rPr/>
              <w:t xml:space="preserve">Impuesto a las Transacciones</w:t>
            </w:r>
          </w:p>
        </w:tc>
      </w:tr>
      <w:tr>
        <w:tc>
          <w:tcPr>
            <w:tcW w:w="2075" w:type="dxa"/>
          </w:tcPr>
          <w:p>
            <w:pPr>
              <w:pStyle w:val="CeldaAPA"/>
              <w:jc w:val="left"/>
            </w:pPr>
            <w:r>
              <w:rPr>
                <w:bCs/>
                <w:b/>
              </w:rPr>
              <w:t xml:space="preserve">IVA</w:t>
            </w:r>
          </w:p>
        </w:tc>
        <w:tc>
          <w:tcPr>
            <w:tcW w:w="7285" w:type="dxa"/>
          </w:tcPr>
          <w:p>
            <w:pPr>
              <w:pStyle w:val="CeldaAPA"/>
              <w:jc w:val="left"/>
            </w:pPr>
            <w:r>
              <w:rPr/>
              <w:t xml:space="preserve">Impuesto al Valor Agregado</w:t>
            </w:r>
          </w:p>
        </w:tc>
      </w:tr>
      <w:tr>
        <w:tc>
          <w:tcPr>
            <w:tcW w:w="2075" w:type="dxa"/>
          </w:tcPr>
          <w:p>
            <w:pPr>
              <w:pStyle w:val="CeldaAPA"/>
              <w:jc w:val="left"/>
            </w:pPr>
            <w:r>
              <w:rPr>
                <w:bCs/>
                <w:b/>
              </w:rPr>
              <w:t xml:space="preserve">MAE</w:t>
            </w:r>
          </w:p>
        </w:tc>
        <w:tc>
          <w:tcPr>
            <w:tcW w:w="7285" w:type="dxa"/>
          </w:tcPr>
          <w:p>
            <w:pPr>
              <w:pStyle w:val="CeldaAPA"/>
              <w:jc w:val="left"/>
            </w:pPr>
            <w:r>
              <w:rPr/>
              <w:t xml:space="preserve">Máxima Autoridad Ejecutiva</w:t>
            </w:r>
          </w:p>
        </w:tc>
      </w:tr>
      <w:tr>
        <w:tc>
          <w:tcPr>
            <w:tcW w:w="2075" w:type="dxa"/>
          </w:tcPr>
          <w:p>
            <w:pPr>
              <w:pStyle w:val="CeldaAPA"/>
              <w:jc w:val="left"/>
            </w:pPr>
            <w:r>
              <w:rPr>
                <w:bCs/>
                <w:b/>
              </w:rPr>
              <w:t xml:space="preserve">MEFP</w:t>
            </w:r>
          </w:p>
        </w:tc>
        <w:tc>
          <w:tcPr>
            <w:tcW w:w="7285" w:type="dxa"/>
          </w:tcPr>
          <w:p>
            <w:pPr>
              <w:pStyle w:val="CeldaAPA"/>
              <w:jc w:val="left"/>
            </w:pPr>
            <w:r>
              <w:rPr/>
              <w:t xml:space="preserve">Ministerio de Economía y Finanzas Públicas</w:t>
            </w:r>
          </w:p>
        </w:tc>
      </w:tr>
      <w:tr>
        <w:tc>
          <w:tcPr>
            <w:tcW w:w="2075" w:type="dxa"/>
          </w:tcPr>
          <w:p>
            <w:pPr>
              <w:pStyle w:val="CeldaAPA"/>
              <w:jc w:val="left"/>
            </w:pPr>
            <w:r>
              <w:rPr>
                <w:bCs/>
                <w:b/>
              </w:rPr>
              <w:t xml:space="preserve">MOPSV</w:t>
            </w:r>
          </w:p>
        </w:tc>
        <w:tc>
          <w:tcPr>
            <w:tcW w:w="7285" w:type="dxa"/>
          </w:tcPr>
          <w:p>
            <w:pPr>
              <w:pStyle w:val="CeldaAPA"/>
              <w:jc w:val="left"/>
            </w:pPr>
            <w:r>
              <w:rPr/>
              <w:t xml:space="preserve">Ministerio de Obras Públicas, Servicios y Vivienda</w:t>
            </w:r>
          </w:p>
        </w:tc>
      </w:tr>
      <w:tr>
        <w:tc>
          <w:tcPr>
            <w:tcW w:w="2075" w:type="dxa"/>
          </w:tcPr>
          <w:p>
            <w:pPr>
              <w:pStyle w:val="CeldaAPA"/>
              <w:jc w:val="left"/>
            </w:pPr>
            <w:r>
              <w:rPr>
                <w:bCs/>
                <w:b/>
              </w:rPr>
              <w:t xml:space="preserve">NB</w:t>
            </w:r>
          </w:p>
        </w:tc>
        <w:tc>
          <w:tcPr>
            <w:tcW w:w="7285" w:type="dxa"/>
          </w:tcPr>
          <w:p>
            <w:pPr>
              <w:pStyle w:val="CeldaAPA"/>
              <w:jc w:val="left"/>
            </w:pPr>
            <w:r>
              <w:rPr/>
              <w:t xml:space="preserve">Norma Boliviana</w:t>
            </w:r>
          </w:p>
        </w:tc>
      </w:tr>
      <w:tr>
        <w:tc>
          <w:tcPr>
            <w:tcW w:w="2075" w:type="dxa"/>
          </w:tcPr>
          <w:p>
            <w:pPr>
              <w:pStyle w:val="CeldaAPA"/>
              <w:jc w:val="left"/>
            </w:pPr>
            <w:r>
              <w:rPr>
                <w:bCs/>
                <w:b/>
              </w:rPr>
              <w:t xml:space="preserve">NB-SABS</w:t>
            </w:r>
          </w:p>
        </w:tc>
        <w:tc>
          <w:tcPr>
            <w:tcW w:w="7285" w:type="dxa"/>
          </w:tcPr>
          <w:p>
            <w:pPr>
              <w:pStyle w:val="CeldaAPA"/>
              <w:jc w:val="left"/>
            </w:pPr>
            <w:r>
              <w:rPr/>
              <w:t xml:space="preserve">Normas Básicas del Sistema de Administración de Bienes y Servicios</w:t>
            </w:r>
          </w:p>
        </w:tc>
      </w:tr>
      <w:tr>
        <w:tc>
          <w:tcPr>
            <w:tcW w:w="2075" w:type="dxa"/>
          </w:tcPr>
          <w:p>
            <w:pPr>
              <w:pStyle w:val="CeldaAPA"/>
              <w:jc w:val="left"/>
            </w:pPr>
            <w:r>
              <w:rPr>
                <w:bCs/>
                <w:b/>
              </w:rPr>
              <w:t xml:space="preserve">NC</w:t>
            </w:r>
          </w:p>
        </w:tc>
        <w:tc>
          <w:tcPr>
            <w:tcW w:w="7285" w:type="dxa"/>
          </w:tcPr>
          <w:p>
            <w:pPr>
              <w:pStyle w:val="CeldaAPA"/>
              <w:jc w:val="left"/>
            </w:pPr>
            <w:r>
              <w:rPr/>
              <w:t xml:space="preserve">No conformidad</w:t>
            </w:r>
          </w:p>
        </w:tc>
      </w:tr>
      <w:tr>
        <w:tc>
          <w:tcPr>
            <w:tcW w:w="2075" w:type="dxa"/>
          </w:tcPr>
          <w:p>
            <w:pPr>
              <w:pStyle w:val="CeldaAPA"/>
              <w:jc w:val="left"/>
            </w:pPr>
            <w:r>
              <w:rPr>
                <w:bCs/>
                <w:b/>
              </w:rPr>
              <w:t xml:space="preserve">PAF</w:t>
            </w:r>
          </w:p>
        </w:tc>
        <w:tc>
          <w:tcPr>
            <w:tcW w:w="7285" w:type="dxa"/>
          </w:tcPr>
          <w:p>
            <w:pPr>
              <w:pStyle w:val="CeldaAPA"/>
              <w:jc w:val="left"/>
            </w:pPr>
            <w:r>
              <w:rPr/>
              <w:t xml:space="preserve">Modelo de costos de la calidad: prevención, evaluación y fallas</w:t>
            </w:r>
          </w:p>
        </w:tc>
      </w:tr>
      <w:tr>
        <w:tc>
          <w:tcPr>
            <w:tcW w:w="2075" w:type="dxa"/>
          </w:tcPr>
          <w:p>
            <w:pPr>
              <w:pStyle w:val="CeldaAPA"/>
              <w:jc w:val="left"/>
            </w:pPr>
            <w:r>
              <w:rPr>
                <w:bCs/>
                <w:b/>
              </w:rPr>
              <w:t xml:space="preserve">PAO</w:t>
            </w:r>
          </w:p>
        </w:tc>
        <w:tc>
          <w:tcPr>
            <w:tcW w:w="7285" w:type="dxa"/>
          </w:tcPr>
          <w:p>
            <w:pPr>
              <w:pStyle w:val="CeldaAPA"/>
              <w:jc w:val="left"/>
            </w:pPr>
            <w:r>
              <w:rPr/>
              <w:t xml:space="preserve">Planilla de avance de obra</w:t>
            </w:r>
          </w:p>
        </w:tc>
      </w:tr>
      <w:tr>
        <w:tc>
          <w:tcPr>
            <w:tcW w:w="2075" w:type="dxa"/>
          </w:tcPr>
          <w:p>
            <w:pPr>
              <w:pStyle w:val="CeldaAPA"/>
              <w:jc w:val="left"/>
            </w:pPr>
            <w:r>
              <w:rPr>
                <w:bCs/>
                <w:b/>
              </w:rPr>
              <w:t xml:space="preserve">PCM</w:t>
            </w:r>
          </w:p>
        </w:tc>
        <w:tc>
          <w:tcPr>
            <w:tcW w:w="7285" w:type="dxa"/>
          </w:tcPr>
          <w:p>
            <w:pPr>
              <w:pStyle w:val="CeldaAPA"/>
              <w:jc w:val="left"/>
            </w:pPr>
            <w:r>
              <w:rPr/>
              <w:t xml:space="preserve">Procedimiento de control de materiales</w:t>
            </w:r>
          </w:p>
        </w:tc>
      </w:tr>
      <w:tr>
        <w:tc>
          <w:tcPr>
            <w:tcW w:w="2075" w:type="dxa"/>
          </w:tcPr>
          <w:p>
            <w:pPr>
              <w:pStyle w:val="CeldaAPA"/>
              <w:jc w:val="left"/>
            </w:pPr>
            <w:r>
              <w:rPr>
                <w:bCs/>
                <w:b/>
              </w:rPr>
              <w:t xml:space="preserve">PHVA</w:t>
            </w:r>
          </w:p>
        </w:tc>
        <w:tc>
          <w:tcPr>
            <w:tcW w:w="7285" w:type="dxa"/>
          </w:tcPr>
          <w:p>
            <w:pPr>
              <w:pStyle w:val="CeldaAPA"/>
              <w:jc w:val="left"/>
            </w:pPr>
            <w:r>
              <w:rPr/>
              <w:t xml:space="preserve">Ciclo Planificar–Hacer–Verificar–Actuar</w:t>
            </w:r>
          </w:p>
        </w:tc>
      </w:tr>
      <w:tr>
        <w:tc>
          <w:tcPr>
            <w:tcW w:w="2075" w:type="dxa"/>
          </w:tcPr>
          <w:p>
            <w:pPr>
              <w:pStyle w:val="CeldaAPA"/>
              <w:jc w:val="left"/>
            </w:pPr>
            <w:r>
              <w:rPr>
                <w:bCs/>
                <w:b/>
              </w:rPr>
              <w:t xml:space="preserve">PPI</w:t>
            </w:r>
          </w:p>
        </w:tc>
        <w:tc>
          <w:tcPr>
            <w:tcW w:w="7285" w:type="dxa"/>
          </w:tcPr>
          <w:p>
            <w:pPr>
              <w:pStyle w:val="CeldaAPA"/>
              <w:jc w:val="left"/>
            </w:pPr>
            <w:r>
              <w:rPr/>
              <w:t xml:space="preserve">Plan de puntos de inspección y ensayo</w:t>
            </w:r>
          </w:p>
        </w:tc>
      </w:tr>
      <w:tr>
        <w:tc>
          <w:tcPr>
            <w:tcW w:w="2075" w:type="dxa"/>
          </w:tcPr>
          <w:p>
            <w:pPr>
              <w:pStyle w:val="CeldaAPA"/>
              <w:jc w:val="left"/>
            </w:pPr>
            <w:r>
              <w:rPr>
                <w:bCs/>
                <w:b/>
              </w:rPr>
              <w:t xml:space="preserve">PU</w:t>
            </w:r>
          </w:p>
        </w:tc>
        <w:tc>
          <w:tcPr>
            <w:tcW w:w="7285" w:type="dxa"/>
          </w:tcPr>
          <w:p>
            <w:pPr>
              <w:pStyle w:val="CeldaAPA"/>
              <w:jc w:val="left"/>
            </w:pPr>
            <w:r>
              <w:rPr/>
              <w:t xml:space="preserve">Precio unitario</w:t>
            </w:r>
          </w:p>
        </w:tc>
      </w:tr>
      <w:tr>
        <w:tc>
          <w:tcPr>
            <w:tcW w:w="2075" w:type="dxa"/>
          </w:tcPr>
          <w:p>
            <w:pPr>
              <w:pStyle w:val="CeldaAPA"/>
              <w:jc w:val="left"/>
            </w:pPr>
            <w:r>
              <w:rPr>
                <w:bCs/>
                <w:b/>
              </w:rPr>
              <w:t xml:space="preserve">RACI</w:t>
            </w:r>
          </w:p>
        </w:tc>
        <w:tc>
          <w:tcPr>
            <w:tcW w:w="7285" w:type="dxa"/>
          </w:tcPr>
          <w:p>
            <w:pPr>
              <w:pStyle w:val="CeldaAPA"/>
              <w:jc w:val="left"/>
            </w:pPr>
            <w:r>
              <w:rPr/>
              <w:t xml:space="preserve">Matriz de responsabilidades: responsable, aprueba, consultado e informado</w:t>
            </w:r>
          </w:p>
        </w:tc>
      </w:tr>
      <w:tr>
        <w:tc>
          <w:tcPr>
            <w:tcW w:w="2075" w:type="dxa"/>
          </w:tcPr>
          <w:p>
            <w:pPr>
              <w:pStyle w:val="CeldaAPA"/>
              <w:jc w:val="left"/>
            </w:pPr>
            <w:r>
              <w:rPr>
                <w:bCs/>
                <w:b/>
              </w:rPr>
              <w:t xml:space="preserve">SAFCO</w:t>
            </w:r>
          </w:p>
        </w:tc>
        <w:tc>
          <w:tcPr>
            <w:tcW w:w="7285" w:type="dxa"/>
          </w:tcPr>
          <w:p>
            <w:pPr>
              <w:pStyle w:val="CeldaAPA"/>
              <w:jc w:val="left"/>
            </w:pPr>
            <w:r>
              <w:rPr/>
              <w:t xml:space="preserve">Sistema de Administración Financiera y Control Gubernamentales (Ley 1178)</w:t>
            </w:r>
          </w:p>
        </w:tc>
      </w:tr>
      <w:tr>
        <w:tc>
          <w:tcPr>
            <w:tcW w:w="2075" w:type="dxa"/>
          </w:tcPr>
          <w:p>
            <w:pPr>
              <w:pStyle w:val="CeldaAPA"/>
              <w:jc w:val="left"/>
            </w:pPr>
            <w:r>
              <w:rPr>
                <w:bCs/>
                <w:b/>
              </w:rPr>
              <w:t xml:space="preserve">SENAMHI</w:t>
            </w:r>
          </w:p>
        </w:tc>
        <w:tc>
          <w:tcPr>
            <w:tcW w:w="7285" w:type="dxa"/>
          </w:tcPr>
          <w:p>
            <w:pPr>
              <w:pStyle w:val="CeldaAPA"/>
              <w:jc w:val="left"/>
            </w:pPr>
            <w:r>
              <w:rPr/>
              <w:t xml:space="preserve">Servicio Nacional de Meteorología e Hidrología</w:t>
            </w:r>
          </w:p>
        </w:tc>
      </w:tr>
      <w:tr>
        <w:tc>
          <w:tcPr>
            <w:tcW w:w="2075" w:type="dxa"/>
          </w:tcPr>
          <w:p>
            <w:pPr>
              <w:pStyle w:val="CeldaAPA"/>
              <w:jc w:val="left"/>
            </w:pPr>
            <w:r>
              <w:rPr>
                <w:bCs/>
                <w:b/>
              </w:rPr>
              <w:t xml:space="preserve">SGC</w:t>
            </w:r>
          </w:p>
        </w:tc>
        <w:tc>
          <w:tcPr>
            <w:tcW w:w="7285" w:type="dxa"/>
          </w:tcPr>
          <w:p>
            <w:pPr>
              <w:pStyle w:val="CeldaAPA"/>
              <w:jc w:val="left"/>
            </w:pPr>
            <w:r>
              <w:rPr/>
              <w:t xml:space="preserve">Sistema de Gestión de la Calidad</w:t>
            </w:r>
          </w:p>
        </w:tc>
      </w:tr>
      <w:tr>
        <w:tc>
          <w:tcPr>
            <w:tcW w:w="2075" w:type="dxa"/>
          </w:tcPr>
          <w:p>
            <w:pPr>
              <w:pStyle w:val="CeldaAPA"/>
              <w:jc w:val="left"/>
            </w:pPr>
            <w:r>
              <w:rPr>
                <w:bCs/>
                <w:b/>
              </w:rPr>
              <w:t xml:space="preserve">UATF</w:t>
            </w:r>
          </w:p>
        </w:tc>
        <w:tc>
          <w:tcPr>
            <w:tcW w:w="7285" w:type="dxa"/>
          </w:tcPr>
          <w:p>
            <w:pPr>
              <w:pStyle w:val="CeldaAPA"/>
              <w:jc w:val="left"/>
            </w:pPr>
            <w:r>
              <w:rPr/>
              <w:t xml:space="preserve">Universidad Autónoma Tomás Frías</w:t>
            </w:r>
          </w:p>
        </w:tc>
      </w:tr>
    </w:tbl>
    <w:p>
      <w:pPr>
        <w:pStyle w:val="BodyText"/>
        <w:spacing w:before="0" w:after="0" w:line="20" w:lineRule="exact"/>
        <w:sectPr>
          <w:headerReference r:id="rId9" w:type="default"/>
          <w:pgSz w:h="15840" w:w="12240"/>
          <w:pgMar w:bottom="1440" w:footer="720" w:gutter="0" w:header="720" w:left="1440" w:right="1440" w:top="1440"/>
          <w:pgNumType w:fmt="lowerRoman" w:start="1"/>
        </w:sectPr>
      </w:pPr>
    </w:p>
    <w:p>
      <w:pPr>
        <w:pStyle w:val="Heading1"/>
        <w:pageBreakBefore w:val="0"/>
      </w:pPr>
      <w:bookmarkStart w:id="59" w:name="tit4"/>
      <w:r>
        <w:t xml:space="preserve">Introducción</w:t>
      </w:r>
      <w:bookmarkEnd w:id="59"/>
    </w:p>
    <w:p>
      <w:pPr>
        <w:pStyle w:val="Heading2"/>
      </w:pPr>
      <w:bookmarkStart w:id="26" w:name="tit5"/>
      <w:r>
        <w:t xml:space="preserve">1. Antecedentes</w:t>
      </w:r>
      <w:bookmarkEnd w:id="26"/>
    </w:p>
    <w:p>
      <w:pPr>
        <w:pStyle w:val="Heading3"/>
      </w:pPr>
      <w:bookmarkStart w:id="23" w:name="tit6"/>
      <w:r>
        <w:t xml:space="preserve">1.1. Antecedentes generales</w:t>
      </w:r>
      <w:bookmarkEnd w:id="23"/>
    </w:p>
    <w:p>
      <w:pPr>
        <w:pStyle w:val="FirstParagraph"/>
      </w:pPr>
      <w:r>
        <w:t xml:space="preserve">La construcción de edificaciones es una actividad de alta variabilidad: cada obra es un proyecto único, se ejecuta en condiciones cambiantes, emplea mucha mano de obra y depende del suministro oportuno de materiales. En ese contexto, los reprocesos o retrabajos, el desperdicio de materiales y el incumplimiento de las especificaciones técnicas son fuentes frecuentes de sobrecostos y de retrasos. A partir de una revisión crítica de estudios internacionales,</w:t>
      </w:r>
      <w:r>
        <w:t xml:space="preserve"> </w:t>
      </w:r>
      <w:r>
        <w:t xml:space="preserve">Álvarez Quintero (2014, p. 5)</w:t>
      </w:r>
      <w:r>
        <w:t xml:space="preserve"> </w:t>
      </w:r>
      <w:r>
        <w:t xml:space="preserve">reporta que los costos por reprocesos llegan hasta el 12,4 % del costo de los proyectos de construcción, con un promedio de 6,59 %. El mismo autor estima que un sistema de gestión de la calidad implementado de forma efectiva podría reducirlos en 84,82 %, al llevarlos a cerca del 1 % del costo del proyecto; esa cifra es un cálculo del autor a partir de promedios publicados, no una medición en obra</w:t>
      </w:r>
      <w:r>
        <w:t xml:space="preserve"> </w:t>
      </w:r>
      <w:r>
        <w:t xml:space="preserve">(Álvarez Quintero, 2014, pp. 5, 20)</w:t>
      </w:r>
      <w:r>
        <w:t xml:space="preserve">.</w:t>
      </w:r>
    </w:p>
    <w:p>
      <w:pPr>
        <w:pStyle w:val="BodyText"/>
      </w:pPr>
      <w:r>
        <w:t xml:space="preserve">Para controlar estas pérdidas, la industria ha adoptado progresivamente los sistemas de gestión de la calidad (SGC) basados en la familia de normas ISO 9000. La norma ISO 9001 establece los requisitos de un SGC con enfoque a procesos, estructurado según el ciclo Planificar–Hacer–Verificar–Actuar (PHVA) y el pensamiento basado en riesgos. Su edición vigente es la ISO 9001:2026, publicada el 16 de septiembre de 2026, que sustituyó a la edición de 2015 y fue adoptada en Bolivia como NB/ISO 9001:2026</w:t>
      </w:r>
      <w:r>
        <w:t xml:space="preserve"> </w:t>
      </w:r>
      <w:r>
        <w:t xml:space="preserve">(Instituto Boliviano de Normalización y Calidad [IBNORCA], 2026; Organización Internacional de Normalización [ISO], 2026b)</w:t>
      </w:r>
      <w:r>
        <w:t xml:space="preserve">. En el ámbito de un proyecto o contrato específico, la norma ISO 10005:2018 orienta la elaboración de</w:t>
      </w:r>
      <w:r>
        <w:t xml:space="preserve"> </w:t>
      </w:r>
      <w:r>
        <w:rPr>
          <w:iCs/>
          <w:i/>
        </w:rPr>
        <w:t xml:space="preserve">planes de la calidad</w:t>
      </w:r>
      <w:r>
        <w:t xml:space="preserve">, que definen los controles, las inspecciones y los registros necesarios para cumplir los requisitos</w:t>
      </w:r>
      <w:r>
        <w:t xml:space="preserve"> </w:t>
      </w:r>
      <w:r>
        <w:t xml:space="preserve">(ISO, 2018)</w:t>
      </w:r>
      <w:r>
        <w:t xml:space="preserve">.</w:t>
      </w:r>
    </w:p>
    <w:p>
      <w:pPr>
        <w:pStyle w:val="Heading3"/>
      </w:pPr>
      <w:bookmarkStart w:id="24" w:name="tit7"/>
      <w:r>
        <w:t xml:space="preserve">1.2. Antecedentes de investigación</w:t>
      </w:r>
      <w:bookmarkEnd w:id="24"/>
    </w:p>
    <w:p>
      <w:pPr>
        <w:pStyle w:val="FirstParagraph"/>
      </w:pPr>
      <w:r>
        <w:t xml:space="preserve">Se revisaron catorce investigaciones sobre costos de la calidad, sistemas de gestión de la calidad en la construcción y control de materiales, agrupadas en internacionales, latinoamericanas y nacionales. De cada una se indican el método y los resultados que se relacionan con esta tesis.</w:t>
      </w:r>
    </w:p>
    <w:p>
      <w:pPr>
        <w:pStyle w:val="BodyText"/>
      </w:pPr>
      <w:r>
        <w:rPr>
          <w:bCs/>
          <w:b/>
        </w:rPr>
        <w:t xml:space="preserve">Internacionales.</w:t>
      </w:r>
      <w:r>
        <w:t xml:space="preserve"> </w:t>
      </w:r>
      <w:r>
        <w:t xml:space="preserve">Forcada et al. (2017)</w:t>
      </w:r>
      <w:r>
        <w:t xml:space="preserve"> </w:t>
      </w:r>
      <w:r>
        <w:t xml:space="preserve">estudiaron los factores que influyen en el costo de los retrabajos a partir de 788 incidencias registradas en 40 proyectos de una constructora española que documentaba sus no conformidades conforme a su certificación ISO 9001:2008; el 72,5 % de los proyectos fue de infraestructura civil y el 27,5 % de edificación</w:t>
      </w:r>
      <w:r>
        <w:t xml:space="preserve"> </w:t>
      </w:r>
      <w:r>
        <w:t xml:space="preserve">(Forcada et al., 2017, pp. 1, 4, 6)</w:t>
      </w:r>
      <w:r>
        <w:t xml:space="preserve">. El costo de los retrabajos equivalió al 2,75 % del valor original del contrato y se debió a errores y defectos asumidos por el contratista, mientras que el crecimiento medio del costo de los proyectos, del 11 %, se explicó sobre todo por ampliaciones de alcance pedidas por el cliente; los proyectos de edificación presentaron costos de retrabajo mayores que los de obra civil</w:t>
      </w:r>
      <w:r>
        <w:t xml:space="preserve"> </w:t>
      </w:r>
      <w:r>
        <w:t xml:space="preserve">(Forcada et al., 2017, pp. 8, 10, 16)</w:t>
      </w:r>
      <w:r>
        <w:t xml:space="preserve">.</w:t>
      </w:r>
    </w:p>
    <w:p>
      <w:pPr>
        <w:pStyle w:val="BodyText"/>
      </w:pPr>
      <w:r>
        <w:t xml:space="preserve">Khadim et al. (2023)</w:t>
      </w:r>
      <w:r>
        <w:t xml:space="preserve"> </w:t>
      </w:r>
      <w:r>
        <w:t xml:space="preserve">aplicaron en Pakistán un modelo de prevención, evaluación y fallas ampliado con los costos ocultos de la mala calidad a 25 proyectos de edificación. El costo de la calidad promedio fue el 12,76 % del costo total de los proyectos</w:t>
      </w:r>
      <w:r>
        <w:t xml:space="preserve"> </w:t>
      </w:r>
      <w:r>
        <w:t xml:space="preserve">(Khadim et al., 2023, p. 5423)</w:t>
      </w:r>
      <w:r>
        <w:t xml:space="preserve">; las fallas visibles representaron el 2,34 % y las ocultas el 8,59 %, y la inversión en prevención y evaluación (1,83 %) fue menor que el costo de las fallas visibles</w:t>
      </w:r>
      <w:r>
        <w:t xml:space="preserve"> </w:t>
      </w:r>
      <w:r>
        <w:t xml:space="preserve">(Khadim et al., 2023, pp. 5420–5421)</w:t>
      </w:r>
      <w:r>
        <w:t xml:space="preserve">.</w:t>
      </w:r>
    </w:p>
    <w:p>
      <w:pPr>
        <w:pStyle w:val="BodyText"/>
      </w:pPr>
      <w:r>
        <w:t xml:space="preserve">Prado-Román et al. (2018)</w:t>
      </w:r>
      <w:r>
        <w:t xml:space="preserve"> </w:t>
      </w:r>
      <w:r>
        <w:t xml:space="preserve">encuestaron a los responsables de calidad de 302 constructoras españolas de ingeniería civil y obtuvieron 126 respuestas válidas, una tasa de respuesta del 41,72 %</w:t>
      </w:r>
      <w:r>
        <w:t xml:space="preserve"> </w:t>
      </w:r>
      <w:r>
        <w:t xml:space="preserve">(Prado-Román et al., 2018, pp. 150, 157)</w:t>
      </w:r>
      <w:r>
        <w:t xml:space="preserve">. El 74,4 % de las empresas calificó la certificación ISO 9001 como muy o extremadamente relevante para mejorar sus procesos organizativos y el 53,7 % para mejorar sus operaciones</w:t>
      </w:r>
      <w:r>
        <w:t xml:space="preserve"> </w:t>
      </w:r>
      <w:r>
        <w:t xml:space="preserve">(Prado-Román et al., 2018, p. 163)</w:t>
      </w:r>
      <w:r>
        <w:t xml:space="preserve">. El análisis de varianza mostró que el tamaño de la empresa no condiciona esos beneficios y que la antigüedad de la certificación sí: las diferencias entre las empresas con más y con menos de cinco años de certificación fueron significativas en todos los efectos internos, de modo que las mejoras aparecen de forma gradual</w:t>
      </w:r>
      <w:r>
        <w:t xml:space="preserve"> </w:t>
      </w:r>
      <w:r>
        <w:t xml:space="preserve">(Prado-Román et al., 2018, pp. 161–162, 164)</w:t>
      </w:r>
      <w:r>
        <w:t xml:space="preserve">.</w:t>
      </w:r>
    </w:p>
    <w:p>
      <w:pPr>
        <w:pStyle w:val="BodyText"/>
      </w:pPr>
      <w:r>
        <w:t xml:space="preserve">Shaikh y Sohu (2020)</w:t>
      </w:r>
      <w:r>
        <w:t xml:space="preserve"> </w:t>
      </w:r>
      <w:r>
        <w:t xml:space="preserve">midieron, mediante un cuestionario a profesionales de empresas certificadas del sector de la construcción de Pakistán y con el índice de importancia relativa (RII), el grado de implementación de 34 elementos de la ISO 9001</w:t>
      </w:r>
      <w:r>
        <w:t xml:space="preserve"> </w:t>
      </w:r>
      <w:r>
        <w:t xml:space="preserve">(Shaikh y Sohu, 2020, p. 1138)</w:t>
      </w:r>
      <w:r>
        <w:t xml:space="preserve">. La inspección del material antes de su uso alcanzó un RII de 0,83, mientras que el rechazo de los materiales que no cumplen los requisitos y especificaciones fue el elemento menos implementado, con un RII de 0,66, el último de 34</w:t>
      </w:r>
      <w:r>
        <w:t xml:space="preserve"> </w:t>
      </w:r>
      <w:r>
        <w:t xml:space="preserve">(Shaikh y Sohu, 2020, p. 1139)</w:t>
      </w:r>
      <w:r>
        <w:t xml:space="preserve">. A la vez, la disminución del desperdicio de material resultó la segunda ventaja más importante de implantar la norma</w:t>
      </w:r>
      <w:r>
        <w:t xml:space="preserve"> </w:t>
      </w:r>
      <w:r>
        <w:t xml:space="preserve">(Shaikh y Sohu, 2020, p. 1140)</w:t>
      </w:r>
      <w:r>
        <w:t xml:space="preserve">.</w:t>
      </w:r>
    </w:p>
    <w:p>
      <w:pPr>
        <w:pStyle w:val="BodyText"/>
      </w:pPr>
      <w:r>
        <w:rPr>
          <w:bCs/>
          <w:b/>
        </w:rPr>
        <w:t xml:space="preserve">Latinoamericanos.</w:t>
      </w:r>
      <w:r>
        <w:t xml:space="preserve"> </w:t>
      </w:r>
      <w:r>
        <w:t xml:space="preserve">En Chile,</w:t>
      </w:r>
      <w:r>
        <w:t xml:space="preserve"> </w:t>
      </w:r>
      <w:r>
        <w:t xml:space="preserve">Romero y Serpell (2007)</w:t>
      </w:r>
      <w:r>
        <w:t xml:space="preserve"> </w:t>
      </w:r>
      <w:r>
        <w:t xml:space="preserve">encuestaron mediante entrevista personal a 118 personas de 11 constructoras habitacionales certificadas con ISO 9001:2000</w:t>
      </w:r>
      <w:r>
        <w:t xml:space="preserve"> </w:t>
      </w:r>
      <w:r>
        <w:t xml:space="preserve">(Romero y Serpell, 2007, p. 197)</w:t>
      </w:r>
      <w:r>
        <w:t xml:space="preserve">. Cerca del 39 % de los profesionales cree que las no conformidades se entienden como un castigo, otro 39 % que se usan para «cubrir sus espaldas» y solo el 23 % que sirven para mejorar los procesos</w:t>
      </w:r>
      <w:r>
        <w:t xml:space="preserve"> </w:t>
      </w:r>
      <w:r>
        <w:t xml:space="preserve">(Romero y Serpell, 2007, p. 202)</w:t>
      </w:r>
      <w:r>
        <w:t xml:space="preserve">. Los autores concluyen que esas empresas cumplen solo parcialmente los principios de la gestión de la calidad y que sus sistemas «funcionan en el papel perfectamente», pero en la práctica presentan varias falencias</w:t>
      </w:r>
      <w:r>
        <w:t xml:space="preserve"> </w:t>
      </w:r>
      <w:r>
        <w:t xml:space="preserve">(Romero y Serpell, 2007, pp. 208–209)</w:t>
      </w:r>
      <w:r>
        <w:t xml:space="preserve">.</w:t>
      </w:r>
    </w:p>
    <w:p>
      <w:pPr>
        <w:pStyle w:val="BodyText"/>
      </w:pPr>
      <w:r>
        <w:t xml:space="preserve">En el Perú,</w:t>
      </w:r>
      <w:r>
        <w:t xml:space="preserve"> </w:t>
      </w:r>
      <w:r>
        <w:t xml:space="preserve">Salazar Retuerto (2018)</w:t>
      </w:r>
      <w:r>
        <w:t xml:space="preserve"> </w:t>
      </w:r>
      <w:r>
        <w:t xml:space="preserve">evaluó, en una tesis de Ingeniería Industrial, el efecto de la guía del PMBOK en los costos de una empresa de construcción metalmecánica de Talara. Con un diseño cuasiexperimental comparó dos proyectos homólogos, uno ejecutado sin la guía (control) y otro con ella (tratamiento), con 13 observaciones mensuales de costos cada uno</w:t>
      </w:r>
      <w:r>
        <w:t xml:space="preserve"> </w:t>
      </w:r>
      <w:r>
        <w:t xml:space="preserve">(Salazar Retuerto, 2018, p. 22)</w:t>
      </w:r>
      <w:r>
        <w:t xml:space="preserve">. La razón entre el costo real y el planificado promedió 103,43 % sin la guía y 94,50 % con ella</w:t>
      </w:r>
      <w:r>
        <w:t xml:space="preserve"> </w:t>
      </w:r>
      <w:r>
        <w:t xml:space="preserve">(Salazar Retuerto, 2018, p. 40)</w:t>
      </w:r>
      <w:r>
        <w:t xml:space="preserve">; con la prueba</w:t>
      </w:r>
      <w:r>
        <w:t xml:space="preserve"> </w:t>
      </w:r>
      <w:r>
        <w:rPr>
          <w:iCs/>
          <w:i/>
        </w:rPr>
        <w:t xml:space="preserve">t</w:t>
      </w:r>
      <w:r>
        <w:t xml:space="preserve"> </w:t>
      </w:r>
      <w:r>
        <w:t xml:space="preserve">para muestras relacionadas (</w:t>
      </w:r>
      <m:oMath>
        <m:r>
          <m:t>p</m:t>
        </m:r>
        <m:r>
          <m:rPr>
            <m:sty m:val="p"/>
          </m:rPr>
          <m:t>=</m:t>
        </m:r>
        <m:r>
          <m:t>0</m:t>
        </m:r>
        <m:r>
          <m:rPr>
            <m:sty m:val="p"/>
          </m:rPr>
          <m:t>,</m:t>
        </m:r>
        <m:r>
          <m:t>011</m:t>
        </m:r>
      </m:oMath>
      <w:r>
        <w:t xml:space="preserve">) el autor aceptó la hipótesis y cuantificó la reducción en 8,93 % respecto del costo planificado</w:t>
      </w:r>
      <w:r>
        <w:t xml:space="preserve"> </w:t>
      </w:r>
      <w:r>
        <w:t xml:space="preserve">(Salazar Retuerto, 2018, p. 41)</w:t>
      </w:r>
      <w:r>
        <w:t xml:space="preserve">. Su comparación entre un escenario de control y uno de tratamiento es análoga a la que plantea esta tesis.</w:t>
      </w:r>
    </w:p>
    <w:p>
      <w:pPr>
        <w:pStyle w:val="BodyText"/>
      </w:pPr>
      <w:r>
        <w:t xml:space="preserve">Gudiel Cairampoma y Solis Puente (2020)</w:t>
      </w:r>
      <w:r>
        <w:t xml:space="preserve"> </w:t>
      </w:r>
      <w:r>
        <w:t xml:space="preserve">analizaron proyectos de edificación de pequeñas y medianas empresas de Lima. En seis edificios, el costo de la no calidad de la partida de concreto armado varió entre el 2,7 % y el 5,1 % del costo de la partida</w:t>
      </w:r>
      <w:r>
        <w:t xml:space="preserve"> </w:t>
      </w:r>
      <w:r>
        <w:t xml:space="preserve">(Gudiel Cairampoma y Solis Puente, 2020, p. 1)</w:t>
      </w:r>
      <w:r>
        <w:t xml:space="preserve">; de los cinco proyectos analizados en detalle, solo uno contaba con un plan de calidad</w:t>
      </w:r>
      <w:r>
        <w:t xml:space="preserve"> </w:t>
      </w:r>
      <w:r>
        <w:t xml:space="preserve">(Gudiel Cairampoma y Solis Puente, 2020, p. 80)</w:t>
      </w:r>
      <w:r>
        <w:t xml:space="preserve">, y el costo medio de la no calidad por obra, de S/ 54.986,53, superó el costo estimado de implementar un área de calidad, de S/ 50.600,00</w:t>
      </w:r>
      <w:r>
        <w:t xml:space="preserve"> </w:t>
      </w:r>
      <w:r>
        <w:t xml:space="preserve">(Gudiel Cairampoma y Solis Puente, 2020, p. 95)</w:t>
      </w:r>
      <w:r>
        <w:t xml:space="preserve">.</w:t>
      </w:r>
    </w:p>
    <w:p>
      <w:pPr>
        <w:pStyle w:val="BodyText"/>
      </w:pPr>
      <w:r>
        <w:t xml:space="preserve">En el control de materiales,</w:t>
      </w:r>
      <w:r>
        <w:t xml:space="preserve"> </w:t>
      </w:r>
      <w:r>
        <w:t xml:space="preserve">Galarza Meza (2011)</w:t>
      </w:r>
      <w:r>
        <w:t xml:space="preserve"> </w:t>
      </w:r>
      <w:r>
        <w:t xml:space="preserve">propuso un sistema de medición y control del desperdicio en cinco etapas —identificación, medición, evaluación, intervención y control—</w:t>
      </w:r>
      <w:r>
        <w:t xml:space="preserve"> </w:t>
      </w:r>
      <w:r>
        <w:t xml:space="preserve">(Galarza Meza, 2011, pp. 39–40)</w:t>
      </w:r>
      <w:r>
        <w:t xml:space="preserve"> </w:t>
      </w:r>
      <w:r>
        <w:t xml:space="preserve">y lo aplicó en dos edificios de Lima. En una obra sin muestreo de campo estimó un desperdicio de hormigón del orden del 22 % al comparar los 4.796 m</w:t>
      </w:r>
      <w:r>
        <w:rPr>
          <w:vertAlign w:val="superscript"/>
        </w:rPr>
        <w:t xml:space="preserve">3</w:t>
      </w:r>
      <w:r>
        <w:t xml:space="preserve"> </w:t>
      </w:r>
      <w:r>
        <w:t xml:space="preserve">de las guías de compra con los 3.918 m</w:t>
      </w:r>
      <w:r>
        <w:rPr>
          <w:vertAlign w:val="superscript"/>
        </w:rPr>
        <w:t xml:space="preserve">3</w:t>
      </w:r>
      <w:r>
        <w:t xml:space="preserve"> </w:t>
      </w:r>
      <w:r>
        <w:t xml:space="preserve">del metrado del presupuesto</w:t>
      </w:r>
      <w:r>
        <w:t xml:space="preserve"> </w:t>
      </w:r>
      <w:r>
        <w:t xml:space="preserve">(Galarza Meza, 2011, p. 53)</w:t>
      </w:r>
      <w:r>
        <w:t xml:space="preserve">, procedimiento análogo a la reconstrucción documental de una línea base. Con el prearmado en banco y el uso parcial de acero dimensionado, el desperdicio de acero fue de 4,04 %, frente al 7 % previsto en el presupuesto, y con pedidos de hormigón limitados a un 2 % sobre el metrado, el desperdicio de hormigón fue de 2,8 %</w:t>
      </w:r>
      <w:r>
        <w:t xml:space="preserve"> </w:t>
      </w:r>
      <w:r>
        <w:t xml:space="preserve">(Galarza Meza, 2011, pp. 60, 73, 75)</w:t>
      </w:r>
      <w:r>
        <w:t xml:space="preserve">.</w:t>
      </w:r>
    </w:p>
    <w:p>
      <w:pPr>
        <w:pStyle w:val="BodyText"/>
      </w:pPr>
      <w:r>
        <w:t xml:space="preserve">Chino Quispe y Zarate Chilqquetuma (2024)</w:t>
      </w:r>
      <w:r>
        <w:t xml:space="preserve"> </w:t>
      </w:r>
      <w:r>
        <w:t xml:space="preserve">midieron, en dos edificios multifamiliares del Cusco, desperdicios de acero de refuerzo de 14,58 % y 17,09 % con el método convencional y de 3,15 % y 3,19 % en los niveles en que aplicaron el despiece previo a la ejecución</w:t>
      </w:r>
      <w:r>
        <w:t xml:space="preserve"> </w:t>
      </w:r>
      <w:r>
        <w:t xml:space="preserve">(Chino Quispe y Zarate Chilqquetuma, 2024, pp. 147, 169)</w:t>
      </w:r>
      <w:r>
        <w:t xml:space="preserve">; para los niveles ya construidos con el método convencional estimaron en forma teórica que, con el despiece, el desperdicio habría sido de 8,94 % y 6,71 %</w:t>
      </w:r>
      <w:r>
        <w:t xml:space="preserve"> </w:t>
      </w:r>
      <w:r>
        <w:t xml:space="preserve">(Chino Quispe y Zarate Chilqquetuma, 2024, pp. 148, 192)</w:t>
      </w:r>
      <w:r>
        <w:t xml:space="preserve">, un precedente de evaluación</w:t>
      </w:r>
      <w:r>
        <w:t xml:space="preserve"> </w:t>
      </w:r>
      <w:r>
        <w:rPr>
          <w:iCs/>
          <w:i/>
        </w:rPr>
        <w:t xml:space="preserve">ex ante</w:t>
      </w:r>
      <w:r>
        <w:t xml:space="preserve"> </w:t>
      </w:r>
      <w:r>
        <w:t xml:space="preserve">como la de esta tesis.</w:t>
      </w:r>
    </w:p>
    <w:p>
      <w:pPr>
        <w:pStyle w:val="BodyText"/>
      </w:pPr>
      <w:r>
        <w:t xml:space="preserve">En Colombia,</w:t>
      </w:r>
      <w:r>
        <w:t xml:space="preserve"> </w:t>
      </w:r>
      <w:r>
        <w:t xml:space="preserve">Ruiz Muñoz y Rojas Bonilla (2018)</w:t>
      </w:r>
      <w:r>
        <w:t xml:space="preserve"> </w:t>
      </w:r>
      <w:r>
        <w:t xml:space="preserve">compararon la cubicación teórica del hormigón con las mediciones de campo en una torre de vivienda de Cajicá. Frente a un desperdicio previsto de 3 % a 6 % por el bombeo</w:t>
      </w:r>
      <w:r>
        <w:t xml:space="preserve"> </w:t>
      </w:r>
      <w:r>
        <w:t xml:space="preserve">(Ruiz Muñoz y Rojas Bonilla, 2018, p. 33)</w:t>
      </w:r>
      <w:r>
        <w:t xml:space="preserve">, las pérdidas reales promediaron 9 % en las placas y 23 % en los muros, y el costo final del hormigón de las placas superó en 15 % lo presupuestado</w:t>
      </w:r>
      <w:r>
        <w:t xml:space="preserve"> </w:t>
      </w:r>
      <w:r>
        <w:t xml:space="preserve">(Ruiz Muñoz y Rojas Bonilla, 2018, pp. 63–64, 69)</w:t>
      </w:r>
      <w:r>
        <w:t xml:space="preserve">. Los autores concluyen que, sin una supervisión que controle las actividades de mayor desperdicio, los presupuestos aumentan</w:t>
      </w:r>
      <w:r>
        <w:t xml:space="preserve"> </w:t>
      </w:r>
      <w:r>
        <w:t xml:space="preserve">(Ruiz Muñoz y Rojas Bonilla, 2018, p. 69)</w:t>
      </w:r>
      <w:r>
        <w:t xml:space="preserve">.</w:t>
      </w:r>
    </w:p>
    <w:p>
      <w:pPr>
        <w:pStyle w:val="BodyText"/>
      </w:pPr>
      <w:r>
        <w:rPr>
          <w:bCs/>
          <w:b/>
        </w:rPr>
        <w:t xml:space="preserve">Nacionales.</w:t>
      </w:r>
      <w:r>
        <w:t xml:space="preserve"> </w:t>
      </w:r>
      <w:r>
        <w:t xml:space="preserve">En Bolivia, los antecedentes más cercanos corresponden a los fabricantes del mismo sistema de losa.</w:t>
      </w:r>
      <w:r>
        <w:t xml:space="preserve"> </w:t>
      </w:r>
      <w:r>
        <w:t xml:space="preserve">Capcha Canaza (2016)</w:t>
      </w:r>
      <w:r>
        <w:t xml:space="preserve"> </w:t>
      </w:r>
      <w:r>
        <w:t xml:space="preserve">diagnosticó en la empresa PREVITEC S.R.L. un incumplimiento del 88 % de la NB 997</w:t>
      </w:r>
      <w:r>
        <w:t xml:space="preserve"> </w:t>
      </w:r>
      <w:r>
        <w:t xml:space="preserve">(Capcha Canaza, 2016, p. 132)</w:t>
      </w:r>
      <w:r>
        <w:t xml:space="preserve"> </w:t>
      </w:r>
      <w:r>
        <w:t xml:space="preserve">y estimó costos de calidad y de no calidad de Bs 292.851 en 2016, de los cuales Bs 91.000 correspondían a fallas externas; con el SGC y la certificación proyectó un costo de Bs 540.431 el primer año, que incluía la implementación, y de Bs 161.323 a Bs 193.550 anuales entre 2017 y 2020, frente a Bs 295.290 a Bs 391.294 sin el proyecto</w:t>
      </w:r>
      <w:r>
        <w:t xml:space="preserve"> </w:t>
      </w:r>
      <w:r>
        <w:t xml:space="preserve">(Capcha Canaza, 2016, p. 128)</w:t>
      </w:r>
      <w:r>
        <w:t xml:space="preserve">.</w:t>
      </w:r>
    </w:p>
    <w:p>
      <w:pPr>
        <w:pStyle w:val="BodyText"/>
      </w:pPr>
      <w:r>
        <w:t xml:space="preserve">Mamani Calsina (2025)</w:t>
      </w:r>
      <w:r>
        <w:t xml:space="preserve"> </w:t>
      </w:r>
      <w:r>
        <w:t xml:space="preserve">diseñó un SGC basado en la NB ISO 9001:2015 para PRENSOCRET, fabricante de viguetas pretensadas y plastoformo de El Alto. El diagnóstico inicial arrojó un cumplimiento global del 24 %</w:t>
      </w:r>
      <w:r>
        <w:t xml:space="preserve"> </w:t>
      </w:r>
      <w:r>
        <w:t xml:space="preserve">(Mamani Calsina, 2025, pp. 47–49)</w:t>
      </w:r>
      <w:r>
        <w:t xml:space="preserve">; los costos de no calidad percibidos se aproximaron a Bs 89.000 al año, y la relación beneficio/costo del sistema fue de 1,11</w:t>
      </w:r>
      <w:r>
        <w:t xml:space="preserve"> </w:t>
      </w:r>
      <w:r>
        <w:t xml:space="preserve">(Mamani Calsina, 2025, pp. 98–99, 117)</w:t>
      </w:r>
      <w:r>
        <w:t xml:space="preserve">.</w:t>
      </w:r>
      <w:r>
        <w:t xml:space="preserve"> </w:t>
      </w:r>
      <w:r>
        <w:t xml:space="preserve">Peña Callisaya (2024)</w:t>
      </w:r>
      <w:r>
        <w:t xml:space="preserve"> </w:t>
      </w:r>
      <w:r>
        <w:t xml:space="preserve">diagnosticó un cumplimiento del 43 % de la NB/ISO 9001:2015 en el área de producción de ISOCRET, otra fabricante de viguetas pretensadas y de poliestireno expandido de El Alto, y vinculó la liberación de las viguetas con los requisitos de la NB 997</w:t>
      </w:r>
      <w:r>
        <w:t xml:space="preserve"> </w:t>
      </w:r>
      <w:r>
        <w:t xml:space="preserve">(Peña Callisaya, 2024, pp. 71, 74)</w:t>
      </w:r>
      <w:r>
        <w:t xml:space="preserve">.</w:t>
      </w:r>
    </w:p>
    <w:p>
      <w:pPr>
        <w:pStyle w:val="BodyText"/>
      </w:pPr>
      <w:r>
        <w:t xml:space="preserve">Finalmente,</w:t>
      </w:r>
      <w:r>
        <w:t xml:space="preserve"> </w:t>
      </w:r>
      <w:r>
        <w:t xml:space="preserve">Alcón Aranda (2009)</w:t>
      </w:r>
      <w:r>
        <w:t xml:space="preserve"> </w:t>
      </w:r>
      <w:r>
        <w:t xml:space="preserve">evaluó la fabricación y la aplicación de viguetas pretensadas en estructuras. En la planta observó que, con una supervisión adecuada, el producto alcanza una calidad óptima o buena y, sin ella, mala o regular</w:t>
      </w:r>
      <w:r>
        <w:t xml:space="preserve"> </w:t>
      </w:r>
      <w:r>
        <w:t xml:space="preserve">(Alcón Aranda, 2009, p. 150)</w:t>
      </w:r>
      <w:r>
        <w:t xml:space="preserve">; en la obra, señaló la recepción de las viguetas como uno de los aspectos más importantes para que la obra sea de calidad</w:t>
      </w:r>
      <w:r>
        <w:t xml:space="preserve"> </w:t>
      </w:r>
      <w:r>
        <w:t xml:space="preserve">(Alcón Aranda, 2009, p. 115)</w:t>
      </w:r>
      <w:r>
        <w:t xml:space="preserve">.</w:t>
      </w:r>
    </w:p>
    <w:p>
      <w:pPr>
        <w:pStyle w:val="BodyText"/>
      </w:pPr>
      <w:r>
        <w:rPr>
          <w:bCs/>
          <w:b/>
        </w:rPr>
        <w:t xml:space="preserve">Vacío de conocimiento.</w:t>
      </w:r>
      <w:r>
        <w:t xml:space="preserve"> </w:t>
      </w:r>
      <w:r>
        <w:t xml:space="preserve">Los antecedentes revisados cuantifican el retrabajo, los costos de la calidad y el desperdicio de materiales en obras en ejecución, evalúan los efectos y el grado de aplicación de la ISO 9001 en empresas constructoras, o diseñan sistemas de gestión de la calidad para fabricantes de viguetas y complementos. En la bibliografía revisada no se encontraron investigaciones bolivianas que apliquen un SGC a la ejecución en obra de losas alivianadas con viguetas pretensadas ni que estimen su efecto sobre el costo unitario y el desperdicio de materiales a partir de una línea base documentada, con un escenario de control y con el grado de incertidumbre del resultado. Ese es el vacío que aborda esta tesis.</w:t>
      </w:r>
    </w:p>
    <w:p>
      <w:pPr>
        <w:pStyle w:val="Heading3"/>
      </w:pPr>
      <w:bookmarkStart w:id="25" w:name="tit8"/>
      <w:r>
        <w:t xml:space="preserve">1.3. Antecedentes del caso de estudio</w:t>
      </w:r>
      <w:bookmarkEnd w:id="25"/>
    </w:p>
    <w:p>
      <w:pPr>
        <w:pStyle w:val="FirstParagraph"/>
      </w:pPr>
      <w:r>
        <w:t xml:space="preserve">La Universidad Autónoma Tomás Frías ejecuta el proyecto «Construcción Edificio de Posgrado» (CUCE 25-0143-00-1531493-1-1) en la Ciudadela Universitaria de la ciudad de Potosí, sobre la avenida Las Banderas, a 3.650 m s. n. m. El edificio, de seis niveles, está destinado a las actividades académicas y administrativas del área de posgrado. Contará con dos auditorios de 180 personas cada uno, aulas y salas de defensa de tesis, laboratorios, biblioteca, área administrativa, cafetería y espacios de alojamiento para docentes visitantes</w:t>
      </w:r>
      <w:r>
        <w:t xml:space="preserve"> </w:t>
      </w:r>
      <w:r>
        <w:t xml:space="preserve">(Universidad Autónoma Tomás Frías [UATF], s. f.-b, p. 1)</w:t>
      </w:r>
      <w:r>
        <w:t xml:space="preserve">.</w:t>
      </w:r>
    </w:p>
    <w:p>
      <w:pPr>
        <w:pStyle w:val="BodyText"/>
      </w:pPr>
      <w:r>
        <w:t xml:space="preserve">La fase contratada con la empresa Constructora Kodesh comprende la obra gruesa desde las fundaciones hasta la tercera losa</w:t>
      </w:r>
      <w:r>
        <w:t xml:space="preserve"> </w:t>
      </w:r>
      <w:r>
        <w:t xml:space="preserve">(UATF, 2025, p. 8)</w:t>
      </w:r>
      <w:r>
        <w:t xml:space="preserve">. El contrato se firmó el 24 de abril de 2025</w:t>
      </w:r>
      <w:r>
        <w:t xml:space="preserve"> </w:t>
      </w:r>
      <w:r>
        <w:t xml:space="preserve">(UATF, 2025, p. 112)</w:t>
      </w:r>
      <w:r>
        <w:t xml:space="preserve">, por un monto de Bs 3.367.031,95 y un plazo de 270 días calendario computados desde la Orden de Proceder, emitida el 6 de mayo de 2025</w:t>
      </w:r>
      <w:r>
        <w:t xml:space="preserve"> </w:t>
      </w:r>
      <w:r>
        <w:t xml:space="preserve">(UATF, 2025, pp. 127–128)</w:t>
      </w:r>
      <w:r>
        <w:t xml:space="preserve">. No se otorgó anticipo, y los precios unitarios de la propuesta adjudicada incluyen la provisión de «materiales de calidad» y las «reparaciones por trabajos defectuosos»</w:t>
      </w:r>
      <w:r>
        <w:t xml:space="preserve"> </w:t>
      </w:r>
      <w:r>
        <w:t xml:space="preserve">(UATF, 2025, p. 92)</w:t>
      </w:r>
      <w:r>
        <w:t xml:space="preserve">; además, el contrato excluye el reajuste de precios</w:t>
      </w:r>
      <w:r>
        <w:t xml:space="preserve"> </w:t>
      </w:r>
      <w:r>
        <w:t xml:space="preserve">(UATF, 2025, p. 95)</w:t>
      </w:r>
      <w:r>
        <w:t xml:space="preserve">. La garantía adicional de Bs 32.908 equivale a la diferencia entre el 85 % del precio referencial y la propuesta económica</w:t>
      </w:r>
      <w:r>
        <w:t xml:space="preserve"> </w:t>
      </w:r>
      <w:r>
        <w:t xml:space="preserve">(UATF, 2025, p. 92)</w:t>
      </w:r>
      <w:r>
        <w:t xml:space="preserve">; de ella se deduce que el precio referencial fue de Bs 3.999.929,35 y que la oferta adjudicada representó el 84,18 % de ese precio (cálculo propio). La obra cuenta con Supervisión técnica y Fiscalización del Departamento de Infraestructura de la UATF, y se financia con recursos del Impuesto Directo a los Hidrocarburos</w:t>
      </w:r>
      <w:r>
        <w:t xml:space="preserve"> </w:t>
      </w:r>
      <w:r>
        <w:t xml:space="preserve">(UATF, 2025, pp. 3, 5, 91)</w:t>
      </w:r>
      <w:r>
        <w:t xml:space="preserve">.</w:t>
      </w:r>
    </w:p>
    <w:p>
      <w:pPr>
        <w:pStyle w:val="Heading2"/>
      </w:pPr>
      <w:bookmarkStart w:id="27" w:name="tit9"/>
      <w:r>
        <w:t xml:space="preserve">2. Situación problemática</w:t>
      </w:r>
      <w:bookmarkEnd w:id="27"/>
    </w:p>
    <w:p>
      <w:pPr>
        <w:pStyle w:val="FirstParagraph"/>
      </w:pPr>
      <w:r>
        <w:t xml:space="preserve">Durante la ejecución del proyecto se presentaron desviaciones respecto de lo planificado. Mediante un contrato modificatorio y dos ampliaciones de plazo, el monto del contrato aumentó en 7,22 % y el plazo en 33,3 %; al resolverse el contrato, la planilla de cierre firmada registró un avance financiero acumulado del 57,43 % (Tabla 1). Las causas registradas de las modificaciones fueron actividades nuevas por el tipo de suelo, la perforación de anclajes en zapatas, el recálculo de la estructura y el ajuste de los volúmenes a las mediciones de obra</w:t>
      </w:r>
      <w:r>
        <w:t xml:space="preserve"> </w:t>
      </w:r>
      <w:r>
        <w:t xml:space="preserve">(UATF, s. f.-b, p. 1)</w:t>
      </w:r>
      <w:r>
        <w:t xml:space="preserve">.</w:t>
      </w:r>
    </w:p>
    <w:p>
      <w:pPr>
        <w:pStyle w:val="Caption"/>
      </w:pPr>
      <w:bookmarkStart w:id="1404" w:name="tab1"/>
      <w:r>
        <w:t xml:space="preserve"/>
      </w:r>
      <w:r>
        <w:rPr>
          <w:bCs/>
          <w:b/>
        </w:rPr>
        <w:t xml:space="preserve">Tabla 1</w:t>
      </w:r>
      <w:r>
        <w:br/>
      </w:r>
      <w:r>
        <w:rPr>
          <w:iCs/>
          <w:i/>
        </w:rPr>
        <w:t xml:space="preserve">Variación del monto y del plazo del contrato de obra</w:t>
      </w:r>
      <w:bookmarkEnd w:id="1404"/>
    </w:p>
    <w:tbl>
      <w:tblPr>
        <w:tblStyle w:val="Table"/>
        <w:tblW w:w="9360" w:type="dxa"/>
        <w:jc w:val="left"/>
        <w:tblLayout w:type="fixed"/>
        <w:tblCellMar>
          <w:top w:w="0" w:type="dxa"/>
          <w:left w:w="85" w:type="dxa"/>
          <w:bottom w:w="0" w:type="dxa"/>
          <w:right w:w="85" w:type="dxa"/>
        </w:tblCellMar>
        <w:tblLook w:firstRow="1" w:lastRow="0" w:firstColumn="0" w:lastColumn="0" w:noHBand="0" w:noVBand="0" w:val="0020"/>
      </w:tblPr>
      <w:tblGrid>
        <w:gridCol w:w="4729"/>
        <w:gridCol w:w="1590"/>
        <w:gridCol w:w="1655"/>
        <w:gridCol w:w="1386"/>
      </w:tblGrid>
      <w:tr>
        <w:trPr>
          <w:cantSplit/>
          <w:tblHeader w:val="true"/>
        </w:trPr>
        <w:tc>
          <w:tcPr>
            <w:tcW w:w="4729" w:type="dxa"/>
            <w:tcBorders>
              <w:top w:val="single" w:sz="8" w:space="0" w:color="000000"/>
              <w:bottom w:val="single" w:sz="4" w:space="0" w:color="000000"/>
            </w:tcBorders>
          </w:tcPr>
          <w:p>
            <w:pPr>
              <w:pStyle w:val="CeldaAPA"/>
              <w:jc w:val="center"/>
            </w:pPr>
            <w:r>
              <w:rPr>
                <w:bCs/>
                <w:b/>
              </w:rPr>
              <w:t xml:space="preserve">Indicador</w:t>
            </w:r>
          </w:p>
        </w:tc>
        <w:tc>
          <w:tcPr>
            <w:tcW w:w="1590" w:type="dxa"/>
            <w:tcBorders>
              <w:top w:val="single" w:sz="8" w:space="0" w:color="000000"/>
              <w:bottom w:val="single" w:sz="4" w:space="0" w:color="000000"/>
            </w:tcBorders>
          </w:tcPr>
          <w:p>
            <w:pPr>
              <w:pStyle w:val="CeldaAPA"/>
              <w:jc w:val="center"/>
            </w:pPr>
            <w:r>
              <w:rPr>
                <w:bCs/>
                <w:b/>
              </w:rPr>
              <w:t xml:space="preserve">Original</w:t>
            </w:r>
          </w:p>
        </w:tc>
        <w:tc>
          <w:tcPr>
            <w:tcW w:w="1655" w:type="dxa"/>
            <w:tcBorders>
              <w:top w:val="single" w:sz="8" w:space="0" w:color="000000"/>
              <w:bottom w:val="single" w:sz="4" w:space="0" w:color="000000"/>
            </w:tcBorders>
          </w:tcPr>
          <w:p>
            <w:pPr>
              <w:pStyle w:val="CeldaAPA"/>
              <w:jc w:val="center"/>
            </w:pPr>
            <w:r>
              <w:rPr>
                <w:bCs/>
                <w:b/>
              </w:rPr>
              <w:t xml:space="preserve">Actualizado</w:t>
            </w:r>
          </w:p>
        </w:tc>
        <w:tc>
          <w:tcPr>
            <w:tcW w:w="1386" w:type="dxa"/>
            <w:tcBorders>
              <w:top w:val="single" w:sz="8" w:space="0" w:color="000000"/>
              <w:bottom w:val="single" w:sz="4" w:space="0" w:color="000000"/>
            </w:tcBorders>
          </w:tcPr>
          <w:p>
            <w:pPr>
              <w:pStyle w:val="CeldaAPA"/>
              <w:jc w:val="center"/>
            </w:pPr>
            <w:r>
              <w:rPr>
                <w:bCs/>
                <w:b/>
              </w:rPr>
              <w:t xml:space="preserve">Variación</w:t>
            </w:r>
          </w:p>
        </w:tc>
      </w:tr>
      <w:tr>
        <w:tc>
          <w:tcPr>
            <w:tcW w:w="4729" w:type="dxa"/>
          </w:tcPr>
          <w:p>
            <w:pPr>
              <w:pStyle w:val="CeldaAPA"/>
              <w:jc w:val="left"/>
            </w:pPr>
            <w:r>
              <w:rPr/>
              <w:t xml:space="preserve">Monto del contrato (Bs)</w:t>
            </w:r>
          </w:p>
        </w:tc>
        <w:tc>
          <w:tcPr>
            <w:tcW w:w="1590" w:type="dxa"/>
          </w:tcPr>
          <w:p>
            <w:pPr>
              <w:pStyle w:val="CeldaAPA"/>
              <w:jc w:val="right"/>
            </w:pPr>
            <w:r>
              <w:rPr/>
              <w:t xml:space="preserve">3.367.031,95</w:t>
            </w:r>
          </w:p>
        </w:tc>
        <w:tc>
          <w:tcPr>
            <w:tcW w:w="1655" w:type="dxa"/>
          </w:tcPr>
          <w:p>
            <w:pPr>
              <w:pStyle w:val="CeldaAPA"/>
              <w:jc w:val="right"/>
            </w:pPr>
            <w:r>
              <w:rPr/>
              <w:t xml:space="preserve">3.610.125,43</w:t>
            </w:r>
          </w:p>
        </w:tc>
        <w:tc>
          <w:tcPr>
            <w:tcW w:w="1386" w:type="dxa"/>
          </w:tcPr>
          <w:p>
            <w:pPr>
              <w:pStyle w:val="CeldaAPA"/>
              <w:jc w:val="right"/>
            </w:pPr>
            <w:r>
              <w:rPr/>
              <w:t xml:space="preserve">+7,22 %</w:t>
            </w:r>
          </w:p>
        </w:tc>
      </w:tr>
      <w:tr>
        <w:tc>
          <w:tcPr>
            <w:tcW w:w="4729" w:type="dxa"/>
          </w:tcPr>
          <w:p>
            <w:pPr>
              <w:pStyle w:val="CeldaAPA"/>
              <w:jc w:val="left"/>
            </w:pPr>
            <w:r>
              <w:rPr/>
              <w:t xml:space="preserve">Plazo de ejecución (días calendario)</w:t>
            </w:r>
          </w:p>
        </w:tc>
        <w:tc>
          <w:tcPr>
            <w:tcW w:w="1590" w:type="dxa"/>
          </w:tcPr>
          <w:p>
            <w:pPr>
              <w:pStyle w:val="CeldaAPA"/>
              <w:jc w:val="right"/>
            </w:pPr>
            <w:r>
              <w:rPr/>
              <w:t xml:space="preserve">270</w:t>
            </w:r>
          </w:p>
        </w:tc>
        <w:tc>
          <w:tcPr>
            <w:tcW w:w="1655" w:type="dxa"/>
          </w:tcPr>
          <w:p>
            <w:pPr>
              <w:pStyle w:val="CeldaAPA"/>
              <w:jc w:val="right"/>
            </w:pPr>
            <w:r>
              <w:rPr/>
              <w:t xml:space="preserve">360</w:t>
            </w:r>
          </w:p>
        </w:tc>
        <w:tc>
          <w:tcPr>
            <w:tcW w:w="1386" w:type="dxa"/>
          </w:tcPr>
          <w:p>
            <w:pPr>
              <w:pStyle w:val="CeldaAPA"/>
              <w:jc w:val="right"/>
            </w:pPr>
            <w:r>
              <w:rPr/>
              <w:t xml:space="preserve">+33,3 %</w:t>
            </w:r>
          </w:p>
        </w:tc>
      </w:tr>
      <w:tr>
        <w:tc>
          <w:tcPr>
            <w:tcW w:w="4729" w:type="dxa"/>
          </w:tcPr>
          <w:p>
            <w:pPr>
              <w:pStyle w:val="CeldaAPA"/>
              <w:jc w:val="left"/>
            </w:pPr>
            <w:r>
              <w:rPr/>
              <w:t xml:space="preserve">Entrega provisional prevista</w:t>
            </w:r>
          </w:p>
        </w:tc>
        <w:tc>
          <w:tcPr>
            <w:tcW w:w="1590" w:type="dxa"/>
          </w:tcPr>
          <w:p>
            <w:pPr>
              <w:pStyle w:val="CeldaAPA"/>
              <w:jc w:val="right"/>
            </w:pPr>
            <w:r>
              <w:rPr/>
              <w:t xml:space="preserve">30/01/2026</w:t>
            </w:r>
          </w:p>
        </w:tc>
        <w:tc>
          <w:tcPr>
            <w:tcW w:w="1655" w:type="dxa"/>
          </w:tcPr>
          <w:p>
            <w:pPr>
              <w:pStyle w:val="CeldaAPA"/>
              <w:jc w:val="right"/>
            </w:pPr>
            <w:r>
              <w:rPr/>
              <w:t xml:space="preserve">30/04/2026</w:t>
            </w:r>
          </w:p>
        </w:tc>
        <w:tc>
          <w:tcPr>
            <w:tcW w:w="1386" w:type="dxa"/>
          </w:tcPr>
          <w:p>
            <w:pPr>
              <w:pStyle w:val="CeldaAPA"/>
              <w:jc w:val="right"/>
            </w:pPr>
            <w:r>
              <w:rPr/>
              <w:t xml:space="preserve">+3 meses</w:t>
            </w:r>
          </w:p>
        </w:tc>
      </w:tr>
      <w:tr>
        <w:tc>
          <w:tcPr>
            <w:tcW w:w="4729" w:type="dxa"/>
          </w:tcPr>
          <w:p>
            <w:pPr>
              <w:pStyle w:val="CeldaAPA"/>
              <w:jc w:val="left"/>
            </w:pPr>
            <w:r>
              <w:rPr/>
              <w:t xml:space="preserve">Avance financiero acumulado al 08/12/2025 (Bs)</w:t>
            </w:r>
          </w:p>
        </w:tc>
        <w:tc>
          <w:tcPr>
            <w:tcW w:w="3245" w:type="dxa"/>
            <w:gridSpan w:val="2"/>
          </w:tcPr>
          <w:p>
            <w:pPr>
              <w:pStyle w:val="CeldaAPA"/>
              <w:jc w:val="right"/>
            </w:pPr>
            <w:r>
              <w:rPr/>
              <w:t xml:space="preserve">2.056.555,27</w:t>
            </w:r>
          </w:p>
        </w:tc>
        <w:tc>
          <w:tcPr>
            <w:tcW w:w="1386" w:type="dxa"/>
          </w:tcPr>
          <w:p>
            <w:pPr>
              <w:pStyle w:val="CeldaAPA"/>
              <w:jc w:val="right"/>
            </w:pPr>
            <w:r>
              <w:rPr/>
              <w:t xml:space="preserve">56,97 %</w:t>
            </w:r>
          </w:p>
        </w:tc>
      </w:tr>
      <w:tr>
        <w:tc>
          <w:tcPr>
            <w:tcW w:w="4729" w:type="dxa"/>
            <w:tcBorders>
              <w:bottom w:val="single" w:sz="8" w:space="0" w:color="000000"/>
            </w:tcBorders>
          </w:tcPr>
          <w:p>
            <w:pPr>
              <w:pStyle w:val="CeldaAPA"/>
              <w:jc w:val="left"/>
            </w:pPr>
            <w:r>
              <w:rPr/>
              <w:t xml:space="preserve">Avance financiero acumulado al cierre del contrato (Bs)</w:t>
            </w:r>
          </w:p>
        </w:tc>
        <w:tc>
          <w:tcPr>
            <w:tcW w:w="3245" w:type="dxa"/>
            <w:gridSpan w:val="2"/>
            <w:tcBorders>
              <w:bottom w:val="single" w:sz="8" w:space="0" w:color="000000"/>
            </w:tcBorders>
          </w:tcPr>
          <w:p>
            <w:pPr>
              <w:pStyle w:val="CeldaAPA"/>
              <w:jc w:val="right"/>
            </w:pPr>
            <w:r>
              <w:rPr/>
              <w:t xml:space="preserve">2.073.392,68</w:t>
            </w:r>
          </w:p>
        </w:tc>
        <w:tc>
          <w:tcPr>
            <w:tcW w:w="1386" w:type="dxa"/>
            <w:tcBorders>
              <w:bottom w:val="single" w:sz="8" w:space="0" w:color="000000"/>
            </w:tcBorders>
          </w:tcPr>
          <w:p>
            <w:pPr>
              <w:pStyle w:val="CeldaAPA"/>
              <w:jc w:val="right"/>
            </w:pPr>
            <w:r>
              <w:rPr/>
              <w:t xml:space="preserve">57,43 %</w:t>
            </w:r>
          </w:p>
        </w:tc>
      </w:tr>
    </w:tbl>
    <w:p>
      <w:pPr>
        <w:pStyle w:val="NotaAPA"/>
      </w:pPr>
      <w:r>
        <w:rPr>
          <w:iCs/>
          <w:i/>
        </w:rPr>
        <w:t xml:space="preserve">Nota.</w:t>
      </w:r>
      <w:r>
        <w:t xml:space="preserve"> </w:t>
      </w:r>
      <w:r>
        <w:t xml:space="preserve">Elaborado con base en la Planilla de avance de obra N.</w:t>
      </w:r>
      <w:r>
        <w:rPr>
          <w:vertAlign w:val="superscript"/>
        </w:rPr>
        <w:t xml:space="preserve">o</w:t>
      </w:r>
      <w:r>
        <w:t xml:space="preserve"> 2</w:t>
      </w:r>
      <w:r>
        <w:t xml:space="preserve"> </w:t>
      </w:r>
      <w:r>
        <w:t xml:space="preserve">(UATF, 2025, pp. 3, 7, 14)</w:t>
      </w:r>
      <w:r>
        <w:t xml:space="preserve"> </w:t>
      </w:r>
      <w:r>
        <w:t xml:space="preserve">y en la planilla de cierre por resolución del contrato, versión firmada</w:t>
      </w:r>
      <w:r>
        <w:t xml:space="preserve"> </w:t>
      </w:r>
      <w:r>
        <w:t xml:space="preserve">(UATF, s. f.-b, p. 2)</w:t>
      </w:r>
      <w:r>
        <w:t xml:space="preserve">.</w:t>
      </w:r>
    </w:p>
    <w:p>
      <w:pPr>
        <w:pStyle w:val="BodyText"/>
      </w:pPr>
      <w:r>
        <w:t xml:space="preserve">Las cantidades de varios ítems también variaron entre el contrato original y el modificado (cálculo propio con base en</w:t>
      </w:r>
      <w:r>
        <w:t xml:space="preserve"> </w:t>
      </w:r>
      <w:r>
        <w:t xml:space="preserve">(UATF, 2025, p. 16)</w:t>
      </w:r>
      <w:r>
        <w:t xml:space="preserve">):</w:t>
      </w:r>
    </w:p>
    <w:p>
      <w:pPr>
        <w:numPr>
          <w:ilvl w:val="0"/>
          <w:numId w:val="1001"/>
        </w:numPr>
      </w:pPr>
      <w:r>
        <w:t xml:space="preserve">el acero estructural pasó de 59.029,92 kg a 77.979,51 kg (+32,1 %);</w:t>
      </w:r>
    </w:p>
    <w:p>
      <w:pPr>
        <w:numPr>
          <w:ilvl w:val="0"/>
          <w:numId w:val="1001"/>
        </w:numPr>
      </w:pPr>
      <w:r>
        <w:t xml:space="preserve">el hormigón de zapatas aumentó un 16,0 % y el de escaleras un 46,7 %, mientras que el de columnas disminuyó un 8,5 % y el de vigas un 7,9 %.</w:t>
      </w:r>
    </w:p>
    <w:p>
      <w:pPr>
        <w:pStyle w:val="FirstParagraph"/>
      </w:pPr>
      <w:r>
        <w:t xml:space="preserve">El ítem «H</w:t>
      </w:r>
      <w:r>
        <w:rPr>
          <w:vertAlign w:val="superscript"/>
        </w:rPr>
        <w:t xml:space="preserve">o</w:t>
      </w:r>
      <w:r>
        <w:t xml:space="preserve">S</w:t>
      </w:r>
      <w:r>
        <w:rPr>
          <w:vertAlign w:val="superscript"/>
        </w:rPr>
        <w:t xml:space="preserve">o</w:t>
      </w:r>
      <w:r>
        <w:t xml:space="preserve"> </w:t>
      </w:r>
      <w:r>
        <w:t xml:space="preserve">losa alivianada con vigueta simple pretensada y plastoformo h = 25 cm» representa el 21,45 % del monto original del contrato, con un precio unitario de Bs 215,68/m</w:t>
      </w:r>
      <w:r>
        <w:rPr>
          <w:vertAlign w:val="superscript"/>
        </w:rPr>
        <w:t xml:space="preserve">2</w:t>
      </w:r>
      <w:r>
        <w:t xml:space="preserve"> </w:t>
      </w:r>
      <w:r>
        <w:t xml:space="preserve">(Tabla 2). La primera losa (41 paños; 1.109,84 m</w:t>
      </w:r>
      <w:r>
        <w:rPr>
          <w:vertAlign w:val="superscript"/>
        </w:rPr>
        <w:t xml:space="preserve">2</w:t>
      </w:r>
      <w:r>
        <w:t xml:space="preserve">) se certificó completa en la Planilla N.</w:t>
      </w:r>
      <w:r>
        <w:rPr>
          <w:vertAlign w:val="superscript"/>
        </w:rPr>
        <w:t xml:space="preserve">o</w:t>
      </w:r>
      <w:r>
        <w:t xml:space="preserve"> 2, sin avance anterior</w:t>
      </w:r>
      <w:r>
        <w:t xml:space="preserve"> </w:t>
      </w:r>
      <w:r>
        <w:t xml:space="preserve">(UATF, 2025, pp. 16, 28–29)</w:t>
      </w:r>
      <w:r>
        <w:t xml:space="preserve">, y fue la única que se ejecutó: el 33,18 % de la cantidad modificada</w:t>
      </w:r>
      <w:r>
        <w:t xml:space="preserve"> </w:t>
      </w:r>
      <w:r>
        <w:t xml:space="preserve">(UATF, s. f.-b, p. 2)</w:t>
      </w:r>
      <w:r>
        <w:t xml:space="preserve">. El saldo de 2.234,60 m</w:t>
      </w:r>
      <w:r>
        <w:rPr>
          <w:vertAlign w:val="superscript"/>
        </w:rPr>
        <w:t xml:space="preserve">2</w:t>
      </w:r>
      <w:r>
        <w:t xml:space="preserve"> </w:t>
      </w:r>
      <w:r>
        <w:t xml:space="preserve">corresponde a la segunda y la tercera losa, que el cómputo del contrato modificado calcula con los mismos 41 paños, cinco de ellos algo mayores (paños 1, 2, 34, 35 y 40), de modo que cada una mide 1.117,30 m</w:t>
      </w:r>
      <w:r>
        <w:rPr>
          <w:vertAlign w:val="superscript"/>
        </w:rPr>
        <w:t xml:space="preserve">2</w:t>
      </w:r>
      <w:r>
        <w:t xml:space="preserve"> </w:t>
      </w:r>
      <w:r>
        <w:t xml:space="preserve">(cálculo propio con base en</w:t>
      </w:r>
      <w:r>
        <w:t xml:space="preserve"> </w:t>
      </w:r>
      <w:r>
        <w:t xml:space="preserve">(UATF, s. f.-b, pp. 18–19)</w:t>
      </w:r>
      <w:r>
        <w:t xml:space="preserve">).</w:t>
      </w:r>
    </w:p>
    <w:p>
      <w:pPr>
        <w:pStyle w:val="Caption"/>
      </w:pPr>
      <w:bookmarkStart w:id="1405" w:name="tab2"/>
      <w:r>
        <w:t xml:space="preserve"/>
      </w:r>
      <w:r>
        <w:rPr>
          <w:bCs/>
          <w:b/>
        </w:rPr>
        <w:t xml:space="preserve">Tabla 2</w:t>
      </w:r>
      <w:r>
        <w:br/>
      </w:r>
      <w:r>
        <w:rPr>
          <w:iCs/>
          <w:i/>
        </w:rPr>
        <w:t xml:space="preserve">Cantidades y montos del ítem losa alivianada con viguetas pretensadas</w:t>
      </w:r>
      <w:bookmarkEnd w:id="1405"/>
    </w:p>
    <w:tbl>
      <w:tblPr>
        <w:tblStyle w:val="Table"/>
        <w:tblW w:w="9360" w:type="dxa"/>
        <w:jc w:val="left"/>
        <w:tblLayout w:type="fixed"/>
        <w:tblCellMar>
          <w:top w:w="0" w:type="dxa"/>
          <w:left w:w="85" w:type="dxa"/>
          <w:bottom w:w="0" w:type="dxa"/>
          <w:right w:w="85" w:type="dxa"/>
        </w:tblCellMar>
        <w:tblLook w:firstRow="1" w:lastRow="0" w:firstColumn="0" w:lastColumn="0" w:noHBand="0" w:noVBand="0" w:val="0020"/>
      </w:tblPr>
      <w:tblGrid>
        <w:gridCol w:w="4478"/>
        <w:gridCol w:w="1302"/>
        <w:gridCol w:w="1400"/>
        <w:gridCol w:w="2180"/>
      </w:tblGrid>
      <w:tr>
        <w:trPr>
          <w:cantSplit/>
          <w:tblHeader w:val="true"/>
        </w:trPr>
        <w:tc>
          <w:tcPr>
            <w:tcW w:w="4478" w:type="dxa"/>
            <w:tcBorders>
              <w:top w:val="single" w:sz="8" w:space="0" w:color="000000"/>
              <w:bottom w:val="single" w:sz="4" w:space="0" w:color="000000"/>
            </w:tcBorders>
          </w:tcPr>
          <w:p>
            <w:pPr>
              <w:pStyle w:val="CeldaAPA"/>
              <w:jc w:val="center"/>
            </w:pPr>
            <w:r>
              <w:rPr>
                <w:bCs/>
                <w:b/>
              </w:rPr>
              <w:t xml:space="preserve">Concepto</w:t>
            </w:r>
          </w:p>
        </w:tc>
        <w:tc>
          <w:tcPr>
            <w:tcW w:w="1302" w:type="dxa"/>
            <w:tcBorders>
              <w:top w:val="single" w:sz="8" w:space="0" w:color="000000"/>
              <w:bottom w:val="single" w:sz="4" w:space="0" w:color="000000"/>
            </w:tcBorders>
          </w:tcPr>
          <w:p>
            <w:pPr>
              <w:pStyle w:val="CeldaAPA"/>
              <w:jc w:val="center"/>
            </w:pPr>
            <w:r>
              <w:rPr>
                <w:bCs/>
                <w:b/>
              </w:rPr>
              <w:t xml:space="preserve">Cantidad (m</w:t>
            </w:r>
            <w:r>
              <w:rPr>
                <w:vertAlign w:val="superscript"/>
                <w:bCs/>
                <w:b/>
              </w:rPr>
              <w:t xml:space="preserve">2</w:t>
            </w:r>
            <w:r>
              <w:rPr>
                <w:bCs/>
                <w:b/>
              </w:rPr>
              <w:t xml:space="preserve">)</w:t>
            </w:r>
          </w:p>
        </w:tc>
        <w:tc>
          <w:tcPr>
            <w:tcW w:w="1400" w:type="dxa"/>
            <w:tcBorders>
              <w:top w:val="single" w:sz="8" w:space="0" w:color="000000"/>
              <w:bottom w:val="single" w:sz="4" w:space="0" w:color="000000"/>
            </w:tcBorders>
          </w:tcPr>
          <w:p>
            <w:pPr>
              <w:pStyle w:val="CeldaAPA"/>
              <w:jc w:val="center"/>
            </w:pPr>
            <w:r>
              <w:rPr>
                <w:bCs/>
                <w:b/>
              </w:rPr>
              <w:t xml:space="preserve">Monto (Bs)</w:t>
            </w:r>
          </w:p>
        </w:tc>
        <w:tc>
          <w:tcPr>
            <w:tcW w:w="2180" w:type="dxa"/>
            <w:tcBorders>
              <w:top w:val="single" w:sz="8" w:space="0" w:color="000000"/>
              <w:bottom w:val="single" w:sz="4" w:space="0" w:color="000000"/>
            </w:tcBorders>
          </w:tcPr>
          <w:p>
            <w:pPr>
              <w:pStyle w:val="CeldaAPA"/>
              <w:jc w:val="center"/>
            </w:pPr>
            <w:r>
              <w:rPr>
                <w:bCs/>
                <w:b/>
              </w:rPr>
              <w:t xml:space="preserve">Porcentaje</w:t>
            </w:r>
          </w:p>
        </w:tc>
      </w:tr>
      <w:tr>
        <w:tc>
          <w:tcPr>
            <w:tcW w:w="4478" w:type="dxa"/>
          </w:tcPr>
          <w:p>
            <w:pPr>
              <w:pStyle w:val="CeldaAPA"/>
              <w:jc w:val="left"/>
            </w:pPr>
            <w:r>
              <w:rPr/>
              <w:t xml:space="preserve">Contrato original</w:t>
            </w:r>
          </w:p>
        </w:tc>
        <w:tc>
          <w:tcPr>
            <w:tcW w:w="1302" w:type="dxa"/>
          </w:tcPr>
          <w:p>
            <w:pPr>
              <w:pStyle w:val="CeldaAPA"/>
              <w:jc w:val="right"/>
            </w:pPr>
            <w:r>
              <w:rPr/>
              <w:t xml:space="preserve">3.348,75</w:t>
            </w:r>
          </w:p>
        </w:tc>
        <w:tc>
          <w:tcPr>
            <w:tcW w:w="1400" w:type="dxa"/>
          </w:tcPr>
          <w:p>
            <w:pPr>
              <w:pStyle w:val="CeldaAPA"/>
              <w:jc w:val="right"/>
            </w:pPr>
            <w:r>
              <w:rPr/>
              <w:t xml:space="preserve">722.242,66</w:t>
            </w:r>
          </w:p>
        </w:tc>
        <w:tc>
          <w:tcPr>
            <w:tcW w:w="2180" w:type="dxa"/>
          </w:tcPr>
          <w:p>
            <w:pPr>
              <w:pStyle w:val="CeldaAPA"/>
              <w:jc w:val="right"/>
            </w:pPr>
            <w:r>
              <w:rPr/>
              <w:t xml:space="preserve">21,45 % del contrato</w:t>
            </w:r>
          </w:p>
        </w:tc>
      </w:tr>
      <w:tr>
        <w:tc>
          <w:tcPr>
            <w:tcW w:w="4478" w:type="dxa"/>
          </w:tcPr>
          <w:p>
            <w:pPr>
              <w:pStyle w:val="CeldaAPA"/>
              <w:jc w:val="left"/>
            </w:pPr>
            <w:r>
              <w:rPr/>
              <w:t xml:space="preserve">Contrato modificado</w:t>
            </w:r>
          </w:p>
        </w:tc>
        <w:tc>
          <w:tcPr>
            <w:tcW w:w="1302" w:type="dxa"/>
          </w:tcPr>
          <w:p>
            <w:pPr>
              <w:pStyle w:val="CeldaAPA"/>
              <w:jc w:val="right"/>
            </w:pPr>
            <w:r>
              <w:rPr/>
              <w:t xml:space="preserve">3.344,44</w:t>
            </w:r>
          </w:p>
        </w:tc>
        <w:tc>
          <w:tcPr>
            <w:tcW w:w="1400" w:type="dxa"/>
          </w:tcPr>
          <w:p>
            <w:pPr>
              <w:pStyle w:val="CeldaAPA"/>
              <w:jc w:val="right"/>
            </w:pPr>
            <w:r>
              <w:rPr/>
              <w:t xml:space="preserve">721.313,10</w:t>
            </w:r>
          </w:p>
        </w:tc>
        <w:tc>
          <w:tcPr>
            <w:tcW w:w="2180" w:type="dxa"/>
          </w:tcPr>
          <w:p>
            <w:pPr>
              <w:pStyle w:val="CeldaAPA"/>
              <w:jc w:val="right"/>
            </w:pPr>
            <w:r>
              <w:rPr/>
              <w:t xml:space="preserve">100,00 % del ítem</w:t>
            </w:r>
          </w:p>
        </w:tc>
      </w:tr>
      <w:tr>
        <w:tc>
          <w:tcPr>
            <w:tcW w:w="4478" w:type="dxa"/>
          </w:tcPr>
          <w:p>
            <w:pPr>
              <w:pStyle w:val="CeldaAPA"/>
              <w:jc w:val="left"/>
            </w:pPr>
            <w:r>
              <w:rPr/>
              <w:t xml:space="preserve">Ejecutado (primera losa, 41 paños)</w:t>
            </w:r>
          </w:p>
        </w:tc>
        <w:tc>
          <w:tcPr>
            <w:tcW w:w="1302" w:type="dxa"/>
          </w:tcPr>
          <w:p>
            <w:pPr>
              <w:pStyle w:val="CeldaAPA"/>
              <w:jc w:val="right"/>
            </w:pPr>
            <w:r>
              <w:rPr/>
              <w:t xml:space="preserve">1.109,84</w:t>
            </w:r>
          </w:p>
        </w:tc>
        <w:tc>
          <w:tcPr>
            <w:tcW w:w="1400" w:type="dxa"/>
          </w:tcPr>
          <w:p>
            <w:pPr>
              <w:pStyle w:val="CeldaAPA"/>
              <w:jc w:val="right"/>
            </w:pPr>
            <w:r>
              <w:rPr/>
              <w:t xml:space="preserve">239.365,07</w:t>
            </w:r>
          </w:p>
        </w:tc>
        <w:tc>
          <w:tcPr>
            <w:tcW w:w="2180" w:type="dxa"/>
          </w:tcPr>
          <w:p>
            <w:pPr>
              <w:pStyle w:val="CeldaAPA"/>
              <w:jc w:val="right"/>
            </w:pPr>
            <w:r>
              <w:rPr/>
              <w:t xml:space="preserve">33,18 %</w:t>
            </w:r>
          </w:p>
        </w:tc>
      </w:tr>
      <w:tr>
        <w:tc>
          <w:tcPr>
            <w:tcW w:w="4478" w:type="dxa"/>
            <w:tcBorders>
              <w:bottom w:val="single" w:sz="8" w:space="0" w:color="000000"/>
            </w:tcBorders>
          </w:tcPr>
          <w:p>
            <w:pPr>
              <w:pStyle w:val="CeldaAPA"/>
              <w:jc w:val="left"/>
            </w:pPr>
            <w:r>
              <w:rPr/>
              <w:t xml:space="preserve">Saldo no ejecutado (segunda y tercera losa)</w:t>
            </w:r>
          </w:p>
        </w:tc>
        <w:tc>
          <w:tcPr>
            <w:tcW w:w="1302" w:type="dxa"/>
            <w:tcBorders>
              <w:bottom w:val="single" w:sz="8" w:space="0" w:color="000000"/>
            </w:tcBorders>
          </w:tcPr>
          <w:p>
            <w:pPr>
              <w:pStyle w:val="CeldaAPA"/>
              <w:jc w:val="right"/>
            </w:pPr>
            <w:r>
              <w:rPr/>
              <w:t xml:space="preserve">2.234,60</w:t>
            </w:r>
          </w:p>
        </w:tc>
        <w:tc>
          <w:tcPr>
            <w:tcW w:w="1400" w:type="dxa"/>
            <w:tcBorders>
              <w:bottom w:val="single" w:sz="8" w:space="0" w:color="000000"/>
            </w:tcBorders>
          </w:tcPr>
          <w:p>
            <w:pPr>
              <w:pStyle w:val="CeldaAPA"/>
              <w:jc w:val="right"/>
            </w:pPr>
            <w:r>
              <w:rPr/>
              <w:t xml:space="preserve">481.948,03</w:t>
            </w:r>
          </w:p>
        </w:tc>
        <w:tc>
          <w:tcPr>
            <w:tcW w:w="2180" w:type="dxa"/>
            <w:tcBorders>
              <w:bottom w:val="single" w:sz="8" w:space="0" w:color="000000"/>
            </w:tcBorders>
          </w:tcPr>
          <w:p>
            <w:pPr>
              <w:pStyle w:val="CeldaAPA"/>
              <w:jc w:val="right"/>
            </w:pPr>
            <w:r>
              <w:rPr/>
              <w:t xml:space="preserve">66,82 %</w:t>
            </w:r>
          </w:p>
        </w:tc>
      </w:tr>
    </w:tbl>
    <w:p>
      <w:pPr>
        <w:pStyle w:val="NotaAPA"/>
      </w:pPr>
      <w:r>
        <w:rPr>
          <w:iCs/>
          <w:i/>
        </w:rPr>
        <w:t xml:space="preserve">Nota.</w:t>
      </w:r>
      <w:r>
        <w:t xml:space="preserve"> </w:t>
      </w:r>
      <w:r>
        <w:t xml:space="preserve">Precio unitario contractual: Bs 215,6753/m</w:t>
      </w:r>
      <w:r>
        <w:rPr>
          <w:vertAlign w:val="superscript"/>
        </w:rPr>
        <w:t xml:space="preserve">2</w:t>
      </w:r>
      <w:r>
        <w:t xml:space="preserve">, redondeado a Bs 215,68/m</w:t>
      </w:r>
      <w:r>
        <w:rPr>
          <w:vertAlign w:val="superscript"/>
        </w:rPr>
        <w:t xml:space="preserve">2</w:t>
      </w:r>
      <w:r>
        <w:t xml:space="preserve">. Cada losa superior mide 1.117,30 m</w:t>
      </w:r>
      <w:r>
        <w:rPr>
          <w:vertAlign w:val="superscript"/>
        </w:rPr>
        <w:t xml:space="preserve">2</w:t>
      </w:r>
      <w:r>
        <w:t xml:space="preserve"> </w:t>
      </w:r>
      <w:r>
        <w:t xml:space="preserve">según el cómputo del contrato modificado (cálculo propio). Elaborado con base en la Planilla de avance de obra N.</w:t>
      </w:r>
      <w:r>
        <w:rPr>
          <w:vertAlign w:val="superscript"/>
        </w:rPr>
        <w:t xml:space="preserve">o</w:t>
      </w:r>
      <w:r>
        <w:t xml:space="preserve"> 2</w:t>
      </w:r>
      <w:r>
        <w:t xml:space="preserve"> </w:t>
      </w:r>
      <w:r>
        <w:t xml:space="preserve">(UATF, 2025, p. 16)</w:t>
      </w:r>
      <w:r>
        <w:t xml:space="preserve"> </w:t>
      </w:r>
      <w:r>
        <w:t xml:space="preserve">y en la planilla de cierre firmada y el cómputo del contrato modificado</w:t>
      </w:r>
      <w:r>
        <w:t xml:space="preserve"> </w:t>
      </w:r>
      <w:r>
        <w:t xml:space="preserve">(UATF, s. f.-b, pp. 2, 18–19)</w:t>
      </w:r>
      <w:r>
        <w:t xml:space="preserve">.</w:t>
      </w:r>
    </w:p>
    <w:p>
      <w:pPr>
        <w:pStyle w:val="BodyText"/>
      </w:pPr>
      <w:r>
        <w:t xml:space="preserve">El abastecimiento y el precio de los materiales se vieron afectados por la escasez de combustibles. En junio de 2025, la Fábrica Nacional de Cemento S. A. comunicó la paralización temporal de su producción por falta de diésel</w:t>
      </w:r>
      <w:r>
        <w:t xml:space="preserve"> </w:t>
      </w:r>
      <w:r>
        <w:t xml:space="preserve">(Fábrica Nacional de Cemento S. A. [FANCESA], 2025)</w:t>
      </w:r>
      <w:r>
        <w:t xml:space="preserve">. El 16 de junio de 2025, el distribuidor del acero informó a la contratista que, de una compra de 20 toneladas de fierro corrugado, solo había entregado el 30 %, debido al desabastecimiento de combustibles y a los bloqueos de carreteras</w:t>
      </w:r>
      <w:r>
        <w:t xml:space="preserve"> </w:t>
      </w:r>
      <w:r>
        <w:t xml:space="preserve">(Import Export Las Lomas Ltda., 2025)</w:t>
      </w:r>
      <w:r>
        <w:t xml:space="preserve">. El 17 de noviembre de 2025, mientras se armaban las vigas y la losa del primer nivel, la contratista registró en el Libro de Órdenes que los materiales demoraban en llegar por la escasez de combustible</w:t>
      </w:r>
      <w:r>
        <w:t xml:space="preserve"> </w:t>
      </w:r>
      <w:r>
        <w:t xml:space="preserve">(UATF, 2025, pp. 122–123)</w:t>
      </w:r>
      <w:r>
        <w:t xml:space="preserve">. El informe de la Supervisión del mismo periodo señala que se realizaron «modificaciones estructurales debido a la inexistencia de viguetas en el mercado de los tamaños requeridos», sin detallar qué se modificó</w:t>
      </w:r>
      <w:r>
        <w:t xml:space="preserve"> </w:t>
      </w:r>
      <w:r>
        <w:t xml:space="preserve">(UATF, 2025, p. 11)</w:t>
      </w:r>
      <w:r>
        <w:t xml:space="preserve">. En octubre de 2025, la Cámara de la Construcción de Tarija se pronunció sobre el incremento del precio del cemento, la escasez de combustibles y la variación del tipo de cambio</w:t>
      </w:r>
      <w:r>
        <w:t xml:space="preserve"> </w:t>
      </w:r>
      <w:r>
        <w:t xml:space="preserve">(Cámara de la Construcción de Tarija [CADECO Tarija], 2025)</w:t>
      </w:r>
      <w:r>
        <w:t xml:space="preserve">. Los precios promedio que publica el Instituto Nacional de Estadística para Potosí muestran la magnitud del alza (Tabla 3), que el Gobierno reconoció con decretos de ajuste excepcional de precios en contratos de obra: el D. S. 5321 de 2025 y el D. S. 5597 de 2026</w:t>
      </w:r>
      <w:r>
        <w:t xml:space="preserve"> </w:t>
      </w:r>
      <w:r>
        <w:t xml:space="preserve">(Estado Plurinacional de Bolivia, 2025a, 2026)</w:t>
      </w:r>
      <w:r>
        <w:t xml:space="preserve">. El contrato de la obra, sin embargo, excluye el reajuste de precios y no considera fuerza mayor las demoras en la entrega de materiales</w:t>
      </w:r>
      <w:r>
        <w:t xml:space="preserve"> </w:t>
      </w:r>
      <w:r>
        <w:t xml:space="preserve">(UATF, 2025, pp. 95–96)</w:t>
      </w:r>
      <w:r>
        <w:t xml:space="preserve">.</w:t>
      </w:r>
    </w:p>
    <w:p>
      <w:pPr>
        <w:pStyle w:val="Caption"/>
      </w:pPr>
      <w:bookmarkStart w:id="1406" w:name="tab3"/>
      <w:r>
        <w:t xml:space="preserve"/>
      </w:r>
      <w:r>
        <w:rPr>
          <w:bCs/>
          <w:b/>
        </w:rPr>
        <w:t xml:space="preserve">Tabla 3</w:t>
      </w:r>
      <w:r>
        <w:br/>
      </w:r>
      <w:r>
        <w:rPr>
          <w:iCs/>
          <w:i/>
        </w:rPr>
        <w:t xml:space="preserve">Precios promedio de materiales de construcción en Potosí</w:t>
      </w:r>
      <w:bookmarkEnd w:id="1406"/>
    </w:p>
    <w:tbl>
      <w:tblPr>
        <w:tblStyle w:val="Table"/>
        <w:tblW w:w="9362" w:type="dxa"/>
        <w:jc w:val="left"/>
        <w:tblLayout w:type="fixed"/>
        <w:tblCellMar>
          <w:top w:w="0" w:type="dxa"/>
          <w:left w:w="85" w:type="dxa"/>
          <w:bottom w:w="0" w:type="dxa"/>
          <w:right w:w="85" w:type="dxa"/>
        </w:tblCellMar>
        <w:tblLook w:firstRow="1" w:lastRow="0" w:firstColumn="0" w:lastColumn="0" w:noHBand="0" w:noVBand="0" w:val="0020"/>
      </w:tblPr>
      <w:tblGrid>
        <w:gridCol w:w="4273"/>
        <w:gridCol w:w="1151"/>
        <w:gridCol w:w="1276"/>
        <w:gridCol w:w="1276"/>
        <w:gridCol w:w="1386"/>
      </w:tblGrid>
      <w:tr>
        <w:trPr>
          <w:cantSplit/>
          <w:tblHeader w:val="true"/>
        </w:trPr>
        <w:tc>
          <w:tcPr>
            <w:tcW w:w="4273" w:type="dxa"/>
            <w:tcBorders>
              <w:top w:val="single" w:sz="8" w:space="0" w:color="000000"/>
              <w:bottom w:val="single" w:sz="4" w:space="0" w:color="000000"/>
            </w:tcBorders>
          </w:tcPr>
          <w:p>
            <w:pPr>
              <w:pStyle w:val="CeldaAPA"/>
              <w:jc w:val="center"/>
            </w:pPr>
            <w:r>
              <w:rPr>
                <w:bCs/>
                <w:b/>
              </w:rPr>
              <w:t xml:space="preserve">Material</w:t>
            </w:r>
          </w:p>
        </w:tc>
        <w:tc>
          <w:tcPr>
            <w:tcW w:w="1151" w:type="dxa"/>
            <w:tcBorders>
              <w:top w:val="single" w:sz="8" w:space="0" w:color="000000"/>
              <w:bottom w:val="single" w:sz="4" w:space="0" w:color="000000"/>
            </w:tcBorders>
          </w:tcPr>
          <w:p>
            <w:pPr>
              <w:pStyle w:val="CeldaAPA"/>
              <w:jc w:val="center"/>
            </w:pPr>
            <w:r>
              <w:rPr>
                <w:bCs/>
                <w:b/>
              </w:rPr>
              <w:t xml:space="preserve">Dic. 2023</w:t>
            </w:r>
          </w:p>
        </w:tc>
        <w:tc>
          <w:tcPr>
            <w:tcW w:w="1276" w:type="dxa"/>
            <w:tcBorders>
              <w:top w:val="single" w:sz="8" w:space="0" w:color="000000"/>
              <w:bottom w:val="single" w:sz="4" w:space="0" w:color="000000"/>
            </w:tcBorders>
          </w:tcPr>
          <w:p>
            <w:pPr>
              <w:pStyle w:val="CeldaAPA"/>
              <w:jc w:val="center"/>
            </w:pPr>
            <w:r>
              <w:rPr>
                <w:bCs/>
                <w:b/>
              </w:rPr>
              <w:t xml:space="preserve">Dic. 2025</w:t>
            </w:r>
          </w:p>
        </w:tc>
        <w:tc>
          <w:tcPr>
            <w:tcW w:w="1276" w:type="dxa"/>
            <w:tcBorders>
              <w:top w:val="single" w:sz="8" w:space="0" w:color="000000"/>
              <w:bottom w:val="single" w:sz="4" w:space="0" w:color="000000"/>
            </w:tcBorders>
          </w:tcPr>
          <w:p>
            <w:pPr>
              <w:pStyle w:val="CeldaAPA"/>
              <w:jc w:val="center"/>
            </w:pPr>
            <w:r>
              <w:rPr>
                <w:bCs/>
                <w:b/>
              </w:rPr>
              <w:t xml:space="preserve">Sep. 2026</w:t>
            </w:r>
          </w:p>
        </w:tc>
        <w:tc>
          <w:tcPr>
            <w:tcW w:w="1386" w:type="dxa"/>
            <w:tcBorders>
              <w:top w:val="single" w:sz="8" w:space="0" w:color="000000"/>
              <w:bottom w:val="single" w:sz="4" w:space="0" w:color="000000"/>
            </w:tcBorders>
          </w:tcPr>
          <w:p>
            <w:pPr>
              <w:pStyle w:val="CeldaAPA"/>
              <w:jc w:val="center"/>
            </w:pPr>
            <w:r>
              <w:rPr>
                <w:bCs/>
                <w:b/>
              </w:rPr>
              <w:t xml:space="preserve">Variación</w:t>
            </w:r>
          </w:p>
        </w:tc>
      </w:tr>
      <w:tr>
        <w:tc>
          <w:tcPr>
            <w:tcW w:w="4273" w:type="dxa"/>
          </w:tcPr>
          <w:p>
            <w:pPr>
              <w:pStyle w:val="CeldaAPA"/>
              <w:jc w:val="left"/>
            </w:pPr>
            <w:r>
              <w:rPr/>
              <w:t xml:space="preserve">Cemento portland gris, bolsa de 50 kg (Bs)</w:t>
            </w:r>
          </w:p>
        </w:tc>
        <w:tc>
          <w:tcPr>
            <w:tcW w:w="1151" w:type="dxa"/>
          </w:tcPr>
          <w:p>
            <w:pPr>
              <w:pStyle w:val="CeldaAPA"/>
              <w:jc w:val="right"/>
            </w:pPr>
            <w:r>
              <w:rPr/>
              <w:t xml:space="preserve">45,00</w:t>
            </w:r>
          </w:p>
        </w:tc>
        <w:tc>
          <w:tcPr>
            <w:tcW w:w="1276" w:type="dxa"/>
          </w:tcPr>
          <w:p>
            <w:pPr>
              <w:pStyle w:val="CeldaAPA"/>
              <w:jc w:val="right"/>
            </w:pPr>
            <w:r>
              <w:rPr/>
              <w:t xml:space="preserve">83,09</w:t>
            </w:r>
          </w:p>
        </w:tc>
        <w:tc>
          <w:tcPr>
            <w:tcW w:w="1276" w:type="dxa"/>
          </w:tcPr>
          <w:p>
            <w:pPr>
              <w:pStyle w:val="CeldaAPA"/>
              <w:jc w:val="right"/>
            </w:pPr>
            <w:r>
              <w:rPr/>
              <w:t xml:space="preserve">78,32</w:t>
            </w:r>
          </w:p>
        </w:tc>
        <w:tc>
          <w:tcPr>
            <w:tcW w:w="1386" w:type="dxa"/>
          </w:tcPr>
          <w:p>
            <w:pPr>
              <w:pStyle w:val="CeldaAPA"/>
              <w:jc w:val="right"/>
            </w:pPr>
            <w:r>
              <w:rPr/>
              <w:t xml:space="preserve">+74,1 %</w:t>
            </w:r>
          </w:p>
        </w:tc>
      </w:tr>
      <w:tr>
        <w:tc>
          <w:tcPr>
            <w:tcW w:w="4273" w:type="dxa"/>
          </w:tcPr>
          <w:p>
            <w:pPr>
              <w:pStyle w:val="CeldaAPA"/>
              <w:jc w:val="left"/>
            </w:pPr>
            <w:r>
              <w:rPr/>
              <w:t xml:space="preserve">Fierro corrugado de 1/2”, tonelada (Bs)</w:t>
            </w:r>
          </w:p>
        </w:tc>
        <w:tc>
          <w:tcPr>
            <w:tcW w:w="1151" w:type="dxa"/>
          </w:tcPr>
          <w:p>
            <w:pPr>
              <w:pStyle w:val="CeldaAPA"/>
              <w:jc w:val="right"/>
            </w:pPr>
            <w:r>
              <w:rPr/>
              <w:t xml:space="preserve">6.885,56</w:t>
            </w:r>
          </w:p>
        </w:tc>
        <w:tc>
          <w:tcPr>
            <w:tcW w:w="1276" w:type="dxa"/>
          </w:tcPr>
          <w:p>
            <w:pPr>
              <w:pStyle w:val="CeldaAPA"/>
              <w:jc w:val="right"/>
            </w:pPr>
            <w:r>
              <w:rPr/>
              <w:t xml:space="preserve">12.733,71</w:t>
            </w:r>
          </w:p>
        </w:tc>
        <w:tc>
          <w:tcPr>
            <w:tcW w:w="1276" w:type="dxa"/>
          </w:tcPr>
          <w:p>
            <w:pPr>
              <w:pStyle w:val="CeldaAPA"/>
              <w:jc w:val="right"/>
            </w:pPr>
            <w:r>
              <w:rPr/>
              <w:t xml:space="preserve">11.412,22</w:t>
            </w:r>
          </w:p>
        </w:tc>
        <w:tc>
          <w:tcPr>
            <w:tcW w:w="1386" w:type="dxa"/>
          </w:tcPr>
          <w:p>
            <w:pPr>
              <w:pStyle w:val="CeldaAPA"/>
              <w:jc w:val="right"/>
            </w:pPr>
            <w:r>
              <w:rPr/>
              <w:t xml:space="preserve">+65,7 %</w:t>
            </w:r>
          </w:p>
        </w:tc>
      </w:tr>
      <w:tr>
        <w:tc>
          <w:tcPr>
            <w:tcW w:w="4273" w:type="dxa"/>
          </w:tcPr>
          <w:p>
            <w:pPr>
              <w:pStyle w:val="CeldaAPA"/>
              <w:jc w:val="left"/>
            </w:pPr>
            <w:r>
              <w:rPr/>
              <w:t xml:space="preserve">Vigueta pretensada con plastoformo, m</w:t>
            </w:r>
            <w:r>
              <w:rPr>
                <w:vertAlign w:val="superscript"/>
              </w:rPr>
              <w:t xml:space="preserve">2</w:t>
            </w:r>
            <w:r>
              <w:rPr/>
              <w:t xml:space="preserve"> </w:t>
            </w:r>
            <w:r>
              <w:rPr/>
              <w:t xml:space="preserve">(Bs)</w:t>
            </w:r>
          </w:p>
        </w:tc>
        <w:tc>
          <w:tcPr>
            <w:tcW w:w="1151" w:type="dxa"/>
          </w:tcPr>
          <w:p>
            <w:pPr>
              <w:pStyle w:val="CeldaAPA"/>
              <w:jc w:val="right"/>
            </w:pPr>
            <w:r>
              <w:rPr/>
              <w:t xml:space="preserve">77,25</w:t>
            </w:r>
          </w:p>
        </w:tc>
        <w:tc>
          <w:tcPr>
            <w:tcW w:w="1276" w:type="dxa"/>
          </w:tcPr>
          <w:p>
            <w:pPr>
              <w:pStyle w:val="CeldaAPA"/>
              <w:jc w:val="right"/>
            </w:pPr>
            <w:r>
              <w:rPr/>
              <w:t xml:space="preserve">112,97</w:t>
            </w:r>
          </w:p>
        </w:tc>
        <w:tc>
          <w:tcPr>
            <w:tcW w:w="1276" w:type="dxa"/>
          </w:tcPr>
          <w:p>
            <w:pPr>
              <w:pStyle w:val="CeldaAPA"/>
              <w:jc w:val="right"/>
            </w:pPr>
            <w:r>
              <w:rPr/>
              <w:t xml:space="preserve">124,84</w:t>
            </w:r>
          </w:p>
        </w:tc>
        <w:tc>
          <w:tcPr>
            <w:tcW w:w="1386" w:type="dxa"/>
          </w:tcPr>
          <w:p>
            <w:pPr>
              <w:pStyle w:val="CeldaAPA"/>
              <w:jc w:val="right"/>
            </w:pPr>
            <w:r>
              <w:rPr/>
              <w:t xml:space="preserve">+61,6 %</w:t>
            </w:r>
          </w:p>
        </w:tc>
      </w:tr>
      <w:tr>
        <w:tc>
          <w:tcPr>
            <w:tcW w:w="4273" w:type="dxa"/>
            <w:tcBorders>
              <w:bottom w:val="single" w:sz="8" w:space="0" w:color="000000"/>
            </w:tcBorders>
          </w:tcPr>
          <w:p>
            <w:pPr>
              <w:pStyle w:val="CeldaAPA"/>
              <w:jc w:val="left"/>
            </w:pPr>
            <w:r>
              <w:rPr/>
              <w:t xml:space="preserve">Alambre de amarre, kg (Bs)</w:t>
            </w:r>
          </w:p>
        </w:tc>
        <w:tc>
          <w:tcPr>
            <w:tcW w:w="1151" w:type="dxa"/>
            <w:tcBorders>
              <w:bottom w:val="single" w:sz="8" w:space="0" w:color="000000"/>
            </w:tcBorders>
          </w:tcPr>
          <w:p>
            <w:pPr>
              <w:pStyle w:val="CeldaAPA"/>
              <w:jc w:val="right"/>
            </w:pPr>
            <w:r>
              <w:rPr/>
              <w:t xml:space="preserve">11,11</w:t>
            </w:r>
          </w:p>
        </w:tc>
        <w:tc>
          <w:tcPr>
            <w:tcW w:w="1276" w:type="dxa"/>
            <w:tcBorders>
              <w:bottom w:val="single" w:sz="8" w:space="0" w:color="000000"/>
            </w:tcBorders>
          </w:tcPr>
          <w:p>
            <w:pPr>
              <w:pStyle w:val="CeldaAPA"/>
              <w:jc w:val="right"/>
            </w:pPr>
            <w:r>
              <w:rPr/>
              <w:t xml:space="preserve">17,41</w:t>
            </w:r>
          </w:p>
        </w:tc>
        <w:tc>
          <w:tcPr>
            <w:tcW w:w="1276" w:type="dxa"/>
            <w:tcBorders>
              <w:bottom w:val="single" w:sz="8" w:space="0" w:color="000000"/>
            </w:tcBorders>
          </w:tcPr>
          <w:p>
            <w:pPr>
              <w:pStyle w:val="CeldaAPA"/>
              <w:jc w:val="right"/>
            </w:pPr>
            <w:r>
              <w:rPr/>
              <w:t xml:space="preserve">19,68</w:t>
            </w:r>
          </w:p>
        </w:tc>
        <w:tc>
          <w:tcPr>
            <w:tcW w:w="1386" w:type="dxa"/>
            <w:tcBorders>
              <w:bottom w:val="single" w:sz="8" w:space="0" w:color="000000"/>
            </w:tcBorders>
          </w:tcPr>
          <w:p>
            <w:pPr>
              <w:pStyle w:val="CeldaAPA"/>
              <w:jc w:val="right"/>
            </w:pPr>
            <w:r>
              <w:rPr/>
              <w:t xml:space="preserve">+77,1 %</w:t>
            </w:r>
          </w:p>
        </w:tc>
      </w:tr>
    </w:tbl>
    <w:p>
      <w:pPr>
        <w:pStyle w:val="NotaAPA"/>
      </w:pPr>
      <w:r>
        <w:rPr>
          <w:iCs/>
          <w:i/>
        </w:rPr>
        <w:t xml:space="preserve">Nota.</w:t>
      </w:r>
      <w:r>
        <w:t xml:space="preserve"> </w:t>
      </w:r>
      <w:r>
        <w:t xml:space="preserve">La variación compara septiembre de 2026 con diciembre de 2023. Elaborado con base en</w:t>
      </w:r>
      <w:r>
        <w:t xml:space="preserve"> </w:t>
      </w:r>
      <w:r>
        <w:t xml:space="preserve">Instituto Nacional de Estadística (INE, 2026)</w:t>
      </w:r>
      <w:r>
        <w:t xml:space="preserve">.</w:t>
      </w:r>
    </w:p>
    <w:p>
      <w:pPr>
        <w:pStyle w:val="BodyText"/>
      </w:pPr>
      <w:r>
        <w:t xml:space="preserve">En cuanto a la gestión de la calidad, los documentos de la obra no muestran un sistema de planificación, control y registro de la calidad de la losa:</w:t>
      </w:r>
    </w:p>
    <w:p>
      <w:pPr>
        <w:numPr>
          <w:ilvl w:val="0"/>
          <w:numId w:val="1002"/>
        </w:numPr>
      </w:pPr>
      <w:r>
        <w:rPr>
          <w:bCs/>
          <w:b/>
        </w:rPr>
        <w:t xml:space="preserve">Hormigón de la losa sin ensayos de resistencia.</w:t>
      </w:r>
      <w:r>
        <w:t xml:space="preserve"> </w:t>
      </w:r>
      <w:r>
        <w:t xml:space="preserve">El único certificado de ensayos de compresión adjunto a la Planilla N.</w:t>
      </w:r>
      <w:r>
        <w:rPr>
          <w:vertAlign w:val="superscript"/>
        </w:rPr>
        <w:t xml:space="preserve">o</w:t>
      </w:r>
      <w:r>
        <w:t xml:space="preserve"> 2, del 5 de diciembre de 2025, corresponde a diez probetas de columnas y dos de vigas, ensayadas a edades de 55 a 76 días y con resistencias «proyectadas» a 28 días; las probetas fueron traídas y elaboradas por la propia contratista, y ninguna corresponde a la losa</w:t>
      </w:r>
      <w:r>
        <w:t xml:space="preserve"> </w:t>
      </w:r>
      <w:r>
        <w:t xml:space="preserve">(Laboratorio de Resistencia de Materiales y Tecnología del Hormigón, 2025; UATF, 2025, p. 78)</w:t>
      </w:r>
      <w:r>
        <w:t xml:space="preserve">. La losa se certificó para el pago en esa planilla, cerrada el 8 de diciembre de 2025, sin resultados de resistencia: los 28 días contados desde la autorización del vaciado (28/11/2025) se cumplían el 26 de diciembre de 2025 (cálculo propio con base en</w:t>
      </w:r>
      <w:r>
        <w:t xml:space="preserve"> </w:t>
      </w:r>
      <w:r>
        <w:t xml:space="preserve">(UATF, 2025, pp. 16, 125)</w:t>
      </w:r>
      <w:r>
        <w:t xml:space="preserve">).</w:t>
      </w:r>
    </w:p>
    <w:p>
      <w:pPr>
        <w:numPr>
          <w:ilvl w:val="0"/>
          <w:numId w:val="1002"/>
        </w:numPr>
      </w:pPr>
      <w:r>
        <w:rPr>
          <w:bCs/>
          <w:b/>
        </w:rPr>
        <w:t xml:space="preserve">Libro de Órdenes sin registro de no conformidades.</w:t>
      </w:r>
      <w:r>
        <w:t xml:space="preserve"> </w:t>
      </w:r>
      <w:r>
        <w:t xml:space="preserve">Los 24 asientos del periodo, del 10 de septiembre al 28 de noviembre de 2025, no registran ninguna no conformidad, rechazo de material ni retrabajo, y las ocho solicitudes de vaciado se autorizaron el mismo día en que se presentaron</w:t>
      </w:r>
      <w:r>
        <w:t xml:space="preserve"> </w:t>
      </w:r>
      <w:r>
        <w:t xml:space="preserve">(UATF, 2025, pp. 114–125)</w:t>
      </w:r>
      <w:r>
        <w:t xml:space="preserve">. El 28 de noviembre de 2025, la Supervisión autorizó el vaciado de la losa «desde dos frentes» y recomendó cumplir las especificaciones, las dosificaciones y el curado, sin instruir la toma de probetas</w:t>
      </w:r>
      <w:r>
        <w:t xml:space="preserve"> </w:t>
      </w:r>
      <w:r>
        <w:t xml:space="preserve">(UATF, 2025, p. 125)</w:t>
      </w:r>
      <w:r>
        <w:t xml:space="preserve">, como sí lo había hecho el 31 de octubre para las columnas</w:t>
      </w:r>
      <w:r>
        <w:t xml:space="preserve"> </w:t>
      </w:r>
      <w:r>
        <w:t xml:space="preserve">(UATF, 2025, p. 121)</w:t>
      </w:r>
      <w:r>
        <w:t xml:space="preserve">.</w:t>
      </w:r>
    </w:p>
    <w:p>
      <w:pPr>
        <w:numPr>
          <w:ilvl w:val="0"/>
          <w:numId w:val="1002"/>
        </w:numPr>
      </w:pPr>
      <w:r>
        <w:rPr>
          <w:bCs/>
          <w:b/>
        </w:rPr>
        <w:t xml:space="preserve">Certificados de materiales posteriores al armado.</w:t>
      </w:r>
      <w:r>
        <w:t xml:space="preserve"> </w:t>
      </w:r>
      <w:r>
        <w:t xml:space="preserve">Los certificados de calidad de las viguetas (PRETENSA) y del complemento de poliestireno expandido (UNICON) están fechados el 27 de noviembre de 2025, cuando el armado de la losa estaba en curso al menos desde el 14 de noviembre; ninguno muestra firma ni sello, y el de las viguetas no indica cantidad, lote ni resultados de ensayo</w:t>
      </w:r>
      <w:r>
        <w:t xml:space="preserve"> </w:t>
      </w:r>
      <w:r>
        <w:t xml:space="preserve">(PRETENSA, 2025; UNICON, 2025; UATF, 2025, pp. 80–81, 122)</w:t>
      </w:r>
      <w:r>
        <w:t xml:space="preserve">. El complemento certificado (20 </w:t>
      </w:r>
      <m:oMath>
        <m:r>
          <m:rPr>
            <m:sty m:val="p"/>
          </m:rPr>
          <m:t>×</m:t>
        </m:r>
      </m:oMath>
      <w:r>
        <w:t xml:space="preserve"> 100 </w:t>
      </w:r>
      <m:oMath>
        <m:r>
          <m:rPr>
            <m:sty m:val="p"/>
          </m:rPr>
          <m:t>×</m:t>
        </m:r>
      </m:oMath>
      <w:r>
        <w:t xml:space="preserve"> 44 cm) no coincide con el que fija la especificación técnica (100 </w:t>
      </w:r>
      <m:oMath>
        <m:r>
          <m:rPr>
            <m:sty m:val="p"/>
          </m:rPr>
          <m:t>×</m:t>
        </m:r>
      </m:oMath>
      <w:r>
        <w:t xml:space="preserve"> 50 </w:t>
      </w:r>
      <m:oMath>
        <m:r>
          <m:rPr>
            <m:sty m:val="p"/>
          </m:rPr>
          <m:t>×</m:t>
        </m:r>
      </m:oMath>
      <w:r>
        <w:t xml:space="preserve"> 20 cm)</w:t>
      </w:r>
      <w:r>
        <w:t xml:space="preserve"> </w:t>
      </w:r>
      <w:r>
        <w:t xml:space="preserve">(UATF, s. f.-a, p. 3)</w:t>
      </w:r>
      <w:r>
        <w:t xml:space="preserve">. Los certificados de acero adjuntos solo cubren barras de 8 a 20 mm: no hay certificados de las barras de 6 mm, que forman la parrilla de la losa según el Plano 02 del proyecto, ni de las de 10 mm</w:t>
      </w:r>
      <w:r>
        <w:t xml:space="preserve"> </w:t>
      </w:r>
      <w:r>
        <w:t xml:space="preserve">(UATF, 2025, pp. 82–86)</w:t>
      </w:r>
      <w:r>
        <w:t xml:space="preserve">.</w:t>
      </w:r>
    </w:p>
    <w:p>
      <w:pPr>
        <w:numPr>
          <w:ilvl w:val="0"/>
          <w:numId w:val="1002"/>
        </w:numPr>
      </w:pPr>
      <w:r>
        <w:rPr>
          <w:bCs/>
          <w:b/>
        </w:rPr>
        <w:t xml:space="preserve">Observaciones de la Supervisión.</w:t>
      </w:r>
      <w:r>
        <w:t xml:space="preserve"> </w:t>
      </w:r>
      <w:r>
        <w:t xml:space="preserve">En su informe de la Planilla N.</w:t>
      </w:r>
      <w:r>
        <w:rPr>
          <w:vertAlign w:val="superscript"/>
        </w:rPr>
        <w:t xml:space="preserve">o</w:t>
      </w:r>
      <w:r>
        <w:t xml:space="preserve"> 2, la Supervisión recomendó al constructor presentar las garantías de todos los materiales empleados, realizar la rotura de probetas de los elementos vaciados y presentar las dosificaciones</w:t>
      </w:r>
      <w:r>
        <w:t xml:space="preserve"> </w:t>
      </w:r>
      <w:r>
        <w:t xml:space="preserve">(UATF, 2025, p. 9)</w:t>
      </w:r>
      <w:r>
        <w:t xml:space="preserve">; en el mismo informe afirmó que los trabajos del periodo «presentan buena calidad», sin citar ensayos ni inspecciones</w:t>
      </w:r>
      <w:r>
        <w:t xml:space="preserve"> </w:t>
      </w:r>
      <w:r>
        <w:t xml:space="preserve">(UATF, 2025, p. 11)</w:t>
      </w:r>
      <w:r>
        <w:t xml:space="preserve">.</w:t>
      </w:r>
    </w:p>
    <w:p>
      <w:pPr>
        <w:pStyle w:val="FirstParagraph"/>
      </w:pPr>
      <w:r>
        <w:t xml:space="preserve">Los documentos de pago presentan, además, inconsistencias en las cantidades de acero estructural (ítem 8) que la Supervisión y la Fiscalización deben verificar:</w:t>
      </w:r>
    </w:p>
    <w:p>
      <w:pPr>
        <w:numPr>
          <w:ilvl w:val="0"/>
          <w:numId w:val="1003"/>
        </w:numPr>
      </w:pPr>
      <w:r>
        <w:t xml:space="preserve">La planilla de cierre firmada descuenta 1.862,81 kg (Bs 31.212,95) de los 52.424,65 kg pagados hasta la Planilla N.</w:t>
      </w:r>
      <w:r>
        <w:rPr>
          <w:vertAlign w:val="superscript"/>
        </w:rPr>
        <w:t xml:space="preserve">o</w:t>
      </w:r>
      <w:r>
        <w:t xml:space="preserve"> 2, es decir, el 3,55 % (cálculo propio), y deja un acumulado de 50.561,84 kg</w:t>
      </w:r>
      <w:r>
        <w:t xml:space="preserve"> </w:t>
      </w:r>
      <w:r>
        <w:t xml:space="preserve">(UATF, s. f.-b, p. 2; 2025, p. 16)</w:t>
      </w:r>
      <w:r>
        <w:t xml:space="preserve">, la misma cifra que consigna el detalle de descuento por agua potable del expediente</w:t>
      </w:r>
      <w:r>
        <w:t xml:space="preserve"> </w:t>
      </w:r>
      <w:r>
        <w:t xml:space="preserve">(UATF, s. f.-b, p. 12)</w:t>
      </w:r>
      <w:r>
        <w:t xml:space="preserve">. Una versión en Excel de la misma planilla registra, en cambio, un descuento de 1.915,16 kg (Bs 32.090,11) y un monto del periodo de Bs 18.527,21, frente a los Bs 16.837,41 de la versión firmada</w:t>
      </w:r>
      <w:r>
        <w:t xml:space="preserve"> </w:t>
      </w:r>
      <w:r>
        <w:t xml:space="preserve">(UATF, s. f.-c; s. f.-b, p. 2)</w:t>
      </w:r>
      <w:r>
        <w:t xml:space="preserve">.</w:t>
      </w:r>
    </w:p>
    <w:p>
      <w:pPr>
        <w:numPr>
          <w:ilvl w:val="0"/>
          <w:numId w:val="1003"/>
        </w:numPr>
      </w:pPr>
      <w:r>
        <w:t xml:space="preserve">En la Planilla N.</w:t>
      </w:r>
      <w:r>
        <w:rPr>
          <w:vertAlign w:val="superscript"/>
        </w:rPr>
        <w:t xml:space="preserve">o</w:t>
      </w:r>
      <w:r>
        <w:t xml:space="preserve"> 2, el acero de la losa se computa una sola vez («LOSA ALIVIANADA», 1,00 </w:t>
      </w:r>
      <m:oMath>
        <m:r>
          <m:rPr>
            <m:sty m:val="p"/>
          </m:rPr>
          <m:t>×</m:t>
        </m:r>
      </m:oMath>
      <w:r>
        <w:t xml:space="preserve"> 4.171,18 kg) y sin planilla de armado</w:t>
      </w:r>
      <w:r>
        <w:t xml:space="preserve"> </w:t>
      </w:r>
      <w:r>
        <w:t xml:space="preserve">(UATF, 2025, p. 20)</w:t>
      </w:r>
      <w:r>
        <w:t xml:space="preserve">; en el cómputo de cierre que acompaña a la versión en Excel, la misma línea figura como 3 </w:t>
      </w:r>
      <m:oMath>
        <m:r>
          <m:rPr>
            <m:sty m:val="p"/>
          </m:rPr>
          <m:t>×</m:t>
        </m:r>
      </m:oMath>
      <w:r>
        <w:t xml:space="preserve"> 4.171,18 kg = 12.513,54 kg, aunque solo se ejecutó una losa</w:t>
      </w:r>
      <w:r>
        <w:t xml:space="preserve"> </w:t>
      </w:r>
      <w:r>
        <w:t xml:space="preserve">(UATF, s. f.-c)</w:t>
      </w:r>
      <w:r>
        <w:t xml:space="preserve">. Además, la especificación técnica del ítem 13 incluye entre los materiales de ese ítem el «Fierro Corrugado (parrilla de compresión y refuerzo momentos negativos)»</w:t>
      </w:r>
      <w:r>
        <w:t xml:space="preserve"> </w:t>
      </w:r>
      <w:r>
        <w:t xml:space="preserve">(UATF, s. f.-a, p. 3)</w:t>
      </w:r>
      <w:r>
        <w:t xml:space="preserve">, lo que plantea un posible doble cómputo con el ítem 8 que debe verificarse con el análisis de precios unitarios del ítem.</w:t>
      </w:r>
    </w:p>
    <w:p>
      <w:pPr>
        <w:pStyle w:val="FirstParagraph"/>
      </w:pPr>
      <w:r>
        <w:t xml:space="preserve">En esta tesis se adoptan como oficiales las cifras de la planilla de cierre firmada; la conciliación de las demás versiones y cómputos corresponde a la Supervisión y la Fiscalización.</w:t>
      </w:r>
    </w:p>
    <w:p>
      <w:pPr>
        <w:pStyle w:val="BodyText"/>
      </w:pPr>
      <w:r>
        <w:t xml:space="preserve">El 5 de enero de 2026, el Director de Obra registró en el Libro de Órdenes la presentación, a la Máxima Autoridad Ejecutiva de la UATF, de una carta notariada de intención de resolución consensuada del contrato por fuerza mayor o caso fortuito. La contratista invocó el D. S. 5503, que, según su comunicación, quitó la subvención estatal a la gasolina y al diésel e incrementó el costo de los materiales, del transporte y de la mano de obra, y solicitó la paralización de la obra; la Supervisión le instruyó seguir el procedimiento de paralización previsto en el contrato</w:t>
      </w:r>
      <w:r>
        <w:t xml:space="preserve"> </w:t>
      </w:r>
      <w:r>
        <w:t xml:space="preserve">(UATF, s. f.-b, p. 14)</w:t>
      </w:r>
      <w:r>
        <w:t xml:space="preserve">. La UATF respondió favorablemente el 10 de febrero de 2026</w:t>
      </w:r>
      <w:r>
        <w:t xml:space="preserve"> </w:t>
      </w:r>
      <w:r>
        <w:t xml:space="preserve">(UATF, s. f.-b, p. 1)</w:t>
      </w:r>
      <w:r>
        <w:t xml:space="preserve">. Al resolverse el contrato solo se había ejecutado la primera losa, y la segunda no se ejecutó durante esta investigación.</w:t>
      </w:r>
    </w:p>
    <w:p>
      <w:pPr>
        <w:pStyle w:val="BodyText"/>
      </w:pPr>
      <w:r>
        <w:t xml:space="preserve">En síntesis, la primera losa se ejecutó y se pagó sin registros de resistencia del hormigón, de recepción de los materiales, de no conformidades ni de consumos, por lo que su desperdicio y su costo de no calidad no pueden conocerse directamente. Si los 2.234,60 m</w:t>
      </w:r>
      <w:r>
        <w:rPr>
          <w:vertAlign w:val="superscript"/>
        </w:rPr>
        <w:t xml:space="preserve">2</w:t>
      </w:r>
      <w:r>
        <w:t xml:space="preserve"> </w:t>
      </w:r>
      <w:r>
        <w:t xml:space="preserve">de losa restantes se ejecutan sin un sistema que planifique, controle y registre la calidad del proceso constructivo y el uso de los materiales, existe el riesgo de que se repitan las mismas deficiencias.</w:t>
      </w:r>
    </w:p>
    <w:p>
      <w:pPr>
        <w:pStyle w:val="Heading2"/>
      </w:pPr>
      <w:bookmarkStart w:id="30" w:name="tit10"/>
      <w:r>
        <w:t xml:space="preserve">3. Formulación del problema</w:t>
      </w:r>
      <w:bookmarkEnd w:id="30"/>
    </w:p>
    <w:p>
      <w:pPr>
        <w:pStyle w:val="Heading3"/>
      </w:pPr>
      <w:bookmarkStart w:id="28" w:name="tit11"/>
      <w:r>
        <w:t xml:space="preserve">3.1. Problema general</w:t>
      </w:r>
      <w:bookmarkEnd w:id="28"/>
    </w:p>
    <w:p>
      <w:pPr>
        <w:pStyle w:val="FirstParagraph"/>
      </w:pPr>
      <w:r>
        <w:t xml:space="preserve">¿De qué manera un Sistema de Gestión de la Calidad basado en la norma ISO 9001, centrado en el control de materiales, permite reducir los costos de ejecución de las losas alivianadas con viguetas pretensadas del Edificio de Posgrado de la Universidad Autónoma Tomás Frías?</w:t>
      </w:r>
    </w:p>
    <w:p>
      <w:pPr>
        <w:pStyle w:val="Heading3"/>
      </w:pPr>
      <w:bookmarkStart w:id="29" w:name="tit12"/>
      <w:r>
        <w:t xml:space="preserve">3.2. Problemas específicos</w:t>
      </w:r>
      <w:bookmarkEnd w:id="29"/>
    </w:p>
    <w:p>
      <w:pPr>
        <w:pStyle w:val="Listaetiquetada"/>
      </w:pPr>
      <w:r>
        <w:rPr>
          <w:bCs/>
          <w:b/>
        </w:rPr>
        <w:t xml:space="preserve">PE1.</w:t>
      </w:r>
      <w:r>
        <w:t xml:space="preserve"/>
        <w:tab/>
        <w:t xml:space="preserve">¿Cómo se gestionaron la calidad y el control de materiales en la ejecución de la primera losa alivianada del Edificio de Posgrado?</w:t>
      </w:r>
    </w:p>
    <w:p>
      <w:pPr>
        <w:pStyle w:val="Listaetiquetada"/>
      </w:pPr>
      <w:r>
        <w:rPr>
          <w:bCs/>
          <w:b/>
        </w:rPr>
        <w:t xml:space="preserve">PE2.</w:t>
      </w:r>
      <w:r>
        <w:t xml:space="preserve"/>
        <w:tab/>
        <w:t xml:space="preserve">¿Cuál es el nivel de desperdicio de materiales (hormigón, acero, viguetas pretensadas y plastoformo) y cuál es el costo de no calidad de la primera losa?</w:t>
      </w:r>
    </w:p>
    <w:p>
      <w:pPr>
        <w:pStyle w:val="Listaetiquetada"/>
      </w:pPr>
      <w:r>
        <w:rPr>
          <w:bCs/>
          <w:b/>
        </w:rPr>
        <w:t xml:space="preserve">PE3.</w:t>
      </w:r>
      <w:r>
        <w:t xml:space="preserve"/>
        <w:tab/>
        <w:t xml:space="preserve">¿Qué componentes debe tener un SGC para el proceso constructivo de losas alivianadas con viguetas pretensadas?</w:t>
      </w:r>
    </w:p>
    <w:p>
      <w:pPr>
        <w:pStyle w:val="Listaetiquetada"/>
      </w:pPr>
      <w:r>
        <w:rPr>
          <w:bCs/>
          <w:b/>
        </w:rPr>
        <w:t xml:space="preserve">PE4.</w:t>
      </w:r>
      <w:r>
        <w:t xml:space="preserve"/>
        <w:tab/>
        <w:t xml:space="preserve">¿En qué medida el SGC propuesto reduce el costo unitario y el desperdicio de materiales respecto de la línea base?</w:t>
      </w:r>
    </w:p>
    <w:p>
      <w:pPr>
        <w:pStyle w:val="Heading2"/>
      </w:pPr>
      <w:bookmarkStart w:id="31" w:name="tit13"/>
      <w:r>
        <w:t xml:space="preserve">4. Objeto de estudio y campo de acción</w:t>
      </w:r>
      <w:bookmarkEnd w:id="31"/>
    </w:p>
    <w:p>
      <w:pPr>
        <w:pStyle w:val="FirstParagraph"/>
      </w:pPr>
      <w:r>
        <w:rPr>
          <w:bCs/>
          <w:b/>
        </w:rPr>
        <w:t xml:space="preserve">Objeto de estudio:</w:t>
      </w:r>
      <w:r>
        <w:t xml:space="preserve"> </w:t>
      </w:r>
      <w:r>
        <w:t xml:space="preserve">el proceso constructivo de losas alivianadas con viguetas pretensadas y complemento de poliestireno expandido (plastoformo) en edificaciones.</w:t>
      </w:r>
    </w:p>
    <w:p>
      <w:pPr>
        <w:pStyle w:val="BodyText"/>
      </w:pPr>
      <w:r>
        <w:rPr>
          <w:bCs/>
          <w:b/>
        </w:rPr>
        <w:t xml:space="preserve">Campo de acción:</w:t>
      </w:r>
      <w:r>
        <w:t xml:space="preserve"> </w:t>
      </w:r>
      <w:r>
        <w:t xml:space="preserve">la gestión de la calidad, el control de materiales y los costos del ítem «losa alivianada h = 25 cm» del Edificio de Posgrado de la UATF.</w:t>
      </w:r>
    </w:p>
    <w:p>
      <w:pPr>
        <w:pStyle w:val="Heading2"/>
      </w:pPr>
      <w:bookmarkStart w:id="34" w:name="tit14"/>
      <w:r>
        <w:t xml:space="preserve">5. Objetivos</w:t>
      </w:r>
      <w:bookmarkEnd w:id="34"/>
    </w:p>
    <w:p>
      <w:pPr>
        <w:pStyle w:val="Heading3"/>
      </w:pPr>
      <w:bookmarkStart w:id="32" w:name="tit15"/>
      <w:r>
        <w:t xml:space="preserve">5.1. Objetivo general</w:t>
      </w:r>
      <w:bookmarkEnd w:id="32"/>
    </w:p>
    <w:p>
      <w:pPr>
        <w:pStyle w:val="FirstParagraph"/>
      </w:pPr>
      <w:r>
        <w:t xml:space="preserve">Diseñar un Sistema de Gestión de la Calidad basado en la norma ISO 9001, centrado en el control de materiales, para reducir los costos de ejecución de las losas alivianadas con viguetas pretensadas del Edificio de Posgrado de la Universidad Autónoma Tomás Frías.</w:t>
      </w:r>
    </w:p>
    <w:p>
      <w:pPr>
        <w:pStyle w:val="Heading3"/>
      </w:pPr>
      <w:bookmarkStart w:id="33" w:name="tit16"/>
      <w:r>
        <w:t xml:space="preserve">5.2. Objetivos específicos</w:t>
      </w:r>
      <w:bookmarkEnd w:id="33"/>
    </w:p>
    <w:p>
      <w:pPr>
        <w:pStyle w:val="Listaetiquetada"/>
      </w:pPr>
      <w:r>
        <w:rPr>
          <w:bCs/>
          <w:b/>
        </w:rPr>
        <w:t xml:space="preserve">OE1.</w:t>
      </w:r>
      <w:r>
        <w:t xml:space="preserve"/>
        <w:tab/>
        <w:t xml:space="preserve">Caracterizar la gestión de la calidad y el control de materiales aplicados en la ejecución de la primera losa alivianada (1.109,84 m</w:t>
      </w:r>
      <w:r>
        <w:rPr>
          <w:vertAlign w:val="superscript"/>
        </w:rPr>
        <w:t xml:space="preserve">2</w:t>
      </w:r>
      <w:r>
        <w:t xml:space="preserve">) e identificar las no conformidades y sus causas.</w:t>
      </w:r>
    </w:p>
    <w:p>
      <w:pPr>
        <w:pStyle w:val="Listaetiquetada"/>
      </w:pPr>
      <w:r>
        <w:rPr>
          <w:bCs/>
          <w:b/>
        </w:rPr>
        <w:t xml:space="preserve">OE2.</w:t>
      </w:r>
      <w:r>
        <w:t xml:space="preserve"/>
        <w:tab/>
        <w:t xml:space="preserve">Cuantificar la línea base del índice de desperdicio de materiales (hormigón, acero, viguetas pretensadas y plastoformo) y del costo de no calidad de la primera losa. Para ello se compararán las cantidades teóricas, adquiridas y pagadas.</w:t>
      </w:r>
    </w:p>
    <w:p>
      <w:pPr>
        <w:pStyle w:val="Listaetiquetada"/>
      </w:pPr>
      <w:r>
        <w:rPr>
          <w:bCs/>
          <w:b/>
        </w:rPr>
        <w:t xml:space="preserve">OE3.</w:t>
      </w:r>
      <w:r>
        <w:t xml:space="preserve"/>
        <w:tab/>
        <w:t xml:space="preserve">Establecer los componentes del SGC: plan de la calidad, plan de puntos de inspección y ensayo (PPI), procedimientos de control de materiales, gestión de no conformidades y registro de costos de la calidad. Se basarán en las normas ISO 9001:2026 e ISO 10005:2018, en la normativa de hormigón estructural y en los ensayos ASTM.</w:t>
      </w:r>
    </w:p>
    <w:p>
      <w:pPr>
        <w:pStyle w:val="Listaetiquetada"/>
      </w:pPr>
      <w:r>
        <w:rPr>
          <w:bCs/>
          <w:b/>
        </w:rPr>
        <w:t xml:space="preserve">OE4.</w:t>
      </w:r>
      <w:r>
        <w:t xml:space="preserve"/>
        <w:tab/>
        <w:t xml:space="preserve">Evaluar</w:t>
      </w:r>
      <w:r>
        <w:t xml:space="preserve"> </w:t>
      </w:r>
      <w:r>
        <w:rPr>
          <w:iCs/>
          <w:i/>
        </w:rPr>
        <w:t xml:space="preserve">ex ante</w:t>
      </w:r>
      <w:r>
        <w:t xml:space="preserve">, mediante un modelo de costos y simulación de Monte Carlo, el efecto del SGC sobre el costo unitario (Bs/m</w:t>
      </w:r>
      <w:r>
        <w:rPr>
          <w:vertAlign w:val="superscript"/>
        </w:rPr>
        <w:t xml:space="preserve">2</w:t>
      </w:r>
      <w:r>
        <w:t xml:space="preserve">) y el desperdicio de materiales de los 2.234,60 m</w:t>
      </w:r>
      <w:r>
        <w:rPr>
          <w:vertAlign w:val="superscript"/>
        </w:rPr>
        <w:t xml:space="preserve">2</w:t>
      </w:r>
      <w:r>
        <w:t xml:space="preserve"> </w:t>
      </w:r>
      <w:r>
        <w:t xml:space="preserve">de losa restantes, respecto de la línea base.</w:t>
      </w:r>
    </w:p>
    <w:p>
      <w:pPr>
        <w:pStyle w:val="Listaetiquetada"/>
      </w:pPr>
      <w:r>
        <w:rPr>
          <w:bCs/>
          <w:b/>
        </w:rPr>
        <w:t xml:space="preserve">OE5.</w:t>
      </w:r>
      <w:r>
        <w:t xml:space="preserve"/>
        <w:tab/>
        <w:t xml:space="preserve">Contrastar la hipótesis mediante reglas de decisión probabilísticas con</w:t>
      </w:r>
      <w:r>
        <w:t xml:space="preserve"> </w:t>
      </w:r>
      <m:oMath>
        <m:r>
          <m:t>α</m:t>
        </m:r>
        <m:r>
          <m:rPr>
            <m:sty m:val="p"/>
          </m:rPr>
          <m:t>=</m:t>
        </m:r>
        <m:r>
          <m:t>0</m:t>
        </m:r>
        <m:r>
          <m:rPr>
            <m:sty m:val="p"/>
          </m:rPr>
          <m:t>,</m:t>
        </m:r>
        <m:r>
          <m:t>05</m:t>
        </m:r>
      </m:oMath>
      <w:r>
        <w:t xml:space="preserve"> </w:t>
      </w:r>
      <w:r>
        <w:t xml:space="preserve">y validar el SGC mediante juicio de expertos.</w:t>
      </w:r>
    </w:p>
    <w:p>
      <w:pPr>
        <w:pStyle w:val="Heading2"/>
      </w:pPr>
      <w:bookmarkStart w:id="37" w:name="tit17"/>
      <w:r>
        <w:t xml:space="preserve">6. Hipótesis</w:t>
      </w:r>
      <w:bookmarkEnd w:id="37"/>
    </w:p>
    <w:p>
      <w:pPr>
        <w:pStyle w:val="Heading3"/>
      </w:pPr>
      <w:bookmarkStart w:id="35" w:name="tit18"/>
      <w:r>
        <w:t xml:space="preserve">6.1. Hipótesis general</w:t>
      </w:r>
      <w:bookmarkEnd w:id="35"/>
    </w:p>
    <w:p>
      <w:pPr>
        <w:pStyle w:val="FirstParagraph"/>
      </w:pPr>
      <w:r>
        <w:t xml:space="preserve">La aplicación de un Sistema de Gestión de la Calidad basado en la norma ISO 9001, centrado en el control de materiales, reduce en al menos un 5 % el costo unitario de ejecución (Bs/m</w:t>
      </w:r>
      <w:r>
        <w:rPr>
          <w:vertAlign w:val="superscript"/>
        </w:rPr>
        <w:t xml:space="preserve">2</w:t>
      </w:r>
      <w:r>
        <w:t xml:space="preserve">, a precios constantes del contrato) de las losas alivianadas con viguetas pretensadas del Edificio de Posgrado de la UATF, respecto de la línea base de la primera losa.</w:t>
      </w:r>
    </w:p>
    <w:p>
      <w:pPr>
        <w:pStyle w:val="BodyText"/>
      </w:pPr>
      <w:r>
        <w:t xml:space="preserve">La hipótesis nula correspondiente (</w:t>
      </w:r>
      <m:oMath>
        <m:sSub>
          <m:e>
            <m:r>
              <m:t>H</m:t>
            </m:r>
          </m:e>
          <m:sub>
            <m:r>
              <m:t>0</m:t>
            </m:r>
          </m:sub>
        </m:sSub>
      </m:oMath>
      <w:r>
        <w:t xml:space="preserve">) sostiene que el SGC no reduce el costo unitario o lo reduce en menos del 5 %, es decir, que niega lo que afirma la hipótesis de investigación</w:t>
      </w:r>
      <w:r>
        <w:t xml:space="preserve"> </w:t>
      </w:r>
      <w:r>
        <w:t xml:space="preserve">(Hernández-Sampieri y Mendoza Torres, 2018, p. 133)</w:t>
      </w:r>
      <w:r>
        <w:t xml:space="preserve">. Las hipótesis nulas de las hipótesis específicas y las reglas de decisión se presentan en la Sección 2.9.</w:t>
      </w:r>
    </w:p>
    <w:p>
      <w:pPr>
        <w:pStyle w:val="Heading3"/>
      </w:pPr>
      <w:bookmarkStart w:id="36" w:name="tit19"/>
      <w:r>
        <w:t xml:space="preserve">6.2. Hipótesis específicas</w:t>
      </w:r>
      <w:bookmarkEnd w:id="36"/>
    </w:p>
    <w:p>
      <w:pPr>
        <w:pStyle w:val="Listaetiquetada"/>
      </w:pPr>
      <w:r>
        <w:rPr>
          <w:bCs/>
          <w:b/>
        </w:rPr>
        <w:t xml:space="preserve">HE1.</w:t>
      </w:r>
      <w:r>
        <w:t xml:space="preserve"/>
        <w:tab/>
        <w:t xml:space="preserve">El SGC reduce el índice de desperdicio de materiales de la losa con respecto a la línea base.</w:t>
      </w:r>
    </w:p>
    <w:p>
      <w:pPr>
        <w:pStyle w:val="Listaetiquetada"/>
      </w:pPr>
      <w:r>
        <w:rPr>
          <w:bCs/>
          <w:b/>
        </w:rPr>
        <w:t xml:space="preserve">HE2.</w:t>
      </w:r>
      <w:r>
        <w:t xml:space="preserve"/>
        <w:tab/>
        <w:t xml:space="preserve">El SGC reduce el costo de no calidad (fallas internas y externas) del ítem con respecto a la línea base.</w:t>
      </w:r>
    </w:p>
    <w:p>
      <w:pPr>
        <w:pStyle w:val="Heading2"/>
      </w:pPr>
      <w:bookmarkStart w:id="40" w:name="tit20"/>
      <w:r>
        <w:t xml:space="preserve">7. Variables</w:t>
      </w:r>
      <w:bookmarkEnd w:id="40"/>
    </w:p>
    <w:p>
      <w:pPr>
        <w:pStyle w:val="Heading3"/>
      </w:pPr>
      <w:bookmarkStart w:id="38" w:name="tit21"/>
      <w:r>
        <w:t xml:space="preserve">7.1. Identificación de variables</w:t>
      </w:r>
      <w:bookmarkEnd w:id="38"/>
    </w:p>
    <w:p>
      <w:pPr>
        <w:pStyle w:val="Caption"/>
      </w:pPr>
      <w:bookmarkStart w:id="1407" w:name="tab4"/>
      <w:r>
        <w:t xml:space="preserve"/>
      </w:r>
      <w:r>
        <w:rPr>
          <w:bCs/>
          <w:b/>
        </w:rPr>
        <w:t xml:space="preserve">Tabla 4</w:t>
      </w:r>
      <w:r>
        <w:br/>
      </w:r>
      <w:r>
        <w:rPr>
          <w:iCs/>
          <w:i/>
        </w:rPr>
        <w:t xml:space="preserve">Identificación de las variables de investigación</w:t>
      </w:r>
      <w:bookmarkEnd w:id="1407"/>
    </w:p>
    <w:tbl>
      <w:tblPr>
        <w:tblStyle w:val="Table"/>
        <w:tblW w:w="9360" w:type="dxa"/>
        <w:jc w:val="left"/>
        <w:tblLayout w:type="fixed"/>
        <w:tblCellMar>
          <w:top w:w="0" w:type="dxa"/>
          <w:left w:w="85" w:type="dxa"/>
          <w:bottom w:w="0" w:type="dxa"/>
          <w:right w:w="85" w:type="dxa"/>
        </w:tblCellMar>
        <w:tblLook w:firstRow="1" w:lastRow="0" w:firstColumn="0" w:lastColumn="0" w:noHBand="0" w:noVBand="0" w:val="0020"/>
      </w:tblPr>
      <w:tblGrid>
        <w:gridCol w:w="1770"/>
        <w:gridCol w:w="1954"/>
        <w:gridCol w:w="3452"/>
        <w:gridCol w:w="2184"/>
      </w:tblGrid>
      <w:tr>
        <w:trPr>
          <w:cantSplit/>
          <w:tblHeader w:val="true"/>
        </w:trPr>
        <w:tc>
          <w:tcPr>
            <w:tcW w:w="1770" w:type="dxa"/>
            <w:tcBorders>
              <w:top w:val="single" w:sz="8" w:space="0" w:color="000000"/>
              <w:bottom w:val="single" w:sz="4" w:space="0" w:color="000000"/>
            </w:tcBorders>
          </w:tcPr>
          <w:p>
            <w:pPr>
              <w:pStyle w:val="CeldaAPA"/>
              <w:jc w:val="center"/>
            </w:pPr>
            <w:r>
              <w:rPr>
                <w:bCs/>
                <w:b/>
              </w:rPr>
              <w:t xml:space="preserve">Tipo</w:t>
            </w:r>
          </w:p>
        </w:tc>
        <w:tc>
          <w:tcPr>
            <w:tcW w:w="1954" w:type="dxa"/>
            <w:tcBorders>
              <w:top w:val="single" w:sz="8" w:space="0" w:color="000000"/>
              <w:bottom w:val="single" w:sz="4" w:space="0" w:color="000000"/>
            </w:tcBorders>
          </w:tcPr>
          <w:p>
            <w:pPr>
              <w:pStyle w:val="CeldaAPA"/>
              <w:jc w:val="center"/>
            </w:pPr>
            <w:r>
              <w:rPr>
                <w:bCs/>
                <w:b/>
              </w:rPr>
              <w:t xml:space="preserve">Variable</w:t>
            </w:r>
          </w:p>
        </w:tc>
        <w:tc>
          <w:tcPr>
            <w:tcW w:w="3452" w:type="dxa"/>
            <w:tcBorders>
              <w:top w:val="single" w:sz="8" w:space="0" w:color="000000"/>
              <w:bottom w:val="single" w:sz="4" w:space="0" w:color="000000"/>
            </w:tcBorders>
          </w:tcPr>
          <w:p>
            <w:pPr>
              <w:pStyle w:val="CeldaAPA"/>
              <w:jc w:val="center"/>
            </w:pPr>
            <w:r>
              <w:rPr>
                <w:bCs/>
                <w:b/>
              </w:rPr>
              <w:t xml:space="preserve">Definición conceptual</w:t>
            </w:r>
          </w:p>
        </w:tc>
        <w:tc>
          <w:tcPr>
            <w:tcW w:w="2184" w:type="dxa"/>
            <w:tcBorders>
              <w:top w:val="single" w:sz="8" w:space="0" w:color="000000"/>
              <w:bottom w:val="single" w:sz="4" w:space="0" w:color="000000"/>
            </w:tcBorders>
          </w:tcPr>
          <w:p>
            <w:pPr>
              <w:pStyle w:val="CeldaAPA"/>
              <w:jc w:val="center"/>
            </w:pPr>
            <w:r>
              <w:rPr>
                <w:bCs/>
                <w:b/>
              </w:rPr>
              <w:t xml:space="preserve">Dimensiones</w:t>
            </w:r>
          </w:p>
        </w:tc>
      </w:tr>
      <w:tr>
        <w:tc>
          <w:tcPr>
            <w:tcW w:w="1770" w:type="dxa"/>
          </w:tcPr>
          <w:p>
            <w:pPr>
              <w:pStyle w:val="CeldaAPA"/>
              <w:jc w:val="left"/>
            </w:pPr>
            <w:r>
              <w:rPr/>
              <w:t xml:space="preserve">Independiente (X)</w:t>
            </w:r>
          </w:p>
        </w:tc>
        <w:tc>
          <w:tcPr>
            <w:tcW w:w="1954" w:type="dxa"/>
          </w:tcPr>
          <w:p>
            <w:pPr>
              <w:pStyle w:val="CeldaAPA"/>
              <w:jc w:val="left"/>
            </w:pPr>
            <w:r>
              <w:rPr/>
              <w:t xml:space="preserve">Sistema de Gestión de la Calidad (SGC)</w:t>
            </w:r>
          </w:p>
        </w:tc>
        <w:tc>
          <w:tcPr>
            <w:tcW w:w="3452" w:type="dxa"/>
          </w:tcPr>
          <w:p>
            <w:pPr>
              <w:pStyle w:val="CeldaAPA"/>
              <w:jc w:val="left"/>
            </w:pPr>
            <w:r>
              <w:rPr/>
              <w:t xml:space="preserve">Conjunto de políticas, objetivos, procesos, controles y registros (ISO 9000:2026; ISO 9001:2026) aplicados al proceso constructivo de la losa, con énfasis en el control de materiales.</w:t>
            </w:r>
          </w:p>
        </w:tc>
        <w:tc>
          <w:tcPr>
            <w:tcW w:w="2184" w:type="dxa"/>
          </w:tcPr>
          <w:p>
            <w:pPr>
              <w:pStyle w:val="CeldaAPA"/>
              <w:jc w:val="left"/>
            </w:pPr>
            <w:r>
              <w:rPr/>
              <w:t xml:space="preserve">Planificación de la calidad; control de materiales; control del proceso (PPI); seguimiento y mejora.</w:t>
            </w:r>
          </w:p>
        </w:tc>
      </w:tr>
      <w:tr>
        <w:tc>
          <w:tcPr>
            <w:tcW w:w="1770" w:type="dxa"/>
          </w:tcPr>
          <w:p>
            <w:pPr>
              <w:pStyle w:val="CeldaAPA"/>
              <w:jc w:val="left"/>
            </w:pPr>
            <w:r>
              <w:rPr/>
              <w:t xml:space="preserve">Dependiente (Y)</w:t>
            </w:r>
          </w:p>
        </w:tc>
        <w:tc>
          <w:tcPr>
            <w:tcW w:w="1954" w:type="dxa"/>
          </w:tcPr>
          <w:p>
            <w:pPr>
              <w:pStyle w:val="CeldaAPA"/>
              <w:jc w:val="left"/>
            </w:pPr>
            <w:r>
              <w:rPr/>
              <w:t xml:space="preserve">Costo de ejecución de la losa alivianada</w:t>
            </w:r>
          </w:p>
        </w:tc>
        <w:tc>
          <w:tcPr>
            <w:tcW w:w="3452" w:type="dxa"/>
          </w:tcPr>
          <w:p>
            <w:pPr>
              <w:pStyle w:val="CeldaAPA"/>
              <w:jc w:val="left"/>
            </w:pPr>
            <w:r>
              <w:rPr/>
              <w:t xml:space="preserve">Costo por m</w:t>
            </w:r>
            <w:r>
              <w:rPr>
                <w:vertAlign w:val="superscript"/>
              </w:rPr>
              <w:t xml:space="preserve">2</w:t>
            </w:r>
            <w:r>
              <w:rPr/>
              <w:t xml:space="preserve"> </w:t>
            </w:r>
            <w:r>
              <w:rPr/>
              <w:t xml:space="preserve">para ejecutar la losa conforme a las especificaciones. Incluye los costos de la calidad (prevención y evaluación) y de la no calidad (fallas internas y externas).</w:t>
            </w:r>
          </w:p>
        </w:tc>
        <w:tc>
          <w:tcPr>
            <w:tcW w:w="2184" w:type="dxa"/>
          </w:tcPr>
          <w:p>
            <w:pPr>
              <w:pStyle w:val="CeldaAPA"/>
              <w:jc w:val="left"/>
            </w:pPr>
            <w:r>
              <w:rPr/>
              <w:t xml:space="preserve">Costo directo; desperdicio de materiales; costo de no calidad; costo de la calidad; conformidad del hormigón.</w:t>
            </w:r>
          </w:p>
        </w:tc>
      </w:tr>
      <w:tr>
        <w:tc>
          <w:tcPr>
            <w:tcW w:w="1770" w:type="dxa"/>
            <w:tcBorders>
              <w:bottom w:val="single" w:sz="8" w:space="0" w:color="000000"/>
            </w:tcBorders>
          </w:tcPr>
          <w:p>
            <w:pPr>
              <w:pStyle w:val="CeldaAPA"/>
              <w:jc w:val="left"/>
            </w:pPr>
            <w:r>
              <w:rPr/>
              <w:t xml:space="preserve">Interviniente (controlada)</w:t>
            </w:r>
          </w:p>
        </w:tc>
        <w:tc>
          <w:tcPr>
            <w:tcW w:w="1954" w:type="dxa"/>
            <w:tcBorders>
              <w:bottom w:val="single" w:sz="8" w:space="0" w:color="000000"/>
            </w:tcBorders>
          </w:tcPr>
          <w:p>
            <w:pPr>
              <w:pStyle w:val="CeldaAPA"/>
              <w:jc w:val="left"/>
            </w:pPr>
            <w:r>
              <w:rPr/>
              <w:t xml:space="preserve">Precios de los materiales</w:t>
            </w:r>
          </w:p>
        </w:tc>
        <w:tc>
          <w:tcPr>
            <w:tcW w:w="3452" w:type="dxa"/>
            <w:tcBorders>
              <w:bottom w:val="single" w:sz="8" w:space="0" w:color="000000"/>
            </w:tcBorders>
          </w:tcPr>
          <w:p>
            <w:pPr>
              <w:pStyle w:val="CeldaAPA"/>
              <w:jc w:val="left"/>
            </w:pPr>
            <w:r>
              <w:rPr/>
              <w:t xml:space="preserve">Variación de precios de insumos en 2025–2026. Se controla calculando los costos a precios constantes del contrato.</w:t>
            </w:r>
          </w:p>
        </w:tc>
        <w:tc>
          <w:tcPr>
            <w:tcW w:w="2184" w:type="dxa"/>
            <w:tcBorders>
              <w:bottom w:val="single" w:sz="8" w:space="0" w:color="000000"/>
            </w:tcBorders>
          </w:tcPr>
          <w:p>
            <w:pPr>
              <w:pStyle w:val="CeldaAPA"/>
              <w:jc w:val="left"/>
            </w:pPr>
            <w:r>
              <w:rPr/>
              <w:t xml:space="preserve">—</w:t>
            </w:r>
          </w:p>
        </w:tc>
      </w:tr>
    </w:tbl>
    <w:p>
      <w:pPr>
        <w:pStyle w:val="NotaAPA"/>
      </w:pPr>
      <w:r>
        <w:rPr>
          <w:iCs/>
          <w:i/>
        </w:rPr>
        <w:t xml:space="preserve">Nota.</w:t>
      </w:r>
      <w:r>
        <w:t xml:space="preserve"> </w:t>
      </w:r>
      <w:r>
        <w:t xml:space="preserve">Elaboración propia.</w:t>
      </w:r>
    </w:p>
    <w:p>
      <w:pPr>
        <w:pStyle w:val="Heading3"/>
      </w:pPr>
      <w:bookmarkStart w:id="39" w:name="tit22"/>
      <w:r>
        <w:t xml:space="preserve">7.2. Operacionalización de variables</w:t>
      </w:r>
      <w:bookmarkEnd w:id="39"/>
    </w:p>
    <w:p>
      <w:pPr>
        <w:pStyle w:val="FirstParagraph"/>
      </w:pPr>
      <w:r>
        <w:t xml:space="preserve">La operacionalización completa (dimensiones, indicadores, fórmulas e instrumentos) se presenta en el Anexo B, y la matriz de consistencia de la investigación en el Anexo A.</w:t>
      </w:r>
    </w:p>
    <w:p>
      <w:pPr>
        <w:pStyle w:val="Heading2"/>
      </w:pPr>
      <w:bookmarkStart w:id="45" w:name="tit23"/>
      <w:r>
        <w:t xml:space="preserve">8. Justificación</w:t>
      </w:r>
      <w:bookmarkEnd w:id="45"/>
    </w:p>
    <w:p>
      <w:pPr>
        <w:pStyle w:val="Heading3"/>
      </w:pPr>
      <w:bookmarkStart w:id="41" w:name="tit24"/>
      <w:r>
        <w:t xml:space="preserve">8.1. Justificación técnica</w:t>
      </w:r>
      <w:bookmarkEnd w:id="41"/>
    </w:p>
    <w:p>
      <w:pPr>
        <w:pStyle w:val="FirstParagraph"/>
      </w:pPr>
      <w:r>
        <w:t xml:space="preserve">La investigación dará un procedimiento sistemático para planificar, inspeccionar y aceptar los materiales y las actividades del proceso constructivo de losas alivianadas con viguetas pretensadas. Ese procedimiento será coherente con la norma ISO 9001:2026, con las especificaciones técnicas del proyecto y con los criterios de evaluación y aceptación del hormigón del código ACI 318-25</w:t>
      </w:r>
      <w:r>
        <w:t xml:space="preserve"> </w:t>
      </w:r>
      <w:r>
        <w:t xml:space="preserve">(ACI Committee 318, 2025, Sección 26.12, pp. 601–607)</w:t>
      </w:r>
      <w:r>
        <w:t xml:space="preserve">, y usará ensayos normalizados ASTM. Ese código exige, en losas, al menos una muestra de hormigón por cada 5.000 ft</w:t>
      </w:r>
      <w:r>
        <w:rPr>
          <w:vertAlign w:val="superscript"/>
        </w:rPr>
        <w:t xml:space="preserve">2</w:t>
      </w:r>
      <w:r>
        <w:t xml:space="preserve"> </w:t>
      </w:r>
      <w:r>
        <w:t xml:space="preserve">(</w:t>
      </w:r>
      <m:oMath>
        <m:r>
          <m:rPr>
            <m:sty m:val="p"/>
          </m:rPr>
          <m:t>≈</m:t>
        </m:r>
      </m:oMath>
      <w:r>
        <w:t xml:space="preserve"> 464,5 m</w:t>
      </w:r>
      <w:r>
        <w:rPr>
          <w:vertAlign w:val="superscript"/>
        </w:rPr>
        <w:t xml:space="preserve">2</w:t>
      </w:r>
      <w:r>
        <w:t xml:space="preserve">) de superficie</w:t>
      </w:r>
      <w:r>
        <w:t xml:space="preserve"> </w:t>
      </w:r>
      <w:r>
        <w:t xml:space="preserve">(ACI Committee 318, 2025, Sección 26.12.2.1, p. 603)</w:t>
      </w:r>
      <w:r>
        <w:t xml:space="preserve">; para los 1.109,84 m</w:t>
      </w:r>
      <w:r>
        <w:rPr>
          <w:vertAlign w:val="superscript"/>
        </w:rPr>
        <w:t xml:space="preserve">2</w:t>
      </w:r>
      <w:r>
        <w:t xml:space="preserve"> </w:t>
      </w:r>
      <w:r>
        <w:t xml:space="preserve">de la primera losa corresponderían al menos tres muestras (cálculo propio), y no se registró ninguna. El control del hormigón de la carpeta de compresión y de los nervios es determinante para el comportamiento estructural de la losa.</w:t>
      </w:r>
    </w:p>
    <w:p>
      <w:pPr>
        <w:pStyle w:val="Heading3"/>
      </w:pPr>
      <w:bookmarkStart w:id="42" w:name="tit25"/>
      <w:r>
        <w:t xml:space="preserve">8.2. Justificación económica</w:t>
      </w:r>
      <w:bookmarkEnd w:id="42"/>
    </w:p>
    <w:p>
      <w:pPr>
        <w:pStyle w:val="FirstParagraph"/>
      </w:pPr>
      <w:r>
        <w:t xml:space="preserve">Las losas alivianadas representan el 21,45 % del monto original del contrato, y quedan por ejecutar 2.234,60 m</w:t>
      </w:r>
      <w:r>
        <w:rPr>
          <w:vertAlign w:val="superscript"/>
        </w:rPr>
        <w:t xml:space="preserve">2</w:t>
      </w:r>
      <w:r>
        <w:t xml:space="preserve"> </w:t>
      </w:r>
      <w:r>
        <w:t xml:space="preserve">(Bs 481.948,03 a precios del contrato). Como referencia, si el SGC alcanzara el umbral de la hipótesis general —una reducción del 5 % del costo unitario—, el ahorro en ese saldo sería de aproximadamente Bs 24.097 (0,05 </w:t>
      </w:r>
      <m:oMath>
        <m:r>
          <m:rPr>
            <m:sty m:val="p"/>
          </m:rPr>
          <m:t>×</m:t>
        </m:r>
      </m:oMath>
      <w:r>
        <w:t xml:space="preserve"> Bs 481.948,03). Este cálculo es ilustrativo: indica el ahorro que implicaría alcanzar el umbral, no el que se espera obtener; el ahorro estimado con el modelo de costos y la simulación se presenta en el Capítulo 3. Tampoco incluye los posibles beneficios en otros ítems de hormigón armado, que esta investigación no cuantifica.</w:t>
      </w:r>
    </w:p>
    <w:p>
      <w:pPr>
        <w:pStyle w:val="BodyText"/>
      </w:pPr>
      <w:r>
        <w:t xml:space="preserve">Por otra parte, el contrato excluye el reajuste de precios y sus precios unitarios incluyen las reparaciones por trabajos defectuosos</w:t>
      </w:r>
      <w:r>
        <w:t xml:space="preserve"> </w:t>
      </w:r>
      <w:r>
        <w:t xml:space="preserve">(UATF, 2025, pp. 92, 95)</w:t>
      </w:r>
      <w:r>
        <w:t xml:space="preserve">, y la oferta adjudicada fue un 15,8 % inferior al precio referencial (cálculo propio). En esas condiciones, el costo del desperdicio y de los retrabajos lo asume el contratista; con los precios de los materiales en alza, reducirlos protege la ejecución de la obra y los recursos públicos invertidos en ella.</w:t>
      </w:r>
    </w:p>
    <w:p>
      <w:pPr>
        <w:pStyle w:val="Heading3"/>
      </w:pPr>
      <w:bookmarkStart w:id="43" w:name="tit26"/>
      <w:r>
        <w:t xml:space="preserve">8.3. Justificación social e institucional</w:t>
      </w:r>
      <w:bookmarkEnd w:id="43"/>
    </w:p>
    <w:p>
      <w:pPr>
        <w:pStyle w:val="FirstParagraph"/>
      </w:pPr>
      <w:r>
        <w:t xml:space="preserve">El Edificio de Posgrado beneficiará a la comunidad universitaria de la UATF y a la región, con espacios para la formación posgradual. Interesa a la institución que la obra concluya a tiempo y con la calidad especificada. El Departamento de Infraestructura de la UATF podrá adoptar el SGC propuesto en otras obras.</w:t>
      </w:r>
    </w:p>
    <w:p>
      <w:pPr>
        <w:pStyle w:val="Heading3"/>
      </w:pPr>
      <w:bookmarkStart w:id="44" w:name="tit27"/>
      <w:r>
        <w:t xml:space="preserve">8.4. Justificación metodológica</w:t>
      </w:r>
      <w:bookmarkEnd w:id="44"/>
    </w:p>
    <w:p>
      <w:pPr>
        <w:pStyle w:val="FirstParagraph"/>
      </w:pPr>
      <w:r>
        <w:t xml:space="preserve">La investigación propone indicadores e instrumentos reutilizables en otras obras y en investigaciones posteriores sobre gestión de la calidad en la construcción: lista de verificación ISO 9001:2026, plan de puntos de inspección, fichas de control de materiales y planilla de costos de la calidad. Además, aplica un procedimiento de evaluación</w:t>
      </w:r>
      <w:r>
        <w:t xml:space="preserve"> </w:t>
      </w:r>
      <w:r>
        <w:rPr>
          <w:iCs/>
          <w:i/>
        </w:rPr>
        <w:t xml:space="preserve">ex ante</w:t>
      </w:r>
      <w:r>
        <w:t xml:space="preserve"> </w:t>
      </w:r>
      <w:r>
        <w:t xml:space="preserve">—un modelo de costos a precios constantes del contrato con un escenario de control y una simulación de Monte Carlo— que permite estimar, con su grado de incertidumbre, el efecto de un SGC cuando no es posible medirlo en obra, como ocurrió en este caso.</w:t>
      </w:r>
    </w:p>
    <w:p>
      <w:pPr>
        <w:pStyle w:val="Heading2"/>
      </w:pPr>
      <w:bookmarkStart w:id="50" w:name="tit28"/>
      <w:r>
        <w:t xml:space="preserve">9. Alcances y delimitación</w:t>
      </w:r>
      <w:bookmarkEnd w:id="50"/>
    </w:p>
    <w:p>
      <w:pPr>
        <w:pStyle w:val="Heading3"/>
      </w:pPr>
      <w:bookmarkStart w:id="46" w:name="tit29"/>
      <w:r>
        <w:t xml:space="preserve">9.1. Alcance</w:t>
      </w:r>
      <w:bookmarkEnd w:id="46"/>
    </w:p>
    <w:p>
      <w:pPr>
        <w:pStyle w:val="FirstParagraph"/>
      </w:pPr>
      <w:r>
        <w:t xml:space="preserve">El SGC se diseña para el proceso constructivo del ítem losa alivianada con viguetas pretensadas, desde la compra y la recepción de los materiales hasta la medición y el pago, y su efecto se evalúa</w:t>
      </w:r>
      <w:r>
        <w:t xml:space="preserve"> </w:t>
      </w:r>
      <w:r>
        <w:rPr>
          <w:iCs/>
          <w:i/>
        </w:rPr>
        <w:t xml:space="preserve">ex ante</w:t>
      </w:r>
      <w:r>
        <w:t xml:space="preserve"> </w:t>
      </w:r>
      <w:r>
        <w:t xml:space="preserve">sobre el saldo de 2.234,60 m</w:t>
      </w:r>
      <w:r>
        <w:rPr>
          <w:vertAlign w:val="superscript"/>
        </w:rPr>
        <w:t xml:space="preserve">2</w:t>
      </w:r>
      <w:r>
        <w:t xml:space="preserve">. No comprende el diseño estructural de la losa, los demás ítems de la obra, la certificación del SGC de la empresa constructora ni la implementación del sistema en obra, que queda planteada como protocolo para la ejecución del saldo (Sección 2.7).</w:t>
      </w:r>
    </w:p>
    <w:p>
      <w:pPr>
        <w:pStyle w:val="Heading3"/>
      </w:pPr>
      <w:bookmarkStart w:id="47" w:name="tit30"/>
      <w:r>
        <w:t xml:space="preserve">9.2. Delimitación espacial</w:t>
      </w:r>
      <w:bookmarkEnd w:id="47"/>
    </w:p>
    <w:p>
      <w:pPr>
        <w:pStyle w:val="FirstParagraph"/>
      </w:pPr>
      <w:r>
        <w:t xml:space="preserve">Edificio de Posgrado, Ciudadela Universitaria de la UATF, avenida Las Banderas, ciudad de Potosí (19</w:t>
      </w:r>
      <m:oMath>
        <m:sSup>
          <m:e>
            <m:r>
              <m:t>​</m:t>
            </m:r>
          </m:e>
          <m:sup>
            <m:r>
              <m:rPr>
                <m:sty m:val="p"/>
              </m:rPr>
              <m:t>∘</m:t>
            </m:r>
          </m:sup>
        </m:sSup>
      </m:oMath>
      <w:r>
        <w:t xml:space="preserve">33’21,84” S; 65</w:t>
      </w:r>
      <m:oMath>
        <m:sSup>
          <m:e>
            <m:r>
              <m:t>​</m:t>
            </m:r>
          </m:e>
          <m:sup>
            <m:r>
              <m:rPr>
                <m:sty m:val="p"/>
              </m:rPr>
              <m:t>∘</m:t>
            </m:r>
          </m:sup>
        </m:sSup>
      </m:oMath>
      <w:r>
        <w:t xml:space="preserve">45’47,73” O; 3.650 m s. n. m.).</w:t>
      </w:r>
    </w:p>
    <w:p>
      <w:pPr>
        <w:pStyle w:val="Heading3"/>
      </w:pPr>
      <w:bookmarkStart w:id="48" w:name="tit31"/>
      <w:r>
        <w:t xml:space="preserve">9.3. Delimitación temporal</w:t>
      </w:r>
      <w:bookmarkEnd w:id="48"/>
    </w:p>
    <w:p>
      <w:pPr>
        <w:pStyle w:val="FirstParagraph"/>
      </w:pPr>
      <w:r>
        <w:t xml:space="preserve">La línea base se construye con documentos de obra de mayo a diciembre de 2025, desde la Orden de Proceder (6 de mayo de 2025) hasta el cierre de la Planilla N.</w:t>
      </w:r>
      <w:r>
        <w:rPr>
          <w:vertAlign w:val="superscript"/>
        </w:rPr>
        <w:t xml:space="preserve">o</w:t>
      </w:r>
      <w:r>
        <w:t xml:space="preserve"> 2 (8 de diciembre de 2025); en ese periodo se ejecutó la primera losa, cuyo armado estaba en curso el 14 de noviembre y cuyo vaciado se autorizó el 28 de noviembre de 2025. La evaluación</w:t>
      </w:r>
      <w:r>
        <w:t xml:space="preserve"> </w:t>
      </w:r>
      <w:r>
        <w:rPr>
          <w:iCs/>
          <w:i/>
        </w:rPr>
        <w:t xml:space="preserve">ex ante</w:t>
      </w:r>
      <w:r>
        <w:t xml:space="preserve"> </w:t>
      </w:r>
      <w:r>
        <w:t xml:space="preserve">del SGC se realiza con la información disponible hasta octubre de 2026, que incluye la paralización de la obra y la resolución del contrato.</w:t>
      </w:r>
    </w:p>
    <w:p>
      <w:pPr>
        <w:pStyle w:val="Heading3"/>
      </w:pPr>
      <w:bookmarkStart w:id="49" w:name="tit32"/>
      <w:r>
        <w:t xml:space="preserve">9.4. Delimitación temática</w:t>
      </w:r>
      <w:bookmarkEnd w:id="49"/>
    </w:p>
    <w:p>
      <w:pPr>
        <w:pStyle w:val="FirstParagraph"/>
      </w:pPr>
      <w:r>
        <w:t xml:space="preserve">Gestión de la calidad (ISO 9001:2026 e ISO 10005:2018), control de materiales (hormigón, acero de refuerzo de la losa, viguetas pretensadas y complementos de poliestireno expandido), costos de la calidad (modelo de prevención, evaluación y fallas) y evaluación</w:t>
      </w:r>
      <w:r>
        <w:t xml:space="preserve"> </w:t>
      </w:r>
      <w:r>
        <w:rPr>
          <w:iCs/>
          <w:i/>
        </w:rPr>
        <w:t xml:space="preserve">ex ante</w:t>
      </w:r>
      <w:r>
        <w:t xml:space="preserve"> </w:t>
      </w:r>
      <w:r>
        <w:t xml:space="preserve">mediante modelación de costos y simulación de Monte Carlo.</w:t>
      </w:r>
    </w:p>
    <w:p>
      <w:pPr>
        <w:pStyle w:val="Heading2"/>
      </w:pPr>
      <w:bookmarkStart w:id="57" w:name="tit33"/>
      <w:r>
        <w:t xml:space="preserve">10. Metodología de la investigación</w:t>
      </w:r>
      <w:bookmarkEnd w:id="57"/>
    </w:p>
    <w:p>
      <w:pPr>
        <w:pStyle w:val="Heading3"/>
      </w:pPr>
      <w:bookmarkStart w:id="51" w:name="tit34"/>
      <w:r>
        <w:t xml:space="preserve">10.1. Tipo, enfoque y nivel de investigación</w:t>
      </w:r>
      <w:bookmarkEnd w:id="51"/>
    </w:p>
    <w:p>
      <w:pPr>
        <w:pStyle w:val="FirstParagraph"/>
      </w:pPr>
      <w:r>
        <w:t xml:space="preserve">La investigación es</w:t>
      </w:r>
      <w:r>
        <w:t xml:space="preserve"> </w:t>
      </w:r>
      <w:r>
        <w:rPr>
          <w:bCs/>
          <w:b/>
        </w:rPr>
        <w:t xml:space="preserve">aplicada</w:t>
      </w:r>
      <w:r>
        <w:t xml:space="preserve">, porque busca resolver un problema práctico de una obra pública. Tiene</w:t>
      </w:r>
      <w:r>
        <w:t xml:space="preserve"> </w:t>
      </w:r>
      <w:r>
        <w:rPr>
          <w:bCs/>
          <w:b/>
        </w:rPr>
        <w:t xml:space="preserve">enfoque cuantitativo</w:t>
      </w:r>
      <w:r>
        <w:t xml:space="preserve">, porque estima magnitudes —costo unitario, índices de desperdicio y costo de no calidad— y somete hipótesis a prueba</w:t>
      </w:r>
      <w:r>
        <w:t xml:space="preserve"> </w:t>
      </w:r>
      <w:r>
        <w:t xml:space="preserve">(Hernández-Sampieri y Mendoza Torres, 2018, p. 6)</w:t>
      </w:r>
      <w:r>
        <w:t xml:space="preserve">. Su</w:t>
      </w:r>
      <w:r>
        <w:t xml:space="preserve"> </w:t>
      </w:r>
      <w:r>
        <w:rPr>
          <w:bCs/>
          <w:b/>
        </w:rPr>
        <w:t xml:space="preserve">nivel es explicativo</w:t>
      </w:r>
      <w:r>
        <w:t xml:space="preserve">, porque busca establecer el efecto del SGC sobre el costo de la losa</w:t>
      </w:r>
      <w:r>
        <w:t xml:space="preserve"> </w:t>
      </w:r>
      <w:r>
        <w:t xml:space="preserve">(Hernández-Sampieri y Mendoza Torres, 2018, p. 110)</w:t>
      </w:r>
      <w:r>
        <w:t xml:space="preserve">, con una</w:t>
      </w:r>
      <w:r>
        <w:t xml:space="preserve"> </w:t>
      </w:r>
      <w:r>
        <w:rPr>
          <w:bCs/>
          <w:b/>
        </w:rPr>
        <w:t xml:space="preserve">fase descriptiva</w:t>
      </w:r>
      <w:r>
        <w:t xml:space="preserve">, la caracterización documental de la primera losa</w:t>
      </w:r>
      <w:r>
        <w:t xml:space="preserve"> </w:t>
      </w:r>
      <w:r>
        <w:t xml:space="preserve">(Hernández-Sampieri y Mendoza Torres, 2018, p. 108)</w:t>
      </w:r>
      <w:r>
        <w:t xml:space="preserve">, y un</w:t>
      </w:r>
      <w:r>
        <w:t xml:space="preserve"> </w:t>
      </w:r>
      <w:r>
        <w:rPr>
          <w:bCs/>
          <w:b/>
        </w:rPr>
        <w:t xml:space="preserve">componente propositivo</w:t>
      </w:r>
      <w:r>
        <w:t xml:space="preserve">, el diseño del SGC; un estudio puede tener un alcance principal y contener elementos de otros</w:t>
      </w:r>
      <w:r>
        <w:t xml:space="preserve"> </w:t>
      </w:r>
      <w:r>
        <w:t xml:space="preserve">(Hernández-Sampieri y Mendoza Torres, 2018, p. 113)</w:t>
      </w:r>
      <w:r>
        <w:t xml:space="preserve">. Esta clasificación sigue los tipos de investigación del Seminario de Grado: exploratoria, descriptiva, explicativa y propositiva</w:t>
      </w:r>
      <w:r>
        <w:t xml:space="preserve"> </w:t>
      </w:r>
      <w:r>
        <w:t xml:space="preserve">(Barrios C., 2021b, diapositiva 12)</w:t>
      </w:r>
      <w:r>
        <w:t xml:space="preserve">.</w:t>
      </w:r>
    </w:p>
    <w:p>
      <w:pPr>
        <w:pStyle w:val="Heading3"/>
      </w:pPr>
      <w:bookmarkStart w:id="52" w:name="tit35"/>
      <w:r>
        <w:t xml:space="preserve">10.2. Diseño de investigación</w:t>
      </w:r>
      <w:bookmarkEnd w:id="52"/>
    </w:p>
    <w:p>
      <w:pPr>
        <w:pStyle w:val="FirstParagraph"/>
      </w:pPr>
      <w:r>
        <w:t xml:space="preserve">El diseño previsto en el perfil fue cuasiexperimental, de preprueba y posprueba con un solo grupo: la primera losa como preprueba y la segunda como posprueba. Para el caso de que la segunda losa no se ejecutara durante la investigación, el perfil previó como alternativa un diseño no experimental con evaluación</w:t>
      </w:r>
      <w:r>
        <w:t xml:space="preserve"> </w:t>
      </w:r>
      <w:r>
        <w:rPr>
          <w:iCs/>
          <w:i/>
        </w:rPr>
        <w:t xml:space="preserve">ex ante</w:t>
      </w:r>
      <w:r>
        <w:t xml:space="preserve">, mediante simulación de costos, y validación por juicio de expertos. Esa alternativa fue la que se aplicó: el 5 de enero de 2026 la contratista solicitó la paralización de la obra y la resolución del contrato, y la UATF respondió favorablemente el 10 de febrero de 2026</w:t>
      </w:r>
      <w:r>
        <w:t xml:space="preserve"> </w:t>
      </w:r>
      <w:r>
        <w:t xml:space="preserve">(UATF, s. f.-b, pp. 1, 14)</w:t>
      </w:r>
      <w:r>
        <w:t xml:space="preserve">, de modo que no hubo una segunda losa sobre la cual medir la posprueba en obra.</w:t>
      </w:r>
    </w:p>
    <w:p>
      <w:pPr>
        <w:pStyle w:val="BodyText"/>
      </w:pPr>
      <w:r>
        <w:t xml:space="preserve">En consecuencia, el diseño es</w:t>
      </w:r>
      <w:r>
        <w:t xml:space="preserve"> </w:t>
      </w:r>
      <w:r>
        <w:rPr>
          <w:bCs/>
          <w:b/>
        </w:rPr>
        <w:t xml:space="preserve">no experimental</w:t>
      </w:r>
      <w:r>
        <w:t xml:space="preserve">, porque el SGC no se aplicó ni se manipuló en obra</w:t>
      </w:r>
      <w:r>
        <w:t xml:space="preserve"> </w:t>
      </w:r>
      <w:r>
        <w:t xml:space="preserve">(Hernández-Sampieri y Mendoza Torres, 2018, pp. 151, 175)</w:t>
      </w:r>
      <w:r>
        <w:t xml:space="preserve">, y tiene dos componentes:</w:t>
      </w:r>
    </w:p>
    <w:p>
      <w:pPr>
        <w:pStyle w:val="EcuacionAPA"/>
      </w:pPr>
      <m:oMathPara>
        <m:oMathParaPr>
          <m:jc m:val="center"/>
        </m:oMathParaPr>
        <m:oMath>
          <m:sSub>
            <m:e>
              <m:r>
                <m:t>O</m:t>
              </m:r>
            </m:e>
            <m:sub>
              <m:r>
                <m:t>1</m:t>
              </m:r>
            </m:sub>
          </m:sSub>
          <m:r>
            <m:rPr>
              <m:sty m:val="p"/>
            </m:rPr>
            <m:t>→</m:t>
          </m:r>
          <m:r>
            <m:t>X</m:t>
          </m:r>
          <m:r>
            <m:rPr>
              <m:sty m:val="p"/>
            </m:rPr>
            <m:t>→</m:t>
          </m:r>
          <m:sSubSup>
            <m:e>
              <m:r>
                <m:t>O</m:t>
              </m:r>
            </m:e>
            <m:sub>
              <m:r>
                <m:t>2</m:t>
              </m:r>
            </m:sub>
            <m:sup>
              <m:r>
                <m:t> </m:t>
              </m:r>
              <m:r>
                <m:rPr>
                  <m:nor/>
                  <m:sty m:val="p"/>
                </m:rPr>
                <m:t>sim</m:t>
              </m:r>
            </m:sup>
          </m:sSubSup>
        </m:oMath>
      </m:oMathPara>
    </w:p>
    <w:p>
      <w:pPr>
        <w:pStyle w:val="FirstParagraph"/>
        <w:ind w:firstLine="0"/>
      </w:pPr>
      <w:r>
        <w:t xml:space="preserve"/>
      </w:r>
      <w:r>
        <w:t xml:space="preserve"/>
      </w:r>
      <w:r>
        <w:t xml:space="preserve">donde</w:t>
      </w:r>
      <w:r>
        <w:t xml:space="preserve"> </w:t>
      </w:r>
      <m:oMath>
        <m:sSub>
          <m:e>
            <m:r>
              <m:t>O</m:t>
            </m:r>
          </m:e>
          <m:sub>
            <m:r>
              <m:t>1</m:t>
            </m:r>
          </m:sub>
        </m:sSub>
      </m:oMath>
      <w:r>
        <w:t xml:space="preserve"> </w:t>
      </w:r>
      <w:r>
        <w:t xml:space="preserve">es la</w:t>
      </w:r>
      <w:r>
        <w:t xml:space="preserve"> </w:t>
      </w:r>
      <w:r>
        <w:rPr>
          <w:bCs/>
          <w:b/>
        </w:rPr>
        <w:t xml:space="preserve">línea base retrospectiva y documental</w:t>
      </w:r>
      <w:r>
        <w:t xml:space="preserve">: la primera losa (41 paños; 1.109,84 m</w:t>
      </w:r>
      <w:r>
        <w:rPr>
          <w:vertAlign w:val="superscript"/>
        </w:rPr>
        <w:t xml:space="preserve">2</w:t>
      </w:r>
      <w:r>
        <w:t xml:space="preserve">), ejecutada sin SGC, se reconstruye a partir de planillas, cómputos métricos, certificados y el Libro de Órdenes, con un diseño longitudinal retrospectivo</w:t>
      </w:r>
      <w:r>
        <w:t xml:space="preserve"> </w:t>
      </w:r>
      <w:r>
        <w:t xml:space="preserve">(Hernández-Sampieri y Mendoza Torres, 2018, p. 180)</w:t>
      </w:r>
      <w:r>
        <w:t xml:space="preserve">;</w:t>
      </w:r>
      <w:r>
        <w:t xml:space="preserve"> </w:t>
      </w:r>
      <m:oMath>
        <m:r>
          <m:t>X</m:t>
        </m:r>
      </m:oMath>
      <w:r>
        <w:t xml:space="preserve"> </w:t>
      </w:r>
      <w:r>
        <w:t xml:space="preserve">es el SGC diseñado (plan de la calidad, plan de puntos de inspección y ensayo, procedimientos de control de materiales, gestión de no conformidades y registro de costos de la calidad), y</w:t>
      </w:r>
      <w:r>
        <w:t xml:space="preserve"> </w:t>
      </w:r>
      <m:oMath>
        <m:sSubSup>
          <m:e>
            <m:r>
              <m:t>O</m:t>
            </m:r>
          </m:e>
          <m:sub>
            <m:r>
              <m:t>2</m:t>
            </m:r>
          </m:sub>
          <m:sup>
            <m:r>
              <m:t> </m:t>
            </m:r>
            <m:r>
              <m:rPr>
                <m:nor/>
                <m:sty m:val="p"/>
              </m:rPr>
              <m:t>sim</m:t>
            </m:r>
          </m:sup>
        </m:sSubSup>
      </m:oMath>
      <w:r>
        <w:t xml:space="preserve"> </w:t>
      </w:r>
      <w:r>
        <w:t xml:space="preserve">es la</w:t>
      </w:r>
      <w:r>
        <w:t xml:space="preserve"> </w:t>
      </w:r>
      <w:r>
        <w:rPr>
          <w:bCs/>
          <w:b/>
        </w:rPr>
        <w:t xml:space="preserve">evaluación</w:t>
      </w:r>
      <w:r>
        <w:rPr>
          <w:bCs/>
          <w:b/>
        </w:rPr>
        <w:t xml:space="preserve"> </w:t>
      </w:r>
      <w:r>
        <w:rPr>
          <w:iCs/>
          <w:i/>
          <w:bCs/>
          <w:b/>
        </w:rPr>
        <w:t xml:space="preserve">ex ante</w:t>
      </w:r>
      <w:r>
        <w:rPr>
          <w:bCs/>
          <w:b/>
        </w:rPr>
        <w:t xml:space="preserve"> </w:t>
      </w:r>
      <w:r>
        <w:rPr>
          <w:bCs/>
          <w:b/>
        </w:rPr>
        <w:t xml:space="preserve">del tratamiento</w:t>
      </w:r>
      <w:r>
        <w:t xml:space="preserve">: un modelo de costos a precios constantes del contrato y una simulación de Monte Carlo estiman el costo de ejecutar los 2.234,60 m</w:t>
      </w:r>
      <w:r>
        <w:rPr>
          <w:vertAlign w:val="superscript"/>
        </w:rPr>
        <w:t xml:space="preserve">2</w:t>
      </w:r>
      <w:r>
        <w:t xml:space="preserve"> </w:t>
      </w:r>
      <w:r>
        <w:t xml:space="preserve">restantes sin SGC (control) y con SGC (tratamiento).</w:t>
      </w:r>
    </w:p>
    <w:p>
      <w:pPr>
        <w:pStyle w:val="BodyText"/>
      </w:pPr>
      <w:r>
        <w:t xml:space="preserve">La guía del Seminario de Grado reconoce la modelación de simulación teórica como un tipo de modelo de investigación, y exige que el modelo incluya un tratamiento de control y permita calcular el grado de incertidumbre de los resultados</w:t>
      </w:r>
      <w:r>
        <w:t xml:space="preserve"> </w:t>
      </w:r>
      <w:r>
        <w:t xml:space="preserve">(Barrios C., 2021c, diapositivas 4, 8 y 9)</w:t>
      </w:r>
      <w:r>
        <w:t xml:space="preserve">. El modelo de esta tesis cumple ambas condiciones: el escenario sin SGC actúa como control y la simulación expresa el resultado como una distribución de probabilidad. El procedimiento, la validación y el plan de contraste se detallan en las Secciones 2.7 a 2.9.</w:t>
      </w:r>
    </w:p>
    <w:p>
      <w:pPr>
        <w:pStyle w:val="Heading3"/>
      </w:pPr>
      <w:bookmarkStart w:id="53" w:name="tit36"/>
      <w:r>
        <w:t xml:space="preserve">10.3. Población, unidad de análisis y muestra</w:t>
      </w:r>
      <w:bookmarkEnd w:id="53"/>
    </w:p>
    <w:p>
      <w:pPr>
        <w:pStyle w:val="FirstParagraph"/>
      </w:pPr>
      <w:r>
        <w:t xml:space="preserve">La</w:t>
      </w:r>
      <w:r>
        <w:t xml:space="preserve"> </w:t>
      </w:r>
      <w:r>
        <w:rPr>
          <w:bCs/>
          <w:b/>
        </w:rPr>
        <w:t xml:space="preserve">población</w:t>
      </w:r>
      <w:r>
        <w:t xml:space="preserve"> </w:t>
      </w:r>
      <w:r>
        <w:t xml:space="preserve">está constituida por las losas alivianadas de la fase contratada: tres losas con 3.344,44 m</w:t>
      </w:r>
      <w:r>
        <w:rPr>
          <w:vertAlign w:val="superscript"/>
        </w:rPr>
        <w:t xml:space="preserve">2</w:t>
      </w:r>
      <w:r>
        <w:t xml:space="preserve"> </w:t>
      </w:r>
      <w:r>
        <w:t xml:space="preserve">según el contrato modificado</w:t>
      </w:r>
      <w:r>
        <w:t xml:space="preserve"> </w:t>
      </w:r>
      <w:r>
        <w:t xml:space="preserve">(UATF, 2025, pp. 8, 16)</w:t>
      </w:r>
      <w:r>
        <w:t xml:space="preserve">. La</w:t>
      </w:r>
      <w:r>
        <w:t xml:space="preserve"> </w:t>
      </w:r>
      <w:r>
        <w:rPr>
          <w:bCs/>
          <w:b/>
        </w:rPr>
        <w:t xml:space="preserve">unidad de análisis</w:t>
      </w:r>
      <w:r>
        <w:t xml:space="preserve"> </w:t>
      </w:r>
      <w:r>
        <w:t xml:space="preserve">es el paño de losa. La línea base comprende todos los paños de la primera losa —41 paños, de 1,40 a 52,38 m</w:t>
      </w:r>
      <w:r>
        <w:rPr>
          <w:vertAlign w:val="superscript"/>
        </w:rPr>
        <w:t xml:space="preserve">2</w:t>
      </w:r>
      <w:r>
        <w:t xml:space="preserve">, que suman 1.109,84 m</w:t>
      </w:r>
      <w:r>
        <w:rPr>
          <w:vertAlign w:val="superscript"/>
        </w:rPr>
        <w:t xml:space="preserve">2</w:t>
      </w:r>
      <w:r>
        <w:t xml:space="preserve"> </w:t>
      </w:r>
      <w:r>
        <w:t xml:space="preserve">(UATF, 2025, pp. 28–29, 60)</w:t>
      </w:r>
      <w:r>
        <w:t xml:space="preserve">—, por lo que constituye un censo de esa losa y no una muestra</w:t>
      </w:r>
      <w:r>
        <w:t xml:space="preserve"> </w:t>
      </w:r>
      <w:r>
        <w:t xml:space="preserve">(Hernández-Sampieri y Mendoza Torres, 2018, p. 196)</w:t>
      </w:r>
      <w:r>
        <w:t xml:space="preserve">; el caso se eligió de forma no probabilística, por sus características y por el acceso a sus documentos</w:t>
      </w:r>
      <w:r>
        <w:t xml:space="preserve"> </w:t>
      </w:r>
      <w:r>
        <w:t xml:space="preserve">(Hernández-Sampieri y Mendoza Torres, 2018, p. 200)</w:t>
      </w:r>
      <w:r>
        <w:t xml:space="preserve">. La evaluación</w:t>
      </w:r>
      <w:r>
        <w:t xml:space="preserve"> </w:t>
      </w:r>
      <w:r>
        <w:rPr>
          <w:iCs/>
          <w:i/>
        </w:rPr>
        <w:t xml:space="preserve">ex ante</w:t>
      </w:r>
      <w:r>
        <w:t xml:space="preserve"> </w:t>
      </w:r>
      <w:r>
        <w:t xml:space="preserve">se aplica al saldo de 2.234,60 m</w:t>
      </w:r>
      <w:r>
        <w:rPr>
          <w:vertAlign w:val="superscript"/>
        </w:rPr>
        <w:t xml:space="preserve">2</w:t>
      </w:r>
      <w:r>
        <w:t xml:space="preserve">, correspondiente a la segunda y la tercera losa, de 1.117,30 m</w:t>
      </w:r>
      <w:r>
        <w:rPr>
          <w:vertAlign w:val="superscript"/>
        </w:rPr>
        <w:t xml:space="preserve">2</w:t>
      </w:r>
      <w:r>
        <w:t xml:space="preserve"> </w:t>
      </w:r>
      <w:r>
        <w:t xml:space="preserve">cada una, cuyos paños son homólogos a los de la primera, con áreas ligeramente mayores en cinco de ellos (cálculo propio con base en</w:t>
      </w:r>
      <w:r>
        <w:t xml:space="preserve"> </w:t>
      </w:r>
      <w:r>
        <w:t xml:space="preserve">(UATF, s. f.-b, pp. 18–19)</w:t>
      </w:r>
      <w:r>
        <w:t xml:space="preserve">).</w:t>
      </w:r>
    </w:p>
    <w:p>
      <w:pPr>
        <w:pStyle w:val="Heading3"/>
      </w:pPr>
      <w:bookmarkStart w:id="54" w:name="tit37"/>
      <w:r>
        <w:t xml:space="preserve">10.4. Métodos</w:t>
      </w:r>
      <w:bookmarkEnd w:id="54"/>
    </w:p>
    <w:p>
      <w:pPr>
        <w:pStyle w:val="FirstParagraph"/>
      </w:pPr>
      <w:r>
        <w:t xml:space="preserve">Se emplean los métodos analítico-sintético (descomposición del proceso constructivo en actividades y controles), inductivo-deductivo (de los datos por paño a conclusiones sobre el ítem), estadístico (descripción de los datos y contraste de hipótesis) y de modelación y simulación (representación del costo de la losa con un modelo de costos y propagación de la incertidumbre de sus parámetros mediante la simulación de Monte Carlo).</w:t>
      </w:r>
    </w:p>
    <w:p>
      <w:pPr>
        <w:pStyle w:val="Heading3"/>
      </w:pPr>
      <w:bookmarkStart w:id="55" w:name="tit38"/>
      <w:r>
        <w:t xml:space="preserve">10.5. Técnicas e instrumentos de recolección de datos</w:t>
      </w:r>
      <w:bookmarkEnd w:id="55"/>
    </w:p>
    <w:p>
      <w:pPr>
        <w:pStyle w:val="Caption"/>
      </w:pPr>
      <w:bookmarkStart w:id="1408" w:name="tab5"/>
      <w:r>
        <w:t xml:space="preserve"/>
      </w:r>
      <w:r>
        <w:rPr>
          <w:bCs/>
          <w:b/>
        </w:rPr>
        <w:t xml:space="preserve">Tabla 5</w:t>
      </w:r>
      <w:r>
        <w:br/>
      </w:r>
      <w:r>
        <w:rPr>
          <w:iCs/>
          <w:i/>
        </w:rPr>
        <w:t xml:space="preserve">Técnicas e instrumentos de recolección de datos</w:t>
      </w:r>
      <w:bookmarkEnd w:id="1408"/>
    </w:p>
    <w:tbl>
      <w:tblPr>
        <w:tblStyle w:val="Table"/>
        <w:tblW w:w="9360" w:type="dxa"/>
        <w:jc w:val="left"/>
        <w:tblLayout w:type="fixed"/>
        <w:tblCellMar>
          <w:top w:w="0" w:type="dxa"/>
          <w:left w:w="85" w:type="dxa"/>
          <w:bottom w:w="0" w:type="dxa"/>
          <w:right w:w="85" w:type="dxa"/>
        </w:tblCellMar>
        <w:tblLook w:firstRow="1" w:lastRow="0" w:firstColumn="0" w:lastColumn="0" w:noHBand="0" w:noVBand="0" w:val="0020"/>
      </w:tblPr>
      <w:tblGrid>
        <w:gridCol w:w="2229"/>
        <w:gridCol w:w="3819"/>
        <w:gridCol w:w="2061"/>
        <w:gridCol w:w="1251"/>
      </w:tblGrid>
      <w:tr>
        <w:trPr>
          <w:cantSplit/>
          <w:tblHeader w:val="true"/>
        </w:trPr>
        <w:tc>
          <w:tcPr>
            <w:tcW w:w="2229" w:type="dxa"/>
            <w:tcBorders>
              <w:top w:val="single" w:sz="8" w:space="0" w:color="000000"/>
              <w:bottom w:val="single" w:sz="4" w:space="0" w:color="000000"/>
            </w:tcBorders>
          </w:tcPr>
          <w:p>
            <w:pPr>
              <w:pStyle w:val="CeldaAPA"/>
              <w:jc w:val="center"/>
            </w:pPr>
            <w:r>
              <w:rPr>
                <w:bCs/>
                <w:b/>
              </w:rPr>
              <w:t xml:space="preserve">Técnica</w:t>
            </w:r>
          </w:p>
        </w:tc>
        <w:tc>
          <w:tcPr>
            <w:tcW w:w="3819" w:type="dxa"/>
            <w:tcBorders>
              <w:top w:val="single" w:sz="8" w:space="0" w:color="000000"/>
              <w:bottom w:val="single" w:sz="4" w:space="0" w:color="000000"/>
            </w:tcBorders>
          </w:tcPr>
          <w:p>
            <w:pPr>
              <w:pStyle w:val="CeldaAPA"/>
              <w:jc w:val="center"/>
            </w:pPr>
            <w:r>
              <w:rPr>
                <w:bCs/>
                <w:b/>
              </w:rPr>
              <w:t xml:space="preserve">Instrumento</w:t>
            </w:r>
          </w:p>
        </w:tc>
        <w:tc>
          <w:tcPr>
            <w:tcW w:w="2061" w:type="dxa"/>
            <w:tcBorders>
              <w:top w:val="single" w:sz="8" w:space="0" w:color="000000"/>
              <w:bottom w:val="single" w:sz="4" w:space="0" w:color="000000"/>
            </w:tcBorders>
          </w:tcPr>
          <w:p>
            <w:pPr>
              <w:pStyle w:val="CeldaAPA"/>
              <w:jc w:val="center"/>
            </w:pPr>
            <w:r>
              <w:rPr>
                <w:bCs/>
                <w:b/>
              </w:rPr>
              <w:t xml:space="preserve">Fuente o informante</w:t>
            </w:r>
          </w:p>
        </w:tc>
        <w:tc>
          <w:tcPr>
            <w:tcW w:w="1251" w:type="dxa"/>
            <w:tcBorders>
              <w:top w:val="single" w:sz="8" w:space="0" w:color="000000"/>
              <w:bottom w:val="single" w:sz="4" w:space="0" w:color="000000"/>
            </w:tcBorders>
          </w:tcPr>
          <w:p>
            <w:pPr>
              <w:pStyle w:val="CeldaAPA"/>
              <w:jc w:val="center"/>
            </w:pPr>
            <w:r>
              <w:rPr>
                <w:bCs/>
                <w:b/>
              </w:rPr>
              <w:t xml:space="preserve">Objetivo</w:t>
            </w:r>
          </w:p>
        </w:tc>
      </w:tr>
      <w:tr>
        <w:tc>
          <w:tcPr>
            <w:tcW w:w="2229" w:type="dxa"/>
          </w:tcPr>
          <w:p>
            <w:pPr>
              <w:pStyle w:val="CeldaAPA"/>
              <w:jc w:val="left"/>
            </w:pPr>
            <w:r>
              <w:rPr/>
              <w:t xml:space="preserve">Análisis documental</w:t>
            </w:r>
          </w:p>
        </w:tc>
        <w:tc>
          <w:tcPr>
            <w:tcW w:w="3819" w:type="dxa"/>
          </w:tcPr>
          <w:p>
            <w:pPr>
              <w:pStyle w:val="CeldaAPA"/>
              <w:jc w:val="left"/>
            </w:pPr>
            <w:r>
              <w:rPr/>
              <w:t xml:space="preserve">Ficha de registro documental: planillas de avance, cómputos métricos, Libro de Órdenes, certificados, contrato, planos y especificaciones técnicas</w:t>
            </w:r>
          </w:p>
        </w:tc>
        <w:tc>
          <w:tcPr>
            <w:tcW w:w="2061" w:type="dxa"/>
          </w:tcPr>
          <w:p>
            <w:pPr>
              <w:pStyle w:val="CeldaAPA"/>
              <w:jc w:val="left"/>
            </w:pPr>
            <w:r>
              <w:rPr/>
              <w:t xml:space="preserve">Expediente de la obra (Departamento de Infraestructura, Supervisión y Fiscalización)</w:t>
            </w:r>
          </w:p>
        </w:tc>
        <w:tc>
          <w:tcPr>
            <w:tcW w:w="1251" w:type="dxa"/>
          </w:tcPr>
          <w:p>
            <w:pPr>
              <w:pStyle w:val="CeldaAPA"/>
              <w:jc w:val="left"/>
            </w:pPr>
            <w:r>
              <w:rPr/>
              <w:t xml:space="preserve">OE1, OE2</w:t>
            </w:r>
          </w:p>
        </w:tc>
      </w:tr>
      <w:tr>
        <w:tc>
          <w:tcPr>
            <w:tcW w:w="2229" w:type="dxa"/>
          </w:tcPr>
          <w:p>
            <w:pPr>
              <w:pStyle w:val="CeldaAPA"/>
              <w:jc w:val="left"/>
            </w:pPr>
            <w:r>
              <w:rPr/>
              <w:t xml:space="preserve">Diagnóstico documental de brechas</w:t>
            </w:r>
          </w:p>
        </w:tc>
        <w:tc>
          <w:tcPr>
            <w:tcW w:w="3819" w:type="dxa"/>
          </w:tcPr>
          <w:p>
            <w:pPr>
              <w:pStyle w:val="CeldaAPA"/>
              <w:jc w:val="left"/>
            </w:pPr>
            <w:r>
              <w:rPr/>
              <w:t xml:space="preserve">Lista de verificación de requisitos de la ISO 9001:2026, aplicada sobre la evidencia documental</w:t>
            </w:r>
          </w:p>
        </w:tc>
        <w:tc>
          <w:tcPr>
            <w:tcW w:w="2061" w:type="dxa"/>
          </w:tcPr>
          <w:p>
            <w:pPr>
              <w:pStyle w:val="CeldaAPA"/>
              <w:jc w:val="left"/>
            </w:pPr>
            <w:r>
              <w:rPr/>
              <w:t xml:space="preserve">Documentos de la obra</w:t>
            </w:r>
          </w:p>
        </w:tc>
        <w:tc>
          <w:tcPr>
            <w:tcW w:w="1251" w:type="dxa"/>
          </w:tcPr>
          <w:p>
            <w:pPr>
              <w:pStyle w:val="CeldaAPA"/>
              <w:jc w:val="left"/>
            </w:pPr>
            <w:r>
              <w:rPr/>
              <w:t xml:space="preserve">OE1, OE3</w:t>
            </w:r>
          </w:p>
        </w:tc>
      </w:tr>
      <w:tr>
        <w:tc>
          <w:tcPr>
            <w:tcW w:w="2229" w:type="dxa"/>
          </w:tcPr>
          <w:p>
            <w:pPr>
              <w:pStyle w:val="CeldaAPA"/>
              <w:jc w:val="left"/>
            </w:pPr>
            <w:r>
              <w:rPr/>
              <w:t xml:space="preserve">Modelación y simulación</w:t>
            </w:r>
          </w:p>
        </w:tc>
        <w:tc>
          <w:tcPr>
            <w:tcW w:w="3819" w:type="dxa"/>
          </w:tcPr>
          <w:p>
            <w:pPr>
              <w:pStyle w:val="CeldaAPA"/>
              <w:jc w:val="left"/>
            </w:pPr>
            <w:r>
              <w:rPr/>
              <w:t xml:space="preserve">Modelo de costos a precios constantes del contrato y simulación de Monte Carlo programada en Python</w:t>
            </w:r>
          </w:p>
        </w:tc>
        <w:tc>
          <w:tcPr>
            <w:tcW w:w="2061" w:type="dxa"/>
          </w:tcPr>
          <w:p>
            <w:pPr>
              <w:pStyle w:val="CeldaAPA"/>
              <w:jc w:val="left"/>
            </w:pPr>
            <w:r>
              <w:rPr/>
              <w:t xml:space="preserve">Línea base, análisis de precios unitarios de referencia y antecedentes</w:t>
            </w:r>
          </w:p>
        </w:tc>
        <w:tc>
          <w:tcPr>
            <w:tcW w:w="1251" w:type="dxa"/>
          </w:tcPr>
          <w:p>
            <w:pPr>
              <w:pStyle w:val="CeldaAPA"/>
              <w:jc w:val="left"/>
            </w:pPr>
            <w:r>
              <w:rPr/>
              <w:t xml:space="preserve">OE4, OE5</w:t>
            </w:r>
          </w:p>
        </w:tc>
      </w:tr>
      <w:tr>
        <w:tc>
          <w:tcPr>
            <w:tcW w:w="2229" w:type="dxa"/>
          </w:tcPr>
          <w:p>
            <w:pPr>
              <w:pStyle w:val="CeldaAPA"/>
              <w:jc w:val="left"/>
            </w:pPr>
            <w:r>
              <w:rPr/>
              <w:t xml:space="preserve">Juicio de expertos (pendiente)</w:t>
            </w:r>
          </w:p>
        </w:tc>
        <w:tc>
          <w:tcPr>
            <w:tcW w:w="3819" w:type="dxa"/>
          </w:tcPr>
          <w:p>
            <w:pPr>
              <w:pStyle w:val="CeldaAPA"/>
              <w:jc w:val="left"/>
            </w:pPr>
            <w:r>
              <w:rPr/>
              <w:t xml:space="preserve">Formato de validación con el coeficiente V de Aiken</w:t>
            </w:r>
          </w:p>
        </w:tc>
        <w:tc>
          <w:tcPr>
            <w:tcW w:w="2061" w:type="dxa"/>
          </w:tcPr>
          <w:p>
            <w:pPr>
              <w:pStyle w:val="CeldaAPA"/>
              <w:jc w:val="left"/>
            </w:pPr>
            <w:r>
              <w:rPr/>
              <w:t xml:space="preserve">Ingenieros civiles con experiencia en supervisión, control del hormigón o gestión de la calidad</w:t>
            </w:r>
          </w:p>
        </w:tc>
        <w:tc>
          <w:tcPr>
            <w:tcW w:w="1251" w:type="dxa"/>
          </w:tcPr>
          <w:p>
            <w:pPr>
              <w:pStyle w:val="CeldaAPA"/>
              <w:jc w:val="left"/>
            </w:pPr>
            <w:r>
              <w:rPr/>
              <w:t xml:space="preserve">OE5</w:t>
            </w:r>
          </w:p>
        </w:tc>
      </w:tr>
      <w:tr>
        <w:tc>
          <w:tcPr>
            <w:tcW w:w="2229" w:type="dxa"/>
            <w:tcBorders>
              <w:bottom w:val="single" w:sz="8" w:space="0" w:color="000000"/>
            </w:tcBorders>
          </w:tcPr>
          <w:p>
            <w:pPr>
              <w:pStyle w:val="CeldaAPA"/>
              <w:jc w:val="left"/>
            </w:pPr>
            <w:r>
              <w:rPr/>
              <w:t xml:space="preserve">Entrevista (complementaria)</w:t>
            </w:r>
          </w:p>
        </w:tc>
        <w:tc>
          <w:tcPr>
            <w:tcW w:w="3819" w:type="dxa"/>
            <w:tcBorders>
              <w:bottom w:val="single" w:sz="8" w:space="0" w:color="000000"/>
            </w:tcBorders>
          </w:tcPr>
          <w:p>
            <w:pPr>
              <w:pStyle w:val="CeldaAPA"/>
              <w:jc w:val="left"/>
            </w:pPr>
            <w:r>
              <w:rPr/>
              <w:t xml:space="preserve">Guía de entrevista semiestructurada</w:t>
            </w:r>
          </w:p>
        </w:tc>
        <w:tc>
          <w:tcPr>
            <w:tcW w:w="2061" w:type="dxa"/>
            <w:tcBorders>
              <w:bottom w:val="single" w:sz="8" w:space="0" w:color="000000"/>
            </w:tcBorders>
          </w:tcPr>
          <w:p>
            <w:pPr>
              <w:pStyle w:val="CeldaAPA"/>
              <w:jc w:val="left"/>
            </w:pPr>
            <w:r>
              <w:rPr/>
              <w:t xml:space="preserve">Director de obra, Supervisión y Fiscalización</w:t>
            </w:r>
          </w:p>
        </w:tc>
        <w:tc>
          <w:tcPr>
            <w:tcW w:w="1251" w:type="dxa"/>
            <w:tcBorders>
              <w:bottom w:val="single" w:sz="8" w:space="0" w:color="000000"/>
            </w:tcBorders>
          </w:tcPr>
          <w:p>
            <w:pPr>
              <w:pStyle w:val="CeldaAPA"/>
              <w:jc w:val="left"/>
            </w:pPr>
            <w:r>
              <w:rPr/>
              <w:t xml:space="preserve">OE1</w:t>
            </w:r>
          </w:p>
        </w:tc>
      </w:tr>
    </w:tbl>
    <w:p>
      <w:pPr>
        <w:pStyle w:val="NotaAPA"/>
      </w:pPr>
      <w:r>
        <w:rPr>
          <w:iCs/>
          <w:i/>
        </w:rPr>
        <w:t xml:space="preserve">Nota.</w:t>
      </w:r>
      <w:r>
        <w:t xml:space="preserve"> </w:t>
      </w:r>
      <w:r>
        <w:t xml:space="preserve">El juicio de expertos queda pendiente de aplicación, y las entrevistas complementan la evidencia documental sin sustituirla. Los formatos de recepción de materiales, de inspección y de control de consumos del SGC (Anexo C) no se aplicaron en obra; se emplearán en la verificación futura con datos de obra (Sección 2.9.1). Elaboración propia.</w:t>
      </w:r>
    </w:p>
    <w:p>
      <w:pPr>
        <w:pStyle w:val="Heading3"/>
      </w:pPr>
      <w:bookmarkStart w:id="56" w:name="tit39"/>
      <w:r>
        <w:t xml:space="preserve">10.6. Procesamiento y análisis de datos</w:t>
      </w:r>
      <w:bookmarkEnd w:id="56"/>
    </w:p>
    <w:p>
      <w:pPr>
        <w:pStyle w:val="FirstParagraph"/>
      </w:pPr>
      <w:r>
        <w:t xml:space="preserve">Los datos se procesan con hoja de cálculo y con un programa en Python (bibliotecas NumPy y SciPy):</w:t>
      </w:r>
    </w:p>
    <w:p>
      <w:pPr>
        <w:numPr>
          <w:ilvl w:val="0"/>
          <w:numId w:val="1004"/>
        </w:numPr>
      </w:pPr>
      <w:r>
        <w:t xml:space="preserve">Estadística descriptiva: media, desviación estándar y coeficiente de variación.</w:t>
      </w:r>
    </w:p>
    <w:p>
      <w:pPr>
        <w:numPr>
          <w:ilvl w:val="0"/>
          <w:numId w:val="1004"/>
        </w:numPr>
      </w:pPr>
      <w:r>
        <w:t xml:space="preserve">Análisis de causas: diagramas de Pareto e Ishikawa.</w:t>
      </w:r>
    </w:p>
    <w:p>
      <w:pPr>
        <w:numPr>
          <w:ilvl w:val="0"/>
          <w:numId w:val="1004"/>
        </w:numPr>
      </w:pPr>
      <w:r>
        <w:t xml:space="preserve">Simulación de Monte Carlo con 20.000 iteraciones y semilla fija, con distribuciones triangulares para los parámetros inciertos (Sección 2.7.2).</w:t>
      </w:r>
    </w:p>
    <w:p>
      <w:pPr>
        <w:numPr>
          <w:ilvl w:val="0"/>
          <w:numId w:val="1004"/>
        </w:numPr>
      </w:pPr>
      <w:r>
        <w:t xml:space="preserve">Contraste de hipótesis con reglas de decisión probabilísticas: se acepta la hipótesis alterna si la probabilidad de que se cumpla su condición es de al menos 0,95, lo que equivale a un nivel de significancia</w:t>
      </w:r>
      <w:r>
        <w:t xml:space="preserve"> </w:t>
      </w:r>
      <m:oMath>
        <m:r>
          <m:t>α</m:t>
        </m:r>
        <m:r>
          <m:rPr>
            <m:sty m:val="p"/>
          </m:rPr>
          <m:t>=</m:t>
        </m:r>
        <m:r>
          <m:t>0</m:t>
        </m:r>
        <m:r>
          <m:rPr>
            <m:sty m:val="p"/>
          </m:rPr>
          <m:t>,</m:t>
        </m:r>
        <m:r>
          <m:t>05</m:t>
        </m:r>
      </m:oMath>
      <w:r>
        <w:t xml:space="preserve"> </w:t>
      </w:r>
      <w:r>
        <w:t xml:space="preserve">en un contraste unilateral</w:t>
      </w:r>
      <w:r>
        <w:t xml:space="preserve"> </w:t>
      </w:r>
      <w:r>
        <w:t xml:space="preserve">(Hernández-Sampieri y Mendoza Torres, 2018, p. 342)</w:t>
      </w:r>
      <w:r>
        <w:t xml:space="preserve">.</w:t>
      </w:r>
    </w:p>
    <w:p>
      <w:pPr>
        <w:numPr>
          <w:ilvl w:val="0"/>
          <w:numId w:val="1004"/>
        </w:numPr>
      </w:pPr>
      <w:r>
        <w:t xml:space="preserve">Análisis de sensibilidad: variación de un factor a la vez (diagrama de tornado) y correlación de rangos de Spearman.</w:t>
      </w:r>
    </w:p>
    <w:p>
      <w:pPr>
        <w:pStyle w:val="FirstParagraph"/>
      </w:pPr>
      <w:r>
        <w:t xml:space="preserve">La prueba</w:t>
      </w:r>
      <w:r>
        <w:t xml:space="preserve"> </w:t>
      </w:r>
      <w:r>
        <w:rPr>
          <w:iCs/>
          <w:i/>
        </w:rPr>
        <w:t xml:space="preserve">t</w:t>
      </w:r>
      <w:r>
        <w:t xml:space="preserve"> </w:t>
      </w:r>
      <w:r>
        <w:t xml:space="preserve">de Student para muestras relacionadas</w:t>
      </w:r>
      <w:r>
        <w:t xml:space="preserve"> </w:t>
      </w:r>
      <w:r>
        <w:t xml:space="preserve">(Hernández-Sampieri y Mendoza Torres, 2018, pp. 352–353, 372)</w:t>
      </w:r>
      <w:r>
        <w:t xml:space="preserve">, o una prueba no paramétrica para muestras relacionadas, como la de Wilcoxon para pares de rangos, si las diferencias no siguen una distribución normal</w:t>
      </w:r>
      <w:r>
        <w:t xml:space="preserve"> </w:t>
      </w:r>
      <w:r>
        <w:t xml:space="preserve">(Hernández-Sampieri y Mendoza Torres, 2018, pp. 362, 372)</w:t>
      </w:r>
      <w:r>
        <w:t xml:space="preserve">, queda reservada para la verificación futura con datos de obra (Sección 2.9.1). Los costos se expresan a precios constantes del contrato, para aislar el efecto de la inflación.</w:t>
      </w:r>
    </w:p>
    <w:p>
      <w:pPr>
        <w:pStyle w:val="Heading2"/>
      </w:pPr>
      <w:bookmarkStart w:id="58" w:name="tit40"/>
      <w:r>
        <w:t xml:space="preserve">11. Estructura del documento</w:t>
      </w:r>
      <w:bookmarkEnd w:id="58"/>
    </w:p>
    <w:p>
      <w:pPr>
        <w:numPr>
          <w:ilvl w:val="0"/>
          <w:numId w:val="1005"/>
        </w:numPr>
      </w:pPr>
      <w:r>
        <w:t xml:space="preserve">El</w:t>
      </w:r>
      <w:r>
        <w:t xml:space="preserve"> </w:t>
      </w:r>
      <w:r>
        <w:rPr>
          <w:bCs/>
          <w:b/>
        </w:rPr>
        <w:t xml:space="preserve">Capítulo 1</w:t>
      </w:r>
      <w:r>
        <w:t xml:space="preserve"> </w:t>
      </w:r>
      <w:r>
        <w:t xml:space="preserve">presenta el marco teórico: la gestión de la calidad y la norma ISO 9001:2026, los planes de la calidad, los costos de la calidad, las pérdidas y el desperdicio de materiales en la construcción, el sistema de losas alivianadas con viguetas pretensadas, el marco normativo aplicable y los fundamentos de la evaluación</w:t>
      </w:r>
      <w:r>
        <w:t xml:space="preserve"> </w:t>
      </w:r>
      <w:r>
        <w:rPr>
          <w:iCs/>
          <w:i/>
        </w:rPr>
        <w:t xml:space="preserve">ex ante</w:t>
      </w:r>
      <w:r>
        <w:t xml:space="preserve"> </w:t>
      </w:r>
      <w:r>
        <w:t xml:space="preserve">mediante simulación.</w:t>
      </w:r>
    </w:p>
    <w:p>
      <w:pPr>
        <w:numPr>
          <w:ilvl w:val="0"/>
          <w:numId w:val="1005"/>
        </w:numPr>
      </w:pPr>
      <w:r>
        <w:t xml:space="preserve">El</w:t>
      </w:r>
      <w:r>
        <w:t xml:space="preserve"> </w:t>
      </w:r>
      <w:r>
        <w:rPr>
          <w:bCs/>
          <w:b/>
        </w:rPr>
        <w:t xml:space="preserve">Capítulo 2</w:t>
      </w:r>
      <w:r>
        <w:t xml:space="preserve"> </w:t>
      </w:r>
      <w:r>
        <w:t xml:space="preserve">describe el modelo de investigación, caracteriza el caso de estudio, define las variables, la población y la muestra, establece la línea base mediante el diagnóstico documental de la primera losa y desarrolla el diseño del SGC (Sección 2.6). Luego expone el procedimiento de implementación previsto y la evaluación</w:t>
      </w:r>
      <w:r>
        <w:t xml:space="preserve"> </w:t>
      </w:r>
      <w:r>
        <w:rPr>
          <w:iCs/>
          <w:i/>
        </w:rPr>
        <w:t xml:space="preserve">ex ante</w:t>
      </w:r>
      <w:r>
        <w:t xml:space="preserve"> </w:t>
      </w:r>
      <w:r>
        <w:t xml:space="preserve">mediante el modelo de costos y la simulación (Sección 2.7), la validación de las observaciones, del modelo y de los instrumentos (Sección 2.8) y el plan de contraste de hipótesis (Sección 2.9).</w:t>
      </w:r>
    </w:p>
    <w:p>
      <w:pPr>
        <w:numPr>
          <w:ilvl w:val="0"/>
          <w:numId w:val="1005"/>
        </w:numPr>
      </w:pPr>
      <w:r>
        <w:t xml:space="preserve">El</w:t>
      </w:r>
      <w:r>
        <w:t xml:space="preserve"> </w:t>
      </w:r>
      <w:r>
        <w:rPr>
          <w:bCs/>
          <w:b/>
        </w:rPr>
        <w:t xml:space="preserve">Capítulo 3</w:t>
      </w:r>
      <w:r>
        <w:t xml:space="preserve"> </w:t>
      </w:r>
      <w:r>
        <w:t xml:space="preserve">presenta los resultados del diagnóstico y de la línea base, los resultados del modelo de costos y de la simulación de Monte Carlo, el contraste de las hipótesis, el análisis de sensibilidad y la discusión con los antecedentes; la validación por juicio de expertos queda pendiente de aplicación.</w:t>
      </w:r>
    </w:p>
    <w:p>
      <w:pPr>
        <w:numPr>
          <w:ilvl w:val="0"/>
          <w:numId w:val="1005"/>
        </w:numPr>
      </w:pPr>
      <w:r>
        <w:t xml:space="preserve">Finalmente se exponen las conclusiones y recomendaciones, la bibliografía y los anexos, entre ellos la matriz de consistencia, la operacionalización de variables, los instrumentos del SGC, los planos y cómputos de la primera losa, los certificados de materiales, el análisis de precios unitarios de referencia y el código del modelo de costos y de la simulación.</w:t>
      </w:r>
    </w:p>
    <w:p>
      <w:pPr>
        <w:pStyle w:val="Heading1"/>
      </w:pPr>
      <w:bookmarkStart w:id="115" w:name="tit41"/>
      <w:r>
        <w:t xml:space="preserve">CAPÍTULO 1</w:t>
      </w:r>
      <w:r>
        <w:br/>
      </w:r>
      <w:r>
        <w:t xml:space="preserve">MARCO TEÓRICO DE LA GESTIÓN DE LA CALIDAD Y DEL CONTROL DE MATERIALES EN LOSAS ALIVIANADAS CON VIGUETAS PRETENSADAS</w:t>
      </w:r>
      <w:bookmarkEnd w:id="115"/>
    </w:p>
    <w:p>
      <w:pPr>
        <w:pStyle w:val="FirstParagraph"/>
      </w:pPr>
      <w:r>
        <w:t xml:space="preserve">Este capítulo reúne el conocimiento existente sobre el problema y lo integra con la investigación, como pide la guía del Seminario de Grado</w:t>
      </w:r>
      <w:r>
        <w:t xml:space="preserve"> </w:t>
      </w:r>
      <w:r>
        <w:t xml:space="preserve">(Barrios C., 2021d, diapositiva 8)</w:t>
      </w:r>
      <w:r>
        <w:t xml:space="preserve">. Parte del estado del arte y del vacío de conocimiento; sigue con la gestión de la calidad, la norma ISO 9001:2026, los costos de la calidad y las pérdidas de materiales; describe el sistema de losa, el marco normativo y el control de costos en las obras públicas; y termina con las herramientas de la calidad, los fundamentos de la evaluación</w:t>
      </w:r>
      <w:r>
        <w:t xml:space="preserve"> </w:t>
      </w:r>
      <w:r>
        <w:rPr>
          <w:iCs/>
          <w:i/>
        </w:rPr>
        <w:t xml:space="preserve">ex ante</w:t>
      </w:r>
      <w:r>
        <w:t xml:space="preserve"> </w:t>
      </w:r>
      <w:r>
        <w:t xml:space="preserve">y los términos básicos. Solo se citan documentos consultados directamente: cuando una fuente reporta datos de otros autores, se cita la fuente consultada y se advierte el origen del dato, porque la guía del docente prohíbe las citas de cita</w:t>
      </w:r>
      <w:r>
        <w:t xml:space="preserve"> </w:t>
      </w:r>
      <w:r>
        <w:t xml:space="preserve">(Barrios C., 2021d, diapositiva 18)</w:t>
      </w:r>
      <w:r>
        <w:t xml:space="preserve">.</w:t>
      </w:r>
    </w:p>
    <w:p>
      <w:pPr>
        <w:pStyle w:val="Heading2"/>
      </w:pPr>
      <w:bookmarkStart w:id="65" w:name="tit42"/>
      <w:r>
        <w:t xml:space="preserve">1.1. Estado del arte</w:t>
      </w:r>
      <w:bookmarkEnd w:id="65"/>
    </w:p>
    <w:p>
      <w:pPr>
        <w:pStyle w:val="FirstParagraph"/>
      </w:pPr>
      <w:r>
        <w:t xml:space="preserve">La revisión abarcó los documentos del repositorio de la tesis: 14 artículos científicos, 26 trabajos de grado de Bolivia, Perú, Colombia y Ecuador, y documentos técnicos y normativos. Conforme a la jerarquía de fuentes del docente</w:t>
      </w:r>
      <w:r>
        <w:t xml:space="preserve"> </w:t>
      </w:r>
      <w:r>
        <w:t xml:space="preserve">(Barrios C., 2021b, diapositiva 24)</w:t>
      </w:r>
      <w:r>
        <w:t xml:space="preserve">, se dio prioridad a los artículos y a las tesis. Los resultados se organizan en cuatro ejes: (a) calidad, retrabajo y costos de la calidad en la construcción; (b) desperdicio de materiales y su medición; (c) sistemas y planes de gestión de la calidad en obras y en fabricantes bolivianos de viguetas; y (d) losas con viguetas pretensadas. La Tabla 6 resume los antecedentes principales, y los apartados siguientes los contrastan.</w:t>
      </w:r>
    </w:p>
    <w:p>
      <w:pPr>
        <w:pStyle w:val="Caption"/>
      </w:pPr>
      <w:bookmarkStart w:id="1409" w:name="tab6"/>
      <w:r>
        <w:t xml:space="preserve"/>
      </w:r>
      <w:r>
        <w:rPr>
          <w:bCs/>
          <w:b/>
        </w:rPr>
        <w:t xml:space="preserve">Tabla 6</w:t>
      </w:r>
      <w:r>
        <w:br/>
      </w:r>
      <w:r>
        <w:rPr>
          <w:iCs/>
          <w:i/>
        </w:rPr>
        <w:t xml:space="preserve">Antecedentes de la investigación</w:t>
      </w:r>
      <w:bookmarkEnd w:id="1409"/>
    </w:p>
    <w:tbl>
      <w:tblPr>
        <w:tblStyle w:val="Table"/>
        <w:tblW w:w="9539" w:type="dxa"/>
        <w:jc w:val="left"/>
        <w:tblLayout w:type="fixed"/>
        <w:tblCellMar>
          <w:top w:w="0" w:type="dxa"/>
          <w:left w:w="85" w:type="dxa"/>
          <w:bottom w:w="0" w:type="dxa"/>
          <w:right w:w="85" w:type="dxa"/>
        </w:tblCellMar>
        <w:tblLook w:firstRow="1" w:lastRow="0" w:firstColumn="0" w:lastColumn="0" w:noHBand="0" w:noVBand="0" w:val="0020"/>
      </w:tblPr>
      <w:tblGrid>
        <w:gridCol w:w="2540"/>
        <w:gridCol w:w="1288"/>
        <w:gridCol w:w="2019"/>
        <w:gridCol w:w="1925"/>
        <w:gridCol w:w="1767"/>
      </w:tblGrid>
      <w:tr>
        <w:trPr>
          <w:cantSplit/>
          <w:tblHeader w:val="true"/>
        </w:trPr>
        <w:tc>
          <w:tcPr>
            <w:tcW w:w="2540" w:type="dxa"/>
            <w:tcBorders>
              <w:top w:val="single" w:sz="8" w:space="0" w:color="000000"/>
              <w:bottom w:val="single" w:sz="4" w:space="0" w:color="000000"/>
            </w:tcBorders>
          </w:tcPr>
          <w:p>
            <w:pPr>
              <w:pStyle w:val="CeldaAPA"/>
              <w:jc w:val="center"/>
            </w:pPr>
            <w:r>
              <w:rPr>
                <w:bCs/>
                <w:b/>
              </w:rPr>
              <w:t xml:space="preserve">Autor y año</w:t>
            </w:r>
          </w:p>
        </w:tc>
        <w:tc>
          <w:tcPr>
            <w:tcW w:w="1288" w:type="dxa"/>
            <w:tcBorders>
              <w:top w:val="single" w:sz="8" w:space="0" w:color="000000"/>
              <w:bottom w:val="single" w:sz="4" w:space="0" w:color="000000"/>
            </w:tcBorders>
          </w:tcPr>
          <w:p>
            <w:pPr>
              <w:pStyle w:val="CeldaAPA"/>
              <w:jc w:val="center"/>
            </w:pPr>
            <w:r>
              <w:rPr>
                <w:bCs/>
                <w:b/>
              </w:rPr>
              <w:t xml:space="preserve">País</w:t>
            </w:r>
          </w:p>
        </w:tc>
        <w:tc>
          <w:tcPr>
            <w:tcW w:w="2019" w:type="dxa"/>
            <w:tcBorders>
              <w:top w:val="single" w:sz="8" w:space="0" w:color="000000"/>
              <w:bottom w:val="single" w:sz="4" w:space="0" w:color="000000"/>
            </w:tcBorders>
          </w:tcPr>
          <w:p>
            <w:pPr>
              <w:pStyle w:val="CeldaAPA"/>
              <w:jc w:val="center"/>
            </w:pPr>
            <w:r>
              <w:rPr>
                <w:bCs/>
                <w:b/>
              </w:rPr>
              <w:t xml:space="preserve">Diseño y muestra</w:t>
            </w:r>
          </w:p>
        </w:tc>
        <w:tc>
          <w:tcPr>
            <w:tcW w:w="1925" w:type="dxa"/>
            <w:tcBorders>
              <w:top w:val="single" w:sz="8" w:space="0" w:color="000000"/>
              <w:bottom w:val="single" w:sz="4" w:space="0" w:color="000000"/>
            </w:tcBorders>
          </w:tcPr>
          <w:p>
            <w:pPr>
              <w:pStyle w:val="CeldaAPA"/>
              <w:jc w:val="center"/>
            </w:pPr>
            <w:r>
              <w:rPr>
                <w:bCs/>
                <w:b/>
              </w:rPr>
              <w:t xml:space="preserve">Resultado principal</w:t>
            </w:r>
          </w:p>
        </w:tc>
        <w:tc>
          <w:tcPr>
            <w:tcW w:w="1767" w:type="dxa"/>
            <w:tcBorders>
              <w:top w:val="single" w:sz="8" w:space="0" w:color="000000"/>
              <w:bottom w:val="single" w:sz="4" w:space="0" w:color="000000"/>
            </w:tcBorders>
          </w:tcPr>
          <w:p>
            <w:pPr>
              <w:pStyle w:val="CeldaAPA"/>
              <w:jc w:val="center"/>
            </w:pPr>
            <w:r>
              <w:rPr>
                <w:bCs/>
                <w:b/>
              </w:rPr>
              <w:t xml:space="preserve">Aporte a esta tesis</w:t>
            </w:r>
          </w:p>
        </w:tc>
      </w:tr>
      <w:tr>
        <w:tc>
          <w:tcPr>
            <w:tcW w:w="9539" w:type="dxa"/>
            <w:gridSpan w:val="5"/>
          </w:tcPr>
          <w:p>
            <w:pPr>
              <w:pStyle w:val="CeldaAPA"/>
              <w:jc w:val="left"/>
            </w:pPr>
            <w:r>
              <w:rPr>
                <w:iCs/>
                <w:i/>
              </w:rPr>
              <w:t xml:space="preserve">(a) Calidad, retrabajo y costos de la calidad</w:t>
            </w:r>
          </w:p>
        </w:tc>
      </w:tr>
      <w:tr>
        <w:tc>
          <w:tcPr>
            <w:tcW w:w="2540" w:type="dxa"/>
          </w:tcPr>
          <w:p>
            <w:pPr>
              <w:pStyle w:val="CeldaAPA"/>
              <w:jc w:val="left"/>
            </w:pPr>
            <w:r>
              <w:rPr/>
              <w:t xml:space="preserve">Forcada et al. (2017)</w:t>
            </w:r>
          </w:p>
        </w:tc>
        <w:tc>
          <w:tcPr>
            <w:tcW w:w="1288" w:type="dxa"/>
          </w:tcPr>
          <w:p>
            <w:pPr>
              <w:pStyle w:val="CeldaAPA"/>
              <w:jc w:val="left"/>
            </w:pPr>
            <w:r>
              <w:rPr/>
              <w:t xml:space="preserve">España</w:t>
            </w:r>
          </w:p>
        </w:tc>
        <w:tc>
          <w:tcPr>
            <w:tcW w:w="2019" w:type="dxa"/>
          </w:tcPr>
          <w:p>
            <w:pPr>
              <w:pStyle w:val="CeldaAPA"/>
              <w:jc w:val="left"/>
            </w:pPr>
            <w:r>
              <w:rPr/>
              <w:t xml:space="preserve">788 incidencias de 40 proyectos de una constructora certificada</w:t>
            </w:r>
          </w:p>
        </w:tc>
        <w:tc>
          <w:tcPr>
            <w:tcW w:w="1925" w:type="dxa"/>
          </w:tcPr>
          <w:p>
            <w:pPr>
              <w:pStyle w:val="CeldaAPA"/>
              <w:jc w:val="left"/>
            </w:pPr>
            <w:r>
              <w:rPr/>
              <w:t xml:space="preserve">Retrabajo: 2,75 % del valor del contrato</w:t>
            </w:r>
          </w:p>
        </w:tc>
        <w:tc>
          <w:tcPr>
            <w:tcW w:w="1767" w:type="dxa"/>
          </w:tcPr>
          <w:p>
            <w:pPr>
              <w:pStyle w:val="CeldaAPA"/>
              <w:jc w:val="left"/>
            </w:pPr>
            <w:r>
              <w:rPr/>
              <w:t xml:space="preserve">Registro estructurado de no conformidades</w:t>
            </w:r>
          </w:p>
        </w:tc>
      </w:tr>
      <w:tr>
        <w:tc>
          <w:tcPr>
            <w:tcW w:w="2540" w:type="dxa"/>
          </w:tcPr>
          <w:p>
            <w:pPr>
              <w:pStyle w:val="CeldaAPA"/>
              <w:jc w:val="left"/>
            </w:pPr>
            <w:r>
              <w:rPr/>
              <w:t xml:space="preserve">Khadim et al. (2023)</w:t>
            </w:r>
          </w:p>
        </w:tc>
        <w:tc>
          <w:tcPr>
            <w:tcW w:w="1288" w:type="dxa"/>
          </w:tcPr>
          <w:p>
            <w:pPr>
              <w:pStyle w:val="CeldaAPA"/>
              <w:jc w:val="left"/>
            </w:pPr>
            <w:r>
              <w:rPr/>
              <w:t xml:space="preserve">Pakistán</w:t>
            </w:r>
          </w:p>
        </w:tc>
        <w:tc>
          <w:tcPr>
            <w:tcW w:w="2019" w:type="dxa"/>
          </w:tcPr>
          <w:p>
            <w:pPr>
              <w:pStyle w:val="CeldaAPA"/>
              <w:jc w:val="left"/>
            </w:pPr>
            <w:r>
              <w:rPr/>
              <w:t xml:space="preserve">Modelo PAF con fallas ocultas; 102 expertos y 25 edificios</w:t>
            </w:r>
          </w:p>
        </w:tc>
        <w:tc>
          <w:tcPr>
            <w:tcW w:w="1925" w:type="dxa"/>
          </w:tcPr>
          <w:p>
            <w:pPr>
              <w:pStyle w:val="CeldaAPA"/>
              <w:jc w:val="left"/>
            </w:pPr>
            <w:r>
              <w:rPr/>
              <w:t xml:space="preserve">Costo de la calidad: 12,76 %; fallas visibles 2,34 % y ocultas 8,59 %; conformidad 1,83 %</w:t>
            </w:r>
          </w:p>
        </w:tc>
        <w:tc>
          <w:tcPr>
            <w:tcW w:w="1767" w:type="dxa"/>
          </w:tcPr>
          <w:p>
            <w:pPr>
              <w:pStyle w:val="CeldaAPA"/>
              <w:jc w:val="left"/>
            </w:pPr>
            <w:r>
              <w:rPr/>
              <w:t xml:space="preserve">Rubros PAF y costos ocultos</w:t>
            </w:r>
          </w:p>
        </w:tc>
      </w:tr>
      <w:tr>
        <w:tc>
          <w:tcPr>
            <w:tcW w:w="2540" w:type="dxa"/>
          </w:tcPr>
          <w:p>
            <w:pPr>
              <w:pStyle w:val="CeldaAPA"/>
              <w:jc w:val="left"/>
            </w:pPr>
            <w:r>
              <w:rPr/>
              <w:t xml:space="preserve">Álvarez Quintero (2014)</w:t>
            </w:r>
          </w:p>
        </w:tc>
        <w:tc>
          <w:tcPr>
            <w:tcW w:w="1288" w:type="dxa"/>
          </w:tcPr>
          <w:p>
            <w:pPr>
              <w:pStyle w:val="CeldaAPA"/>
              <w:jc w:val="left"/>
            </w:pPr>
            <w:r>
              <w:rPr/>
              <w:t xml:space="preserve">Colombia</w:t>
            </w:r>
          </w:p>
        </w:tc>
        <w:tc>
          <w:tcPr>
            <w:tcW w:w="2019" w:type="dxa"/>
          </w:tcPr>
          <w:p>
            <w:pPr>
              <w:pStyle w:val="CeldaAPA"/>
              <w:jc w:val="left"/>
            </w:pPr>
            <w:r>
              <w:rPr/>
              <w:t xml:space="preserve">Revisión de estudios internacionales (2000–2014)</w:t>
            </w:r>
          </w:p>
        </w:tc>
        <w:tc>
          <w:tcPr>
            <w:tcW w:w="1925" w:type="dxa"/>
          </w:tcPr>
          <w:p>
            <w:pPr>
              <w:pStyle w:val="CeldaAPA"/>
              <w:jc w:val="left"/>
            </w:pPr>
            <w:r>
              <w:rPr/>
              <w:t xml:space="preserve">Reprocesos: 6,59 % en promedio; 0,72 % con SGC</w:t>
            </w:r>
          </w:p>
        </w:tc>
        <w:tc>
          <w:tcPr>
            <w:tcW w:w="1767" w:type="dxa"/>
          </w:tcPr>
          <w:p>
            <w:pPr>
              <w:pStyle w:val="CeldaAPA"/>
              <w:jc w:val="left"/>
            </w:pPr>
            <w:r>
              <w:rPr/>
              <w:t xml:space="preserve">Reducción esperable; datos compilados</w:t>
            </w:r>
          </w:p>
        </w:tc>
      </w:tr>
      <w:tr>
        <w:tc>
          <w:tcPr>
            <w:tcW w:w="2540" w:type="dxa"/>
          </w:tcPr>
          <w:p>
            <w:pPr>
              <w:pStyle w:val="CeldaAPA"/>
              <w:jc w:val="left"/>
            </w:pPr>
            <w:r>
              <w:rPr/>
              <w:t xml:space="preserve">Gudiel Cairampoma y Solis Puente (2020)</w:t>
            </w:r>
          </w:p>
        </w:tc>
        <w:tc>
          <w:tcPr>
            <w:tcW w:w="1288" w:type="dxa"/>
          </w:tcPr>
          <w:p>
            <w:pPr>
              <w:pStyle w:val="CeldaAPA"/>
              <w:jc w:val="left"/>
            </w:pPr>
            <w:r>
              <w:rPr/>
              <w:t xml:space="preserve">Perú</w:t>
            </w:r>
          </w:p>
        </w:tc>
        <w:tc>
          <w:tcPr>
            <w:tcW w:w="2019" w:type="dxa"/>
          </w:tcPr>
          <w:p>
            <w:pPr>
              <w:pStyle w:val="CeldaAPA"/>
              <w:jc w:val="left"/>
            </w:pPr>
            <w:r>
              <w:rPr/>
              <w:t xml:space="preserve">Edificios de Lima; Pareto, Ishikawa y 10 expertos</w:t>
            </w:r>
          </w:p>
        </w:tc>
        <w:tc>
          <w:tcPr>
            <w:tcW w:w="1925" w:type="dxa"/>
          </w:tcPr>
          <w:p>
            <w:pPr>
              <w:pStyle w:val="CeldaAPA"/>
              <w:jc w:val="left"/>
            </w:pPr>
            <w:r>
              <w:rPr/>
              <w:t xml:space="preserve">No calidad: 2,7 % a 5,1 % del concreto armado; 80 % sin plan de calidad</w:t>
            </w:r>
          </w:p>
        </w:tc>
        <w:tc>
          <w:tcPr>
            <w:tcW w:w="1767" w:type="dxa"/>
          </w:tcPr>
          <w:p>
            <w:pPr>
              <w:pStyle w:val="CeldaAPA"/>
              <w:jc w:val="left"/>
            </w:pPr>
            <w:r>
              <w:rPr/>
              <w:t xml:space="preserve">Herramientas de la calidad</w:t>
            </w:r>
          </w:p>
        </w:tc>
      </w:tr>
      <w:tr>
        <w:tc>
          <w:tcPr>
            <w:tcW w:w="9539" w:type="dxa"/>
            <w:gridSpan w:val="5"/>
          </w:tcPr>
          <w:p>
            <w:pPr>
              <w:pStyle w:val="CeldaAPA"/>
              <w:jc w:val="left"/>
            </w:pPr>
            <w:r>
              <w:rPr>
                <w:iCs/>
                <w:i/>
              </w:rPr>
              <w:t xml:space="preserve">(b) Desperdicio de materiales y su medición</w:t>
            </w:r>
          </w:p>
        </w:tc>
      </w:tr>
      <w:tr>
        <w:tc>
          <w:tcPr>
            <w:tcW w:w="2540" w:type="dxa"/>
          </w:tcPr>
          <w:p>
            <w:pPr>
              <w:pStyle w:val="CeldaAPA"/>
              <w:jc w:val="left"/>
            </w:pPr>
            <w:r>
              <w:rPr/>
              <w:t xml:space="preserve">Galarza Meza (2011)</w:t>
            </w:r>
          </w:p>
        </w:tc>
        <w:tc>
          <w:tcPr>
            <w:tcW w:w="1288" w:type="dxa"/>
          </w:tcPr>
          <w:p>
            <w:pPr>
              <w:pStyle w:val="CeldaAPA"/>
              <w:jc w:val="left"/>
            </w:pPr>
            <w:r>
              <w:rPr/>
              <w:t xml:space="preserve">Perú</w:t>
            </w:r>
          </w:p>
        </w:tc>
        <w:tc>
          <w:tcPr>
            <w:tcW w:w="2019" w:type="dxa"/>
          </w:tcPr>
          <w:p>
            <w:pPr>
              <w:pStyle w:val="CeldaAPA"/>
              <w:jc w:val="left"/>
            </w:pPr>
            <w:r>
              <w:rPr/>
              <w:t xml:space="preserve">Dos edificios de Lima; medición en cinco etapas</w:t>
            </w:r>
          </w:p>
        </w:tc>
        <w:tc>
          <w:tcPr>
            <w:tcW w:w="1925" w:type="dxa"/>
          </w:tcPr>
          <w:p>
            <w:pPr>
              <w:pStyle w:val="CeldaAPA"/>
              <w:jc w:val="left"/>
            </w:pPr>
            <w:r>
              <w:rPr/>
              <w:t xml:space="preserve">Hormigón: 22 % sin control y 2,8 % con pedidos limitados; acero: 4,04 %</w:t>
            </w:r>
          </w:p>
        </w:tc>
        <w:tc>
          <w:tcPr>
            <w:tcW w:w="1767" w:type="dxa"/>
          </w:tcPr>
          <w:p>
            <w:pPr>
              <w:pStyle w:val="CeldaAPA"/>
              <w:jc w:val="left"/>
            </w:pPr>
            <w:r>
              <w:rPr/>
              <w:t xml:space="preserve">Protocolo de medición y control de pedidos</w:t>
            </w:r>
          </w:p>
        </w:tc>
      </w:tr>
      <w:tr>
        <w:tc>
          <w:tcPr>
            <w:tcW w:w="2540" w:type="dxa"/>
          </w:tcPr>
          <w:p>
            <w:pPr>
              <w:pStyle w:val="CeldaAPA"/>
              <w:jc w:val="left"/>
            </w:pPr>
            <w:r>
              <w:rPr/>
              <w:t xml:space="preserve">Chino Quispe y Zarate Chilqquetuma (2024)</w:t>
            </w:r>
          </w:p>
        </w:tc>
        <w:tc>
          <w:tcPr>
            <w:tcW w:w="1288" w:type="dxa"/>
          </w:tcPr>
          <w:p>
            <w:pPr>
              <w:pStyle w:val="CeldaAPA"/>
              <w:jc w:val="left"/>
            </w:pPr>
            <w:r>
              <w:rPr/>
              <w:t xml:space="preserve">Perú</w:t>
            </w:r>
          </w:p>
        </w:tc>
        <w:tc>
          <w:tcPr>
            <w:tcW w:w="2019" w:type="dxa"/>
          </w:tcPr>
          <w:p>
            <w:pPr>
              <w:pStyle w:val="CeldaAPA"/>
              <w:jc w:val="left"/>
            </w:pPr>
            <w:r>
              <w:rPr/>
              <w:t xml:space="preserve">Dos edificios del Cusco; acero ingresado frente al metrado</w:t>
            </w:r>
          </w:p>
        </w:tc>
        <w:tc>
          <w:tcPr>
            <w:tcW w:w="1925" w:type="dxa"/>
          </w:tcPr>
          <w:p>
            <w:pPr>
              <w:pStyle w:val="CeldaAPA"/>
              <w:jc w:val="left"/>
            </w:pPr>
            <w:r>
              <w:rPr/>
              <w:t xml:space="preserve">Acero: 14,58 % y 17,09 % convencional; 3,15 % y 3,19 % con despiece previo</w:t>
            </w:r>
          </w:p>
        </w:tc>
        <w:tc>
          <w:tcPr>
            <w:tcW w:w="1767" w:type="dxa"/>
          </w:tcPr>
          <w:p>
            <w:pPr>
              <w:pStyle w:val="CeldaAPA"/>
              <w:jc w:val="left"/>
            </w:pPr>
            <w:r>
              <w:rPr/>
              <w:t xml:space="preserve">Medición del acero; proyección</w:t>
            </w:r>
            <w:r>
              <w:rPr/>
              <w:t xml:space="preserve"> </w:t>
            </w:r>
            <w:r>
              <w:rPr>
                <w:iCs/>
                <w:i/>
              </w:rPr>
              <w:t xml:space="preserve">ex ante</w:t>
            </w:r>
          </w:p>
        </w:tc>
      </w:tr>
      <w:tr>
        <w:tc>
          <w:tcPr>
            <w:tcW w:w="2540" w:type="dxa"/>
          </w:tcPr>
          <w:p>
            <w:pPr>
              <w:pStyle w:val="CeldaAPA"/>
              <w:jc w:val="left"/>
            </w:pPr>
            <w:r>
              <w:rPr/>
              <w:t xml:space="preserve">Ruiz Muñoz y Rojas Bonilla (2018)</w:t>
            </w:r>
          </w:p>
        </w:tc>
        <w:tc>
          <w:tcPr>
            <w:tcW w:w="1288" w:type="dxa"/>
          </w:tcPr>
          <w:p>
            <w:pPr>
              <w:pStyle w:val="CeldaAPA"/>
              <w:jc w:val="left"/>
            </w:pPr>
            <w:r>
              <w:rPr/>
              <w:t xml:space="preserve">Colombia</w:t>
            </w:r>
          </w:p>
        </w:tc>
        <w:tc>
          <w:tcPr>
            <w:tcW w:w="2019" w:type="dxa"/>
          </w:tcPr>
          <w:p>
            <w:pPr>
              <w:pStyle w:val="CeldaAPA"/>
              <w:jc w:val="left"/>
            </w:pPr>
            <w:r>
              <w:rPr/>
              <w:t xml:space="preserve">Estudio de caso; cubicación teórica frente a metrado</w:t>
            </w:r>
          </w:p>
        </w:tc>
        <w:tc>
          <w:tcPr>
            <w:tcW w:w="1925" w:type="dxa"/>
          </w:tcPr>
          <w:p>
            <w:pPr>
              <w:pStyle w:val="CeldaAPA"/>
              <w:jc w:val="left"/>
            </w:pPr>
            <w:r>
              <w:rPr/>
              <w:t xml:space="preserve">Hormigón: 9 % en placas y 23 % en muros</w:t>
            </w:r>
          </w:p>
        </w:tc>
        <w:tc>
          <w:tcPr>
            <w:tcW w:w="1767" w:type="dxa"/>
          </w:tcPr>
          <w:p>
            <w:pPr>
              <w:pStyle w:val="CeldaAPA"/>
              <w:jc w:val="left"/>
            </w:pPr>
            <w:r>
              <w:rPr/>
              <w:t xml:space="preserve">Brecha entre lo presupuestado y lo real</w:t>
            </w:r>
          </w:p>
        </w:tc>
      </w:tr>
      <w:tr>
        <w:tc>
          <w:tcPr>
            <w:tcW w:w="9539" w:type="dxa"/>
            <w:gridSpan w:val="5"/>
          </w:tcPr>
          <w:p>
            <w:pPr>
              <w:pStyle w:val="CeldaAPA"/>
              <w:jc w:val="left"/>
            </w:pPr>
            <w:r>
              <w:rPr>
                <w:iCs/>
                <w:i/>
              </w:rPr>
              <w:t xml:space="preserve">(c) Sistemas y planes de gestión de la calidad</w:t>
            </w:r>
          </w:p>
        </w:tc>
      </w:tr>
      <w:tr>
        <w:tc>
          <w:tcPr>
            <w:tcW w:w="2540" w:type="dxa"/>
          </w:tcPr>
          <w:p>
            <w:pPr>
              <w:pStyle w:val="CeldaAPA"/>
              <w:jc w:val="left"/>
            </w:pPr>
            <w:r>
              <w:rPr/>
              <w:t xml:space="preserve">Prado-Román et al. (2018)</w:t>
            </w:r>
          </w:p>
        </w:tc>
        <w:tc>
          <w:tcPr>
            <w:tcW w:w="1288" w:type="dxa"/>
          </w:tcPr>
          <w:p>
            <w:pPr>
              <w:pStyle w:val="CeldaAPA"/>
              <w:jc w:val="left"/>
            </w:pPr>
            <w:r>
              <w:rPr/>
              <w:t xml:space="preserve">España</w:t>
            </w:r>
          </w:p>
        </w:tc>
        <w:tc>
          <w:tcPr>
            <w:tcW w:w="2019" w:type="dxa"/>
          </w:tcPr>
          <w:p>
            <w:pPr>
              <w:pStyle w:val="CeldaAPA"/>
              <w:jc w:val="left"/>
            </w:pPr>
            <w:r>
              <w:rPr/>
              <w:t xml:space="preserve">Cuestionario a 302 constructoras (126 respuestas)</w:t>
            </w:r>
          </w:p>
        </w:tc>
        <w:tc>
          <w:tcPr>
            <w:tcW w:w="1925" w:type="dxa"/>
          </w:tcPr>
          <w:p>
            <w:pPr>
              <w:pStyle w:val="CeldaAPA"/>
              <w:jc w:val="left"/>
            </w:pPr>
            <w:r>
              <w:rPr/>
              <w:t xml:space="preserve">ISO 9001 muy relevante para procesos (74,4 %) y operaciones (53,7 %)</w:t>
            </w:r>
          </w:p>
        </w:tc>
        <w:tc>
          <w:tcPr>
            <w:tcW w:w="1767" w:type="dxa"/>
          </w:tcPr>
          <w:p>
            <w:pPr>
              <w:pStyle w:val="CeldaAPA"/>
              <w:jc w:val="left"/>
            </w:pPr>
            <w:r>
              <w:rPr/>
              <w:t xml:space="preserve">Beneficios graduales</w:t>
            </w:r>
          </w:p>
        </w:tc>
      </w:tr>
      <w:tr>
        <w:tc>
          <w:tcPr>
            <w:tcW w:w="2540" w:type="dxa"/>
          </w:tcPr>
          <w:p>
            <w:pPr>
              <w:pStyle w:val="CeldaAPA"/>
              <w:jc w:val="left"/>
            </w:pPr>
            <w:r>
              <w:rPr/>
              <w:t xml:space="preserve">Romero y Serpell (2007)</w:t>
            </w:r>
          </w:p>
        </w:tc>
        <w:tc>
          <w:tcPr>
            <w:tcW w:w="1288" w:type="dxa"/>
          </w:tcPr>
          <w:p>
            <w:pPr>
              <w:pStyle w:val="CeldaAPA"/>
              <w:jc w:val="left"/>
            </w:pPr>
            <w:r>
              <w:rPr/>
              <w:t xml:space="preserve">Chile</w:t>
            </w:r>
          </w:p>
        </w:tc>
        <w:tc>
          <w:tcPr>
            <w:tcW w:w="2019" w:type="dxa"/>
          </w:tcPr>
          <w:p>
            <w:pPr>
              <w:pStyle w:val="CeldaAPA"/>
              <w:jc w:val="left"/>
            </w:pPr>
            <w:r>
              <w:rPr/>
              <w:t xml:space="preserve">Encuesta a 118 personas de 11 constructoras certificadas</w:t>
            </w:r>
          </w:p>
        </w:tc>
        <w:tc>
          <w:tcPr>
            <w:tcW w:w="1925" w:type="dxa"/>
          </w:tcPr>
          <w:p>
            <w:pPr>
              <w:pStyle w:val="CeldaAPA"/>
              <w:jc w:val="left"/>
            </w:pPr>
            <w:r>
              <w:rPr/>
              <w:t xml:space="preserve">Principios cumplidos en parte; 39 % ve las no conformidades como castigo</w:t>
            </w:r>
          </w:p>
        </w:tc>
        <w:tc>
          <w:tcPr>
            <w:tcW w:w="1767" w:type="dxa"/>
          </w:tcPr>
          <w:p>
            <w:pPr>
              <w:pStyle w:val="CeldaAPA"/>
              <w:jc w:val="left"/>
            </w:pPr>
            <w:r>
              <w:rPr/>
              <w:t xml:space="preserve">Riesgo de un SGC «de papel»</w:t>
            </w:r>
          </w:p>
        </w:tc>
      </w:tr>
      <w:tr>
        <w:tc>
          <w:tcPr>
            <w:tcW w:w="2540" w:type="dxa"/>
          </w:tcPr>
          <w:p>
            <w:pPr>
              <w:pStyle w:val="CeldaAPA"/>
              <w:jc w:val="left"/>
            </w:pPr>
            <w:r>
              <w:rPr/>
              <w:t xml:space="preserve">Muro Núñez (2020)</w:t>
            </w:r>
          </w:p>
        </w:tc>
        <w:tc>
          <w:tcPr>
            <w:tcW w:w="1288" w:type="dxa"/>
          </w:tcPr>
          <w:p>
            <w:pPr>
              <w:pStyle w:val="CeldaAPA"/>
              <w:jc w:val="left"/>
            </w:pPr>
            <w:r>
              <w:rPr/>
              <w:t xml:space="preserve">Perú</w:t>
            </w:r>
          </w:p>
        </w:tc>
        <w:tc>
          <w:tcPr>
            <w:tcW w:w="2019" w:type="dxa"/>
          </w:tcPr>
          <w:p>
            <w:pPr>
              <w:pStyle w:val="CeldaAPA"/>
              <w:jc w:val="left"/>
            </w:pPr>
            <w:r>
              <w:rPr/>
              <w:t xml:space="preserve">Plan de calidad con PPI en una estructura; 15 operaciones</w:t>
            </w:r>
          </w:p>
        </w:tc>
        <w:tc>
          <w:tcPr>
            <w:tcW w:w="1925" w:type="dxa"/>
          </w:tcPr>
          <w:p>
            <w:pPr>
              <w:pStyle w:val="CeldaAPA"/>
              <w:jc w:val="left"/>
            </w:pPr>
            <w:r>
              <w:rPr/>
              <w:t xml:space="preserve">96 no conformidades (76 % por mano de obra); costo de la calidad: 0,55 %</w:t>
            </w:r>
          </w:p>
        </w:tc>
        <w:tc>
          <w:tcPr>
            <w:tcW w:w="1767" w:type="dxa"/>
          </w:tcPr>
          <w:p>
            <w:pPr>
              <w:pStyle w:val="CeldaAPA"/>
              <w:jc w:val="left"/>
            </w:pPr>
            <w:r>
              <w:rPr/>
              <w:t xml:space="preserve">PPI con puntos de parada</w:t>
            </w:r>
          </w:p>
        </w:tc>
      </w:tr>
      <w:tr>
        <w:tc>
          <w:tcPr>
            <w:tcW w:w="2540" w:type="dxa"/>
          </w:tcPr>
          <w:p>
            <w:pPr>
              <w:pStyle w:val="CeldaAPA"/>
              <w:jc w:val="left"/>
            </w:pPr>
            <w:r>
              <w:rPr/>
              <w:t xml:space="preserve">Capcha Canaza (2016)</w:t>
            </w:r>
          </w:p>
        </w:tc>
        <w:tc>
          <w:tcPr>
            <w:tcW w:w="1288" w:type="dxa"/>
          </w:tcPr>
          <w:p>
            <w:pPr>
              <w:pStyle w:val="CeldaAPA"/>
              <w:jc w:val="left"/>
            </w:pPr>
            <w:r>
              <w:rPr/>
              <w:t xml:space="preserve">Bolivia</w:t>
            </w:r>
          </w:p>
        </w:tc>
        <w:tc>
          <w:tcPr>
            <w:tcW w:w="2019" w:type="dxa"/>
          </w:tcPr>
          <w:p>
            <w:pPr>
              <w:pStyle w:val="CeldaAPA"/>
              <w:jc w:val="left"/>
            </w:pPr>
            <w:r>
              <w:rPr/>
              <w:t xml:space="preserve">Certificación NB 997 y SGC de PREVITEC</w:t>
            </w:r>
          </w:p>
        </w:tc>
        <w:tc>
          <w:tcPr>
            <w:tcW w:w="1925" w:type="dxa"/>
          </w:tcPr>
          <w:p>
            <w:pPr>
              <w:pStyle w:val="CeldaAPA"/>
              <w:jc w:val="left"/>
            </w:pPr>
            <w:r>
              <w:rPr/>
              <w:t xml:space="preserve">Incumplimiento de la NB 997: 88 %</w:t>
            </w:r>
          </w:p>
        </w:tc>
        <w:tc>
          <w:tcPr>
            <w:tcW w:w="1767" w:type="dxa"/>
          </w:tcPr>
          <w:p>
            <w:pPr>
              <w:pStyle w:val="CeldaAPA"/>
              <w:jc w:val="left"/>
            </w:pPr>
            <w:r>
              <w:rPr/>
              <w:t xml:space="preserve">Recepción de viguetas por lote</w:t>
            </w:r>
          </w:p>
        </w:tc>
      </w:tr>
      <w:tr>
        <w:tc>
          <w:tcPr>
            <w:tcW w:w="2540" w:type="dxa"/>
          </w:tcPr>
          <w:p>
            <w:pPr>
              <w:pStyle w:val="CeldaAPA"/>
              <w:jc w:val="left"/>
            </w:pPr>
            <w:r>
              <w:rPr/>
              <w:t xml:space="preserve">Pajarito Mamani (2015)</w:t>
            </w:r>
          </w:p>
        </w:tc>
        <w:tc>
          <w:tcPr>
            <w:tcW w:w="1288" w:type="dxa"/>
          </w:tcPr>
          <w:p>
            <w:pPr>
              <w:pStyle w:val="CeldaAPA"/>
              <w:jc w:val="left"/>
            </w:pPr>
            <w:r>
              <w:rPr/>
              <w:t xml:space="preserve">Bolivia</w:t>
            </w:r>
          </w:p>
        </w:tc>
        <w:tc>
          <w:tcPr>
            <w:tcW w:w="2019" w:type="dxa"/>
          </w:tcPr>
          <w:p>
            <w:pPr>
              <w:pStyle w:val="CeldaAPA"/>
              <w:jc w:val="left"/>
            </w:pPr>
            <w:r>
              <w:rPr/>
              <w:t xml:space="preserve">Diagnóstico antes y después del SGC de TENSOCRET</w:t>
            </w:r>
          </w:p>
        </w:tc>
        <w:tc>
          <w:tcPr>
            <w:tcW w:w="1925" w:type="dxa"/>
          </w:tcPr>
          <w:p>
            <w:pPr>
              <w:pStyle w:val="CeldaAPA"/>
              <w:jc w:val="left"/>
            </w:pPr>
            <w:r>
              <w:rPr/>
              <w:t xml:space="preserve">Cumplimiento de 33,43 % a 81 %; fallas estimadas de Bs 35.950 a Bs 16.943,75 al año</w:t>
            </w:r>
          </w:p>
        </w:tc>
        <w:tc>
          <w:tcPr>
            <w:tcW w:w="1767" w:type="dxa"/>
          </w:tcPr>
          <w:p>
            <w:pPr>
              <w:pStyle w:val="CeldaAPA"/>
              <w:jc w:val="left"/>
            </w:pPr>
            <w:r>
              <w:rPr/>
              <w:t xml:space="preserve">PAF con y sin SGC</w:t>
            </w:r>
          </w:p>
        </w:tc>
      </w:tr>
      <w:tr>
        <w:tc>
          <w:tcPr>
            <w:tcW w:w="2540" w:type="dxa"/>
          </w:tcPr>
          <w:p>
            <w:pPr>
              <w:pStyle w:val="CeldaAPA"/>
              <w:jc w:val="left"/>
            </w:pPr>
            <w:r>
              <w:rPr/>
              <w:t xml:space="preserve">Mamani Gutiérrez (2017)</w:t>
            </w:r>
          </w:p>
        </w:tc>
        <w:tc>
          <w:tcPr>
            <w:tcW w:w="1288" w:type="dxa"/>
          </w:tcPr>
          <w:p>
            <w:pPr>
              <w:pStyle w:val="CeldaAPA"/>
              <w:jc w:val="left"/>
            </w:pPr>
            <w:r>
              <w:rPr/>
              <w:t xml:space="preserve">Bolivia</w:t>
            </w:r>
          </w:p>
        </w:tc>
        <w:tc>
          <w:tcPr>
            <w:tcW w:w="2019" w:type="dxa"/>
          </w:tcPr>
          <w:p>
            <w:pPr>
              <w:pStyle w:val="CeldaAPA"/>
              <w:jc w:val="left"/>
            </w:pPr>
            <w:r>
              <w:rPr/>
              <w:t xml:space="preserve">Sistema integrado en la línea de viguetas de TECNOPOR</w:t>
            </w:r>
          </w:p>
        </w:tc>
        <w:tc>
          <w:tcPr>
            <w:tcW w:w="1925" w:type="dxa"/>
          </w:tcPr>
          <w:p>
            <w:pPr>
              <w:pStyle w:val="CeldaAPA"/>
              <w:jc w:val="left"/>
            </w:pPr>
            <w:r>
              <w:rPr/>
              <w:t xml:space="preserve">Cumplimiento ISO 9001 de 12 %; de 86 % a 94 % tras implantarlo</w:t>
            </w:r>
          </w:p>
        </w:tc>
        <w:tc>
          <w:tcPr>
            <w:tcW w:w="1767" w:type="dxa"/>
          </w:tcPr>
          <w:p>
            <w:pPr>
              <w:pStyle w:val="CeldaAPA"/>
              <w:jc w:val="left"/>
            </w:pPr>
            <w:r>
              <w:rPr/>
              <w:t xml:space="preserve">Brecha aun con NB 997</w:t>
            </w:r>
          </w:p>
        </w:tc>
      </w:tr>
      <w:tr>
        <w:tc>
          <w:tcPr>
            <w:tcW w:w="2540" w:type="dxa"/>
          </w:tcPr>
          <w:p>
            <w:pPr>
              <w:pStyle w:val="CeldaAPA"/>
              <w:jc w:val="left"/>
            </w:pPr>
            <w:r>
              <w:rPr/>
              <w:t xml:space="preserve">Peña Callisaya (2024)</w:t>
            </w:r>
          </w:p>
        </w:tc>
        <w:tc>
          <w:tcPr>
            <w:tcW w:w="1288" w:type="dxa"/>
          </w:tcPr>
          <w:p>
            <w:pPr>
              <w:pStyle w:val="CeldaAPA"/>
              <w:jc w:val="left"/>
            </w:pPr>
            <w:r>
              <w:rPr/>
              <w:t xml:space="preserve">Bolivia</w:t>
            </w:r>
          </w:p>
        </w:tc>
        <w:tc>
          <w:tcPr>
            <w:tcW w:w="2019" w:type="dxa"/>
          </w:tcPr>
          <w:p>
            <w:pPr>
              <w:pStyle w:val="CeldaAPA"/>
              <w:jc w:val="left"/>
            </w:pPr>
            <w:r>
              <w:rPr/>
              <w:t xml:space="preserve">Diagnóstico y diseño del SGC de ISOCRET</w:t>
            </w:r>
          </w:p>
        </w:tc>
        <w:tc>
          <w:tcPr>
            <w:tcW w:w="1925" w:type="dxa"/>
          </w:tcPr>
          <w:p>
            <w:pPr>
              <w:pStyle w:val="CeldaAPA"/>
              <w:jc w:val="left"/>
            </w:pPr>
            <w:r>
              <w:rPr/>
              <w:t xml:space="preserve">Cumplimiento de 43 %; B/C de 1,24</w:t>
            </w:r>
          </w:p>
        </w:tc>
        <w:tc>
          <w:tcPr>
            <w:tcW w:w="1767" w:type="dxa"/>
          </w:tcPr>
          <w:p>
            <w:pPr>
              <w:pStyle w:val="CeldaAPA"/>
              <w:jc w:val="left"/>
            </w:pPr>
            <w:r>
              <w:rPr/>
              <w:t xml:space="preserve">Liberación de viguetas</w:t>
            </w:r>
          </w:p>
        </w:tc>
      </w:tr>
      <w:tr>
        <w:tc>
          <w:tcPr>
            <w:tcW w:w="2540" w:type="dxa"/>
          </w:tcPr>
          <w:p>
            <w:pPr>
              <w:pStyle w:val="CeldaAPA"/>
              <w:jc w:val="left"/>
            </w:pPr>
            <w:r>
              <w:rPr/>
              <w:t xml:space="preserve">Mamani Calsina (2025)</w:t>
            </w:r>
          </w:p>
        </w:tc>
        <w:tc>
          <w:tcPr>
            <w:tcW w:w="1288" w:type="dxa"/>
          </w:tcPr>
          <w:p>
            <w:pPr>
              <w:pStyle w:val="CeldaAPA"/>
              <w:jc w:val="left"/>
            </w:pPr>
            <w:r>
              <w:rPr/>
              <w:t xml:space="preserve">Bolivia</w:t>
            </w:r>
          </w:p>
        </w:tc>
        <w:tc>
          <w:tcPr>
            <w:tcW w:w="2019" w:type="dxa"/>
          </w:tcPr>
          <w:p>
            <w:pPr>
              <w:pStyle w:val="CeldaAPA"/>
              <w:jc w:val="left"/>
            </w:pPr>
            <w:r>
              <w:rPr/>
              <w:t xml:space="preserve">Lista de verificación y diseño del SGC de PRENSOCRET</w:t>
            </w:r>
          </w:p>
        </w:tc>
        <w:tc>
          <w:tcPr>
            <w:tcW w:w="1925" w:type="dxa"/>
          </w:tcPr>
          <w:p>
            <w:pPr>
              <w:pStyle w:val="CeldaAPA"/>
              <w:jc w:val="left"/>
            </w:pPr>
            <w:r>
              <w:rPr/>
              <w:t xml:space="preserve">Cumplimiento de 24 % (cláusula 9: 11 %); B/C de 1,11</w:t>
            </w:r>
          </w:p>
        </w:tc>
        <w:tc>
          <w:tcPr>
            <w:tcW w:w="1767" w:type="dxa"/>
          </w:tcPr>
          <w:p>
            <w:pPr>
              <w:pStyle w:val="CeldaAPA"/>
              <w:jc w:val="left"/>
            </w:pPr>
            <w:r>
              <w:rPr/>
              <w:t xml:space="preserve">Diagnóstico de brechas</w:t>
            </w:r>
          </w:p>
        </w:tc>
      </w:tr>
      <w:tr>
        <w:tc>
          <w:tcPr>
            <w:tcW w:w="9539" w:type="dxa"/>
            <w:gridSpan w:val="5"/>
          </w:tcPr>
          <w:p>
            <w:pPr>
              <w:pStyle w:val="CeldaAPA"/>
              <w:jc w:val="left"/>
            </w:pPr>
            <w:r>
              <w:rPr>
                <w:iCs/>
                <w:i/>
              </w:rPr>
              <w:t xml:space="preserve">(d) Losas con viguetas pretensadas</w:t>
            </w:r>
          </w:p>
        </w:tc>
      </w:tr>
      <w:tr>
        <w:tc>
          <w:tcPr>
            <w:tcW w:w="2540" w:type="dxa"/>
          </w:tcPr>
          <w:p>
            <w:pPr>
              <w:pStyle w:val="CeldaAPA"/>
              <w:jc w:val="left"/>
            </w:pPr>
            <w:r>
              <w:rPr/>
              <w:t xml:space="preserve">Alcón Aranda (2009)</w:t>
            </w:r>
          </w:p>
        </w:tc>
        <w:tc>
          <w:tcPr>
            <w:tcW w:w="1288" w:type="dxa"/>
          </w:tcPr>
          <w:p>
            <w:pPr>
              <w:pStyle w:val="CeldaAPA"/>
              <w:jc w:val="left"/>
            </w:pPr>
            <w:r>
              <w:rPr/>
              <w:t xml:space="preserve">Bolivia</w:t>
            </w:r>
          </w:p>
        </w:tc>
        <w:tc>
          <w:tcPr>
            <w:tcW w:w="2019" w:type="dxa"/>
          </w:tcPr>
          <w:p>
            <w:pPr>
              <w:pStyle w:val="CeldaAPA"/>
              <w:jc w:val="left"/>
            </w:pPr>
            <w:r>
              <w:rPr/>
              <w:t xml:space="preserve">Fabricación en planta y aplicación en obra</w:t>
            </w:r>
          </w:p>
        </w:tc>
        <w:tc>
          <w:tcPr>
            <w:tcW w:w="1925" w:type="dxa"/>
          </w:tcPr>
          <w:p>
            <w:pPr>
              <w:pStyle w:val="CeldaAPA"/>
              <w:jc w:val="left"/>
            </w:pPr>
            <w:r>
              <w:rPr/>
              <w:t xml:space="preserve">Viguetas:</w:t>
            </w:r>
            <w:r>
              <w:rPr/>
              <w:t xml:space="preserve"> </w:t>
            </w:r>
            <m:oMath>
              <m:sSub>
                <m:e>
                  <m:r>
                    <m:t>f</m:t>
                  </m:r>
                </m:e>
                <m:sub>
                  <m:r>
                    <m:t>m</m:t>
                  </m:r>
                </m:sub>
              </m:sSub>
              <m:r>
                <m:rPr>
                  <m:sty m:val="p"/>
                </m:rPr>
                <m:t>=</m:t>
              </m:r>
              <m:r>
                <m:t>443</m:t>
              </m:r>
              <m:r>
                <m:rPr>
                  <m:sty m:val="p"/>
                </m:rPr>
                <m:t>,</m:t>
              </m:r>
              <m:r>
                <m:t>50</m:t>
              </m:r>
            </m:oMath>
            <w:r>
              <w:rPr/>
              <w:t xml:space="preserve"> kg/cm</w:t>
            </w:r>
            <w:r>
              <w:rPr>
                <w:vertAlign w:val="superscript"/>
              </w:rPr>
              <w:t xml:space="preserve">2</w:t>
            </w:r>
            <w:r>
              <w:rPr/>
              <w:t xml:space="preserve">,</w:t>
            </w:r>
            <w:r>
              <w:rPr/>
              <w:t xml:space="preserve"> </w:t>
            </w:r>
            <m:oMath>
              <m:r>
                <m:t>S</m:t>
              </m:r>
              <m:r>
                <m:rPr>
                  <m:sty m:val="p"/>
                </m:rPr>
                <m:t>=</m:t>
              </m:r>
              <m:r>
                <m:t>25</m:t>
              </m:r>
              <m:r>
                <m:rPr>
                  <m:sty m:val="p"/>
                </m:rPr>
                <m:t>,</m:t>
              </m:r>
              <m:r>
                <m:t>97</m:t>
              </m:r>
            </m:oMath>
            <w:r>
              <w:rPr/>
              <w:t xml:space="preserve"> kg/cm</w:t>
            </w:r>
            <w:r>
              <w:rPr>
                <w:vertAlign w:val="superscript"/>
              </w:rPr>
              <w:t xml:space="preserve">2</w:t>
            </w:r>
          </w:p>
        </w:tc>
        <w:tc>
          <w:tcPr>
            <w:tcW w:w="1767" w:type="dxa"/>
          </w:tcPr>
          <w:p>
            <w:pPr>
              <w:pStyle w:val="CeldaAPA"/>
              <w:jc w:val="left"/>
            </w:pPr>
            <w:r>
              <w:rPr/>
              <w:t xml:space="preserve">Recepción y consumos por m</w:t>
            </w:r>
            <w:r>
              <w:rPr>
                <w:vertAlign w:val="superscript"/>
              </w:rPr>
              <w:t xml:space="preserve">2</w:t>
            </w:r>
          </w:p>
        </w:tc>
      </w:tr>
      <w:tr>
        <w:tc>
          <w:tcPr>
            <w:tcW w:w="2540" w:type="dxa"/>
          </w:tcPr>
          <w:p>
            <w:pPr>
              <w:pStyle w:val="CeldaAPA"/>
              <w:jc w:val="left"/>
            </w:pPr>
            <w:r>
              <w:rPr/>
              <w:t xml:space="preserve">Castañeda Briceño (2017)</w:t>
            </w:r>
          </w:p>
        </w:tc>
        <w:tc>
          <w:tcPr>
            <w:tcW w:w="1288" w:type="dxa"/>
          </w:tcPr>
          <w:p>
            <w:pPr>
              <w:pStyle w:val="CeldaAPA"/>
              <w:jc w:val="left"/>
            </w:pPr>
            <w:r>
              <w:rPr/>
              <w:t xml:space="preserve">Perú</w:t>
            </w:r>
          </w:p>
        </w:tc>
        <w:tc>
          <w:tcPr>
            <w:tcW w:w="2019" w:type="dxa"/>
          </w:tcPr>
          <w:p>
            <w:pPr>
              <w:pStyle w:val="CeldaAPA"/>
              <w:jc w:val="left"/>
            </w:pPr>
            <w:r>
              <w:rPr/>
              <w:t xml:space="preserve">Losa de 271,05 m</w:t>
            </w:r>
            <w:r>
              <w:rPr>
                <w:vertAlign w:val="superscript"/>
              </w:rPr>
              <w:t xml:space="preserve">2</w:t>
            </w:r>
            <w:r>
              <w:rPr/>
              <w:t xml:space="preserve"> </w:t>
            </w:r>
            <w:r>
              <w:rPr/>
              <w:t xml:space="preserve">frente a la aligerada convencional</w:t>
            </w:r>
          </w:p>
        </w:tc>
        <w:tc>
          <w:tcPr>
            <w:tcW w:w="1925" w:type="dxa"/>
          </w:tcPr>
          <w:p>
            <w:pPr>
              <w:pStyle w:val="CeldaAPA"/>
              <w:jc w:val="left"/>
            </w:pPr>
            <w:r>
              <w:rPr/>
              <w:t xml:space="preserve">Costo 27 % menor y tiempo 40 % menor</w:t>
            </w:r>
          </w:p>
        </w:tc>
        <w:tc>
          <w:tcPr>
            <w:tcW w:w="1767" w:type="dxa"/>
          </w:tcPr>
          <w:p>
            <w:pPr>
              <w:pStyle w:val="CeldaAPA"/>
              <w:jc w:val="left"/>
            </w:pPr>
            <w:r>
              <w:rPr/>
              <w:t xml:space="preserve">Ventajas del sistema</w:t>
            </w:r>
          </w:p>
        </w:tc>
      </w:tr>
      <w:tr>
        <w:tc>
          <w:tcPr>
            <w:tcW w:w="2540" w:type="dxa"/>
            <w:tcBorders>
              <w:bottom w:val="single" w:sz="8" w:space="0" w:color="000000"/>
            </w:tcBorders>
          </w:tcPr>
          <w:p>
            <w:pPr>
              <w:pStyle w:val="CeldaAPA"/>
              <w:jc w:val="left"/>
            </w:pPr>
            <w:r>
              <w:rPr/>
              <w:t xml:space="preserve">Cocarico Mamani (2022)</w:t>
            </w:r>
          </w:p>
        </w:tc>
        <w:tc>
          <w:tcPr>
            <w:tcW w:w="1288" w:type="dxa"/>
            <w:tcBorders>
              <w:bottom w:val="single" w:sz="8" w:space="0" w:color="000000"/>
            </w:tcBorders>
          </w:tcPr>
          <w:p>
            <w:pPr>
              <w:pStyle w:val="CeldaAPA"/>
              <w:jc w:val="left"/>
            </w:pPr>
            <w:r>
              <w:rPr/>
              <w:t xml:space="preserve">Bolivia</w:t>
            </w:r>
          </w:p>
        </w:tc>
        <w:tc>
          <w:tcPr>
            <w:tcW w:w="2019" w:type="dxa"/>
            <w:tcBorders>
              <w:bottom w:val="single" w:sz="8" w:space="0" w:color="000000"/>
            </w:tcBorders>
          </w:tcPr>
          <w:p>
            <w:pPr>
              <w:pStyle w:val="CeldaAPA"/>
              <w:jc w:val="left"/>
            </w:pPr>
            <w:r>
              <w:rPr/>
              <w:t xml:space="preserve">Dos modelos del Edificio Ares (25 niveles)</w:t>
            </w:r>
          </w:p>
        </w:tc>
        <w:tc>
          <w:tcPr>
            <w:tcW w:w="1925" w:type="dxa"/>
            <w:tcBorders>
              <w:bottom w:val="single" w:sz="8" w:space="0" w:color="000000"/>
            </w:tcBorders>
          </w:tcPr>
          <w:p>
            <w:pPr>
              <w:pStyle w:val="CeldaAPA"/>
              <w:jc w:val="left"/>
            </w:pPr>
            <w:r>
              <w:rPr/>
              <w:t xml:space="preserve">Losa postensada 2,53 % más económica que la de hormigón armado</w:t>
            </w:r>
          </w:p>
        </w:tc>
        <w:tc>
          <w:tcPr>
            <w:tcW w:w="1767" w:type="dxa"/>
            <w:tcBorders>
              <w:bottom w:val="single" w:sz="8" w:space="0" w:color="000000"/>
            </w:tcBorders>
          </w:tcPr>
          <w:p>
            <w:pPr>
              <w:pStyle w:val="CeldaAPA"/>
              <w:jc w:val="left"/>
            </w:pPr>
            <w:r>
              <w:rPr/>
              <w:t xml:space="preserve">Estructura boliviana del precio unitario</w:t>
            </w:r>
          </w:p>
        </w:tc>
      </w:tr>
    </w:tbl>
    <w:p>
      <w:pPr>
        <w:pStyle w:val="NotaAPA"/>
      </w:pPr>
      <w:r>
        <w:rPr>
          <w:iCs/>
          <w:i/>
        </w:rPr>
        <w:t xml:space="preserve">Nota.</w:t>
      </w:r>
      <w:r>
        <w:t xml:space="preserve"> </w:t>
      </w:r>
      <w:r>
        <w:t xml:space="preserve">Elaborado con base en las fuentes citadas en la tabla. PAF: prevención, evaluación y fallas; PPI: plan de puntos de inspección; B/C: relación beneficio/costo;</w:t>
      </w:r>
      <w:r>
        <w:t xml:space="preserve"> </w:t>
      </w:r>
      <m:oMath>
        <m:sSub>
          <m:e>
            <m:r>
              <m:t>f</m:t>
            </m:r>
          </m:e>
          <m:sub>
            <m:r>
              <m:t>m</m:t>
            </m:r>
          </m:sub>
        </m:sSub>
      </m:oMath>
      <w:r>
        <w:t xml:space="preserve">: resistencia media;</w:t>
      </w:r>
      <w:r>
        <w:t xml:space="preserve"> </w:t>
      </w:r>
      <m:oMath>
        <m:r>
          <m:t>S</m:t>
        </m:r>
      </m:oMath>
      <w:r>
        <w:t xml:space="preserve">: desviación típica.</w:t>
      </w:r>
    </w:p>
    <w:p>
      <w:pPr>
        <w:pStyle w:val="Heading3"/>
      </w:pPr>
      <w:bookmarkStart w:id="60" w:name="tit43"/>
      <w:r>
        <w:t xml:space="preserve">1.1.1. Calidad, retrabajo y costos de la calidad en la construcción</w:t>
      </w:r>
      <w:bookmarkEnd w:id="60"/>
    </w:p>
    <w:p>
      <w:pPr>
        <w:pStyle w:val="FirstParagraph"/>
      </w:pPr>
      <w:r>
        <w:t xml:space="preserve">Las cifras sobre el costo de la mala calidad varían en un orden de magnitud según qué se mide y cómo se mide. El retrabajo registrado en los informes de no conformidad de una constructora certificada fue del 2,75 % del valor original del contrato</w:t>
      </w:r>
      <w:r>
        <w:t xml:space="preserve"> </w:t>
      </w:r>
      <w:r>
        <w:t xml:space="preserve">(Forcada et al., 2017, p. 8)</w:t>
      </w:r>
      <w:r>
        <w:t xml:space="preserve">, mientras que un modelo que añade las fallas ocultas estimó un costo de la calidad del 12,76 % del costo total de 25 edificios</w:t>
      </w:r>
      <w:r>
        <w:t xml:space="preserve"> </w:t>
      </w:r>
      <w:r>
        <w:t xml:space="preserve">(Khadim et al., 2023, pp. 5420–5423)</w:t>
      </w:r>
      <w:r>
        <w:t xml:space="preserve">. Los dos resultados no se contradicen: el primero mide lo que captura un sistema de registro; el segundo muestra que la mayor parte del costo de las fallas nunca llega a registrarse. Sobre el efecto de la prevención, la evidencia es consistente en el signo, pero débil en la magnitud: la reducción de los reprocesos del 6,5 % al 0,72 % del valor del contrato en proyectos con SGC procede de promedios compilados de otros estudios, no de una medición en obra</w:t>
      </w:r>
      <w:r>
        <w:t xml:space="preserve"> </w:t>
      </w:r>
      <w:r>
        <w:t xml:space="preserve">(Álvarez Quintero, 2014, pp. 12, 20)</w:t>
      </w:r>
      <w:r>
        <w:t xml:space="preserve">. De este eje se derivan dos lecciones: los porcentajes no son comparables si no se declaran la base de cálculo y el alcance de las fallas consideradas, y siempre debe distinguirse lo medido de lo estimado (sección 1.4).</w:t>
      </w:r>
    </w:p>
    <w:p>
      <w:pPr>
        <w:pStyle w:val="Heading3"/>
      </w:pPr>
      <w:bookmarkStart w:id="61" w:name="tit44"/>
      <w:r>
        <w:t xml:space="preserve">1.1.2. Desperdicio de materiales y su medición</w:t>
      </w:r>
      <w:bookmarkEnd w:id="61"/>
    </w:p>
    <w:p>
      <w:pPr>
        <w:pStyle w:val="FirstParagraph"/>
      </w:pPr>
      <w:r>
        <w:t xml:space="preserve">Formoso et al. (1999, pp. 326–327)</w:t>
      </w:r>
      <w:r>
        <w:t xml:space="preserve"> </w:t>
      </w:r>
      <w:r>
        <w:t xml:space="preserve">sintetizaron los estudios brasileños previos en tres constataciones que la literatura posterior confirma: el desperdicio real es muy superior a los porcentajes nominales de los presupuestos; varía mucho incluso entre obras similares, lo que indica que en gran parte es evitable; y sus causas están más en el sistema de gestión que en la falta de calificación de los trabajadores. Las mediciones posteriores lo corroboran. Las pérdidas reales de hormigón superaron ampliamente el desperdicio previsto en el presupuesto</w:t>
      </w:r>
      <w:r>
        <w:t xml:space="preserve"> </w:t>
      </w:r>
      <w:r>
        <w:t xml:space="preserve">(Ruiz Muñoz y Rojas Bonilla, 2018, pp. 33, 69)</w:t>
      </w:r>
      <w:r>
        <w:t xml:space="preserve">, y los índices bajaron a una fracción de los obtenidos sin control cuando se limitaron los pedidos de hormigón</w:t>
      </w:r>
      <w:r>
        <w:t xml:space="preserve"> </w:t>
      </w:r>
      <w:r>
        <w:t xml:space="preserve">(Galarza Meza, 2011, pp. 53, 73)</w:t>
      </w:r>
      <w:r>
        <w:t xml:space="preserve"> </w:t>
      </w:r>
      <w:r>
        <w:t xml:space="preserve">o se aplicó el despiece previo del acero</w:t>
      </w:r>
      <w:r>
        <w:t xml:space="preserve"> </w:t>
      </w:r>
      <w:r>
        <w:t xml:space="preserve">(Chino Quispe y Zarate Chilqquetuma, 2024, pp. 147, 169)</w:t>
      </w:r>
      <w:r>
        <w:t xml:space="preserve">. Estos trabajos coinciden en el método —comparar la cantidad consumida, según guías de compra, registros de almacén o vales de salida, con la cantidad teórica de los planos— y en su limitación: los índices dependen de la calidad de los registros y no se pueden extrapolar de una obra a otra</w:t>
      </w:r>
      <w:r>
        <w:t xml:space="preserve"> </w:t>
      </w:r>
      <w:r>
        <w:t xml:space="preserve">(Galarza Meza, 2011, p. 39)</w:t>
      </w:r>
      <w:r>
        <w:t xml:space="preserve">. Ninguno mide el desperdicio de viguetas pretensadas ni de complementos de poliestireno expandido.</w:t>
      </w:r>
    </w:p>
    <w:p>
      <w:pPr>
        <w:pStyle w:val="Heading3"/>
      </w:pPr>
      <w:bookmarkStart w:id="62" w:name="tit45"/>
      <w:r>
        <w:t xml:space="preserve">1.1.3. Sistemas y planes de gestión de la calidad en obras y en fabricantes de viguetas</w:t>
      </w:r>
      <w:bookmarkEnd w:id="62"/>
    </w:p>
    <w:p>
      <w:pPr>
        <w:pStyle w:val="FirstParagraph"/>
      </w:pPr>
      <w:r>
        <w:t xml:space="preserve">En las constructoras, los beneficios de la certificación ISO 9001 son reales, pero graduales y condicionados a una implantación efectiva: dependen de la antigüedad de la certificación y no del tamaño de la empresa</w:t>
      </w:r>
      <w:r>
        <w:t xml:space="preserve"> </w:t>
      </w:r>
      <w:r>
        <w:t xml:space="preserve">(Prado-Román et al., 2018, pp. 161–164)</w:t>
      </w:r>
      <w:r>
        <w:t xml:space="preserve">, y conviven con prácticas débiles, como el escaso rechazo de los materiales no conformes</w:t>
      </w:r>
      <w:r>
        <w:t xml:space="preserve"> </w:t>
      </w:r>
      <w:r>
        <w:t xml:space="preserve">(Shaikh y Sohu, 2020, pp. 1139–1140)</w:t>
      </w:r>
      <w:r>
        <w:t xml:space="preserve"> </w:t>
      </w:r>
      <w:r>
        <w:t xml:space="preserve">o sistemas que «funcionan en el papel»</w:t>
      </w:r>
      <w:r>
        <w:t xml:space="preserve"> </w:t>
      </w:r>
      <w:r>
        <w:t xml:space="preserve">(Romero y Serpell, 2007, pp. 202, 209)</w:t>
      </w:r>
      <w:r>
        <w:t xml:space="preserve">. En las obras, los planes de la calidad con puntos de inspección producen resultados medibles a bajo costo: en la estructura de un centro comercial se registraron 96 no conformidades con un costo total de la calidad del 0,55 % del presupuesto</w:t>
      </w:r>
      <w:r>
        <w:t xml:space="preserve"> </w:t>
      </w:r>
      <w:r>
        <w:t xml:space="preserve">(Muro Núñez, 2020, pp. 16–17, 49)</w:t>
      </w:r>
      <w:r>
        <w:t xml:space="preserve">. En cambio, el 80 % de los proyectos analizados por</w:t>
      </w:r>
      <w:r>
        <w:t xml:space="preserve"> </w:t>
      </w:r>
      <w:r>
        <w:t xml:space="preserve">Gudiel Cairampoma y Solis Puente (2020, p. 80)</w:t>
      </w:r>
      <w:r>
        <w:t xml:space="preserve"> </w:t>
      </w:r>
      <w:r>
        <w:t xml:space="preserve">no tenía plan de calidad.</w:t>
      </w:r>
    </w:p>
    <w:p>
      <w:pPr>
        <w:pStyle w:val="BodyText"/>
      </w:pPr>
      <w:r>
        <w:t xml:space="preserve">En Bolivia, los SGC estudiados corresponden a fabricantes de viguetas y de complementos. Sus diagnósticos iniciales muestran un cumplimiento bajo de la norma (Tabla 6), con la evaluación del desempeño como el requisito más débil</w:t>
      </w:r>
      <w:r>
        <w:t xml:space="preserve"> </w:t>
      </w:r>
      <w:r>
        <w:t xml:space="preserve">(Mamani Calsina, 2025, p. 48)</w:t>
      </w:r>
      <w:r>
        <w:t xml:space="preserve"> </w:t>
      </w:r>
      <w:r>
        <w:t xml:space="preserve">(Pajarito Mamani, 2015, p. 77)</w:t>
      </w:r>
      <w:r>
        <w:t xml:space="preserve">. Solo dos trabajos repitieron el diagnóstico después de implantar el sistema, con mediciones de las propias autoras</w:t>
      </w:r>
      <w:r>
        <w:t xml:space="preserve"> </w:t>
      </w:r>
      <w:r>
        <w:t xml:space="preserve">(Pajarito Mamani, 2015, p. 134)</w:t>
      </w:r>
      <w:r>
        <w:t xml:space="preserve"> </w:t>
      </w:r>
      <w:r>
        <w:t xml:space="preserve">(Mamani Gutiérrez, 2017, p. 130)</w:t>
      </w:r>
      <w:r>
        <w:t xml:space="preserve">, y los efectos económicos son, en su mayoría, proyecciones:</w:t>
      </w:r>
      <w:r>
        <w:t xml:space="preserve"> </w:t>
      </w:r>
      <w:r>
        <w:t xml:space="preserve">Mamani Calsina (2025, p. 110)</w:t>
      </w:r>
      <w:r>
        <w:t xml:space="preserve"> </w:t>
      </w:r>
      <w:r>
        <w:t xml:space="preserve">supone que el SGC elimina por completo las fallas, y</w:t>
      </w:r>
      <w:r>
        <w:t xml:space="preserve"> </w:t>
      </w:r>
      <w:r>
        <w:t xml:space="preserve">Pajarito Mamani (2015, pp. 142–143)</w:t>
      </w:r>
      <w:r>
        <w:t xml:space="preserve"> </w:t>
      </w:r>
      <w:r>
        <w:t xml:space="preserve">estima que los costos de falla bajarían un 52,9 % (cálculo propio), aunque advierte el riesgo de un «sistema de gestión de calidad de papel»</w:t>
      </w:r>
      <w:r>
        <w:t xml:space="preserve"> </w:t>
      </w:r>
      <w:r>
        <w:t xml:space="preserve">(Pajarito Mamani, 2015, p. 148)</w:t>
      </w:r>
      <w:r>
        <w:t xml:space="preserve">.</w:t>
      </w:r>
    </w:p>
    <w:p>
      <w:pPr>
        <w:pStyle w:val="Heading3"/>
      </w:pPr>
      <w:bookmarkStart w:id="63" w:name="tit46"/>
      <w:r>
        <w:t xml:space="preserve">1.1.4. Losas alivianadas con viguetas pretensadas</w:t>
      </w:r>
      <w:bookmarkEnd w:id="63"/>
    </w:p>
    <w:p>
      <w:pPr>
        <w:pStyle w:val="FirstParagraph"/>
      </w:pPr>
      <w:r>
        <w:t xml:space="preserve">Los estudios sobre el sistema se centran en la fabricación de las viguetas y en comparaciones técnico-económicas.</w:t>
      </w:r>
      <w:r>
        <w:t xml:space="preserve"> </w:t>
      </w:r>
      <w:r>
        <w:t xml:space="preserve">Alcón Aranda (2009, pp. 58, 150)</w:t>
      </w:r>
      <w:r>
        <w:t xml:space="preserve"> </w:t>
      </w:r>
      <w:r>
        <w:t xml:space="preserve">encontró un control excelente del hormigón de las viguetas en planta y una calidad del producto en obra que dependió de la supervisión, y destacó la recepción como uno de los aspectos más importantes para la calidad</w:t>
      </w:r>
      <w:r>
        <w:t xml:space="preserve"> </w:t>
      </w:r>
      <w:r>
        <w:t xml:space="preserve">(Alcón Aranda, 2009, p. 115)</w:t>
      </w:r>
      <w:r>
        <w:t xml:space="preserve">.</w:t>
      </w:r>
      <w:r>
        <w:t xml:space="preserve"> </w:t>
      </w:r>
      <w:r>
        <w:t xml:space="preserve">Castañeda Briceño (2017, pp. 48–49)</w:t>
      </w:r>
      <w:r>
        <w:t xml:space="preserve"> </w:t>
      </w:r>
      <w:r>
        <w:t xml:space="preserve">reportó una losa 27 % más económica y 40 % más rápida que la aligerada convencional, aunque su afirmación de que es 14 % más liviana no concuerda con su propia tabla, que da una diferencia cercana al 4,3 % (cálculo propio).</w:t>
      </w:r>
      <w:r>
        <w:t xml:space="preserve"> </w:t>
      </w:r>
      <w:r>
        <w:t xml:space="preserve">Cocarico Mamani (2022, pp. 268–271)</w:t>
      </w:r>
      <w:r>
        <w:t xml:space="preserve"> </w:t>
      </w:r>
      <w:r>
        <w:t xml:space="preserve">comparó losas nervadas postensadas y de hormigón armado, no de viguetas prefabricadas; su aporte a esta tesis es la estructura boliviana del precio unitario (sección 1.8).</w:t>
      </w:r>
    </w:p>
    <w:p>
      <w:pPr>
        <w:pStyle w:val="Heading3"/>
      </w:pPr>
      <w:bookmarkStart w:id="64" w:name="tit47"/>
      <w:r>
        <w:t xml:space="preserve">1.1.5. Vacío de conocimiento</w:t>
      </w:r>
      <w:bookmarkEnd w:id="64"/>
    </w:p>
    <w:p>
      <w:pPr>
        <w:pStyle w:val="FirstParagraph"/>
      </w:pPr>
      <w:r>
        <w:t xml:space="preserve">La síntesis anterior permite delimitar el vacío de conocimiento en cuatro puntos:</w:t>
      </w:r>
    </w:p>
    <w:p>
      <w:pPr>
        <w:numPr>
          <w:ilvl w:val="0"/>
          <w:numId w:val="1006"/>
        </w:numPr>
      </w:pPr>
      <w:r>
        <w:t xml:space="preserve">La literatura sobre costos de la calidad y desperdicio de materiales es internacional y mide sobre todo hormigón, acero y mampostería; no se encontraron mediciones del desperdicio de viguetas ni de complementos de poliestireno expandido.</w:t>
      </w:r>
    </w:p>
    <w:p>
      <w:pPr>
        <w:numPr>
          <w:ilvl w:val="0"/>
          <w:numId w:val="1006"/>
        </w:numPr>
      </w:pPr>
      <w:r>
        <w:t xml:space="preserve">Las investigaciones bolivianas sobre SGC se refieren a plantas de fabricación de viguetas: evalúan el cumplimiento de la norma con listas de verificación y estiman los beneficios económicos con supuestos que no se contrastan.</w:t>
      </w:r>
    </w:p>
    <w:p>
      <w:pPr>
        <w:numPr>
          <w:ilvl w:val="0"/>
          <w:numId w:val="1006"/>
        </w:numPr>
      </w:pPr>
      <w:r>
        <w:t xml:space="preserve">Los estudios bolivianos sobre el sistema de losa tratan la fabricación del producto o comparan sistemas estructurales, sin analizar el control de la calidad durante la ejecución.</w:t>
      </w:r>
    </w:p>
    <w:p>
      <w:pPr>
        <w:numPr>
          <w:ilvl w:val="0"/>
          <w:numId w:val="1006"/>
        </w:numPr>
      </w:pPr>
      <w:r>
        <w:t xml:space="preserve">En el plano metodológico, varios antecedentes aceptan sus hipótesis sin un tratamiento de control ni una medida de la incertidumbre:</w:t>
      </w:r>
      <w:r>
        <w:t xml:space="preserve"> </w:t>
      </w:r>
      <w:r>
        <w:t xml:space="preserve">De la Vega Sernades (2023, p. 57)</w:t>
      </w:r>
      <w:r>
        <w:t xml:space="preserve"> </w:t>
      </w:r>
      <w:r>
        <w:t xml:space="preserve">da por correcta su hipótesis sin una línea base cuantificada, y</w:t>
      </w:r>
      <w:r>
        <w:t xml:space="preserve"> </w:t>
      </w:r>
      <w:r>
        <w:t xml:space="preserve">Mamani Gutiérrez (2017, p. 7)</w:t>
      </w:r>
      <w:r>
        <w:t xml:space="preserve"> </w:t>
      </w:r>
      <w:r>
        <w:t xml:space="preserve">la contrasta solo de forma cualitativa.</w:t>
      </w:r>
    </w:p>
    <w:p>
      <w:pPr>
        <w:pStyle w:val="FirstParagraph"/>
        <w:ind w:firstLine="0"/>
      </w:pPr>
      <w:r>
        <w:t xml:space="preserve"/>
      </w:r>
      <w:r>
        <w:t xml:space="preserve"/>
      </w:r>
      <w:r>
        <w:t xml:space="preserve">En consecuencia, no se encontraron estudios bolivianos que apliquen un SGC a la ejecución en obra de las losas alivianadas con viguetas pretensadas ni que cuantifiquen su efecto en el costo unitario y en el desperdicio de materiales. Esta tesis aborda ese vacío: diseña un SGC basado en la norma ISO 9001:2026 para el proceso constructivo de la losa, centrado en el control de materiales, y evalúa su efecto comparando un escenario de control (sin SGC) con uno de tratamiento (con SGC), con el cálculo explícito de la incertidumbre.</w:t>
      </w:r>
    </w:p>
    <w:p>
      <w:pPr>
        <w:pStyle w:val="Heading2"/>
      </w:pPr>
      <w:bookmarkStart w:id="69" w:name="tit48"/>
      <w:r>
        <w:t xml:space="preserve">1.2. La calidad en la construcción</w:t>
      </w:r>
      <w:bookmarkEnd w:id="69"/>
    </w:p>
    <w:p>
      <w:pPr>
        <w:pStyle w:val="Heading3"/>
      </w:pPr>
      <w:bookmarkStart w:id="66" w:name="tit49"/>
      <w:r>
        <w:t xml:space="preserve">1.2.1. Conceptos de calidad, control, aseguramiento y gestión de la calidad</w:t>
      </w:r>
      <w:bookmarkEnd w:id="66"/>
    </w:p>
    <w:p>
      <w:pPr>
        <w:pStyle w:val="FirstParagraph"/>
      </w:pPr>
      <w:r>
        <w:t xml:space="preserve">En el vocabulario de la familia de normas ISO 9000, la calidad es el grado en que un conjunto de características inherentes de un objeto cumple con los requisitos, y un requisito es una necesidad o expectativa establecida, generalmente implícita u obligatoria</w:t>
      </w:r>
      <w:r>
        <w:t xml:space="preserve"> </w:t>
      </w:r>
      <w:r>
        <w:t xml:space="preserve">(ISO, 2026a)</w:t>
      </w:r>
      <w:r>
        <w:t xml:space="preserve">; las tesis del repositorio recogen estas definiciones en su versión de 2015</w:t>
      </w:r>
      <w:r>
        <w:t xml:space="preserve"> </w:t>
      </w:r>
      <w:r>
        <w:t xml:space="preserve">(Mamani Calsina, 2025, pp. 21–22)</w:t>
      </w:r>
      <w:r>
        <w:t xml:space="preserve">. La definición es relativa: no hay una calidad absoluta, sino conformidad con requisitos definidos, idea más cercana a la de Crosby, «la conformidad con los requisitos», que a la de Juran, «la aptitud para el uso»</w:t>
      </w:r>
      <w:r>
        <w:t xml:space="preserve"> </w:t>
      </w:r>
      <w:r>
        <w:t xml:space="preserve">(Cepeda Godoy, 2017, pp. 24, 31)</w:t>
      </w:r>
      <w:r>
        <w:t xml:space="preserve">. En una obra, los requisitos están en los documentos de construcción, y la inspección consiste en observar, verificar y documentar la conformidad de los materiales y los trabajos con esos documentos</w:t>
      </w:r>
      <w:r>
        <w:t xml:space="preserve"> </w:t>
      </w:r>
      <w:r>
        <w:t xml:space="preserve">(ACI Committee 318, 2025, Sección 2.3, pp. 39, 43)</w:t>
      </w:r>
      <w:r>
        <w:t xml:space="preserve">. En la losa estudiada son requisitos, por ejemplo, un hormigón de 250 kg/cm</w:t>
      </w:r>
      <w:r>
        <w:rPr>
          <w:vertAlign w:val="superscript"/>
        </w:rPr>
        <w:t xml:space="preserve">2</w:t>
      </w:r>
      <w:r>
        <w:t xml:space="preserve"> </w:t>
      </w:r>
      <w:r>
        <w:t xml:space="preserve">con al menos 400 kg/m</w:t>
      </w:r>
      <w:r>
        <w:rPr>
          <w:vertAlign w:val="superscript"/>
        </w:rPr>
        <w:t xml:space="preserve">3</w:t>
      </w:r>
      <w:r>
        <w:t xml:space="preserve"> </w:t>
      </w:r>
      <w:r>
        <w:t xml:space="preserve">de cemento y viguetas con certificación de IBNORCA e ISO</w:t>
      </w:r>
      <w:r>
        <w:t xml:space="preserve"> </w:t>
      </w:r>
      <w:r>
        <w:t xml:space="preserve">(UATF, s. f.-a, p. 3)</w:t>
      </w:r>
      <w:r>
        <w:t xml:space="preserve">. A partir de esas definiciones se distinguen cuatro conceptos, de lo particular a lo general</w:t>
      </w:r>
      <w:r>
        <w:t xml:space="preserve"> </w:t>
      </w:r>
      <w:r>
        <w:t xml:space="preserve">(ISO, 2026a)</w:t>
      </w:r>
      <w:r>
        <w:t xml:space="preserve">:</w:t>
      </w:r>
    </w:p>
    <w:p>
      <w:pPr>
        <w:numPr>
          <w:ilvl w:val="0"/>
          <w:numId w:val="1007"/>
        </w:numPr>
      </w:pPr>
      <w:r>
        <w:t xml:space="preserve">El</w:t>
      </w:r>
      <w:r>
        <w:t xml:space="preserve"> </w:t>
      </w:r>
      <w:r>
        <w:rPr>
          <w:bCs/>
          <w:b/>
        </w:rPr>
        <w:t xml:space="preserve">control de la calidad</w:t>
      </w:r>
      <w:r>
        <w:t xml:space="preserve"> </w:t>
      </w:r>
      <w:r>
        <w:t xml:space="preserve">es la parte de la gestión de la calidad orientada a cumplir los requisitos: inspección, ensayos y decisión de aceptar o rechazar. Detecta, pero no previene.</w:t>
      </w:r>
    </w:p>
    <w:p>
      <w:pPr>
        <w:numPr>
          <w:ilvl w:val="0"/>
          <w:numId w:val="1007"/>
        </w:numPr>
      </w:pPr>
      <w:r>
        <w:t xml:space="preserve">El</w:t>
      </w:r>
      <w:r>
        <w:t xml:space="preserve"> </w:t>
      </w:r>
      <w:r>
        <w:rPr>
          <w:bCs/>
          <w:b/>
        </w:rPr>
        <w:t xml:space="preserve">aseguramiento de la calidad</w:t>
      </w:r>
      <w:r>
        <w:t xml:space="preserve"> </w:t>
      </w:r>
      <w:r>
        <w:t xml:space="preserve">es la parte orientada a dar confianza en que se cumplirán los requisitos, mediante acciones planificadas, sistemáticas y demostrables</w:t>
      </w:r>
      <w:r>
        <w:t xml:space="preserve"> </w:t>
      </w:r>
      <w:r>
        <w:t xml:space="preserve">(Alfaro Félix, 2011, p. 21)</w:t>
      </w:r>
      <w:r>
        <w:t xml:space="preserve">; es un control preventivo, que busca la certeza anticipada de que los materiales son los indicados</w:t>
      </w:r>
      <w:r>
        <w:t xml:space="preserve"> </w:t>
      </w:r>
      <w:r>
        <w:t xml:space="preserve">(Cajías Luna, 2023, p. 60)</w:t>
      </w:r>
      <w:r>
        <w:t xml:space="preserve">.</w:t>
      </w:r>
    </w:p>
    <w:p>
      <w:pPr>
        <w:numPr>
          <w:ilvl w:val="0"/>
          <w:numId w:val="1007"/>
        </w:numPr>
      </w:pPr>
      <w:r>
        <w:t xml:space="preserve">La</w:t>
      </w:r>
      <w:r>
        <w:t xml:space="preserve"> </w:t>
      </w:r>
      <w:r>
        <w:rPr>
          <w:bCs/>
          <w:b/>
        </w:rPr>
        <w:t xml:space="preserve">gestión de la calidad</w:t>
      </w:r>
      <w:r>
        <w:t xml:space="preserve"> </w:t>
      </w:r>
      <w:r>
        <w:t xml:space="preserve">comprende la política, los objetivos y los procesos para alcanzarlos mediante la planificación, el aseguramiento, el control y la mejora de la calidad.</w:t>
      </w:r>
    </w:p>
    <w:p>
      <w:pPr>
        <w:numPr>
          <w:ilvl w:val="0"/>
          <w:numId w:val="1007"/>
        </w:numPr>
      </w:pPr>
      <w:r>
        <w:t xml:space="preserve">El</w:t>
      </w:r>
      <w:r>
        <w:t xml:space="preserve"> </w:t>
      </w:r>
      <w:r>
        <w:rPr>
          <w:bCs/>
          <w:b/>
        </w:rPr>
        <w:t xml:space="preserve">sistema de gestión de la calidad</w:t>
      </w:r>
      <w:r>
        <w:t xml:space="preserve"> </w:t>
      </w:r>
      <w:r>
        <w:t xml:space="preserve">(SGC) es la parte del sistema de gestión de una organización que establece la política, los objetivos y los procesos para lograr resultados respecto de la calidad.</w:t>
      </w:r>
    </w:p>
    <w:p>
      <w:pPr>
        <w:pStyle w:val="FirstParagraph"/>
        <w:ind w:firstLine="0"/>
      </w:pPr>
      <w:r>
        <w:t xml:space="preserve"/>
      </w:r>
      <w:r>
        <w:t xml:space="preserve"/>
      </w:r>
      <w:r>
        <w:t xml:space="preserve">La diferencia entre control y aseguramiento se aprecia en el hormigón de una losa. Romper probetas a los 28 días es control: confirma o no la resistencia cuando el hormigón ya está colocado. Aprobar la dosificación antes de usarla y no autorizar el vaciado hasta verificar el armado es aseguramiento, porque da confianza antes de que el error ocurra.</w:t>
      </w:r>
    </w:p>
    <w:p>
      <w:pPr>
        <w:pStyle w:val="Heading3"/>
      </w:pPr>
      <w:bookmarkStart w:id="67" w:name="tit50"/>
      <w:r>
        <w:t xml:space="preserve">1.2.2. Evolución del enfoque de la calidad</w:t>
      </w:r>
      <w:bookmarkEnd w:id="67"/>
    </w:p>
    <w:p>
      <w:pPr>
        <w:pStyle w:val="FirstParagraph"/>
      </w:pPr>
      <w:r>
        <w:t xml:space="preserve">La forma de entender la calidad pasó de la inspección del producto terminado a la gestión de todo el sistema. A inicios del siglo XX la calidad se buscaba con la inspección final, que separaba lo aceptable de lo defectuoso a costa de rehacer o desechar</w:t>
      </w:r>
      <w:r>
        <w:t xml:space="preserve"> </w:t>
      </w:r>
      <w:r>
        <w:t xml:space="preserve">(Alfaro Félix, 2011, p. 9)</w:t>
      </w:r>
      <w:r>
        <w:t xml:space="preserve">; en 1924, Shewhart introdujo la carta de control, base del control estadístico de procesos</w:t>
      </w:r>
      <w:r>
        <w:t xml:space="preserve"> </w:t>
      </w:r>
      <w:r>
        <w:t xml:space="preserve">(Aguilar Caseux y Torres Benites, 2016, pp. 11–12)</w:t>
      </w:r>
      <w:r>
        <w:t xml:space="preserve">. En la posguerra, Deming difundió en Japón el ciclo planificar, hacer, verificar y actuar (PHVA) y propuso dejar de depender de la inspección masiva, y Juran organizó la gestión en planificación, control y mejora</w:t>
      </w:r>
      <w:r>
        <w:t xml:space="preserve"> </w:t>
      </w:r>
      <w:r>
        <w:t xml:space="preserve">(Aguilar Caseux y Torres Benites, 2016, pp. 14–19)</w:t>
      </w:r>
      <w:r>
        <w:t xml:space="preserve">. Feigenbaum extendió el control a todas las etapas, desde el diseño hasta la venta</w:t>
      </w:r>
      <w:r>
        <w:t xml:space="preserve"> </w:t>
      </w:r>
      <w:r>
        <w:t xml:space="preserve">(Alfaro Félix, 2011, p. 14)</w:t>
      </w:r>
      <w:r>
        <w:t xml:space="preserve">, y Crosby propuso la meta de cero defectos y el costo de la calidad como medida del desempeño</w:t>
      </w:r>
      <w:r>
        <w:t xml:space="preserve"> </w:t>
      </w:r>
      <w:r>
        <w:t xml:space="preserve">(Cepeda Godoy, 2017, pp. 29–30)</w:t>
      </w:r>
      <w:r>
        <w:t xml:space="preserve">. La serie ISO 9000 de 1987 normalizó modelos contractuales de aseguramiento entre cliente y proveedor</w:t>
      </w:r>
      <w:r>
        <w:t xml:space="preserve"> </w:t>
      </w:r>
      <w:r>
        <w:t xml:space="preserve">(Alfaro Félix, 2011, pp. 15–16)</w:t>
      </w:r>
      <w:r>
        <w:t xml:space="preserve">; la revisión del año 2000 pasó a la gestión basada en principios y en el enfoque a procesos</w:t>
      </w:r>
      <w:r>
        <w:t xml:space="preserve"> </w:t>
      </w:r>
      <w:r>
        <w:t xml:space="preserve">(Alfaro Félix, 2011, pp. 19–20)</w:t>
      </w:r>
      <w:r>
        <w:t xml:space="preserve">, y la de 2015 incorporó el enfoque basado en riesgos y la estructura de alto nivel común a las normas de sistemas de gestión</w:t>
      </w:r>
      <w:r>
        <w:t xml:space="preserve"> </w:t>
      </w:r>
      <w:r>
        <w:t xml:space="preserve">(Mamani Calsina, 2025, p. 20)</w:t>
      </w:r>
      <w:r>
        <w:t xml:space="preserve">. En la ejecución de una losa, ese tránsito equivale a pasar de revisar la losa terminada, cuando el defecto ya está incorporado, a controlar la recepción de los materiales, liberar cada paño antes del vaciado y mejorar de una losa a la siguiente.</w:t>
      </w:r>
    </w:p>
    <w:p>
      <w:pPr>
        <w:pStyle w:val="BodyText"/>
      </w:pPr>
      <w:r>
        <w:t xml:space="preserve">En la construcción esta evolución está incompleta. El modelo tradicional de gestión de proyectos mantiene un control de calidad ineficaz</w:t>
      </w:r>
      <w:r>
        <w:t xml:space="preserve"> </w:t>
      </w:r>
      <w:r>
        <w:t xml:space="preserve">(Pons Achell, 2014, p. 11)</w:t>
      </w:r>
      <w:r>
        <w:t xml:space="preserve">, y la inspección por sí sola no mejora las etapas previas, aunque entre el 60 % y el 70 % de los defectos se originan en fases como el diseño o la selección de proveedores y subcontratistas</w:t>
      </w:r>
      <w:r>
        <w:t xml:space="preserve"> </w:t>
      </w:r>
      <w:r>
        <w:t xml:space="preserve">(Alfaro Félix, 2011, p. 11)</w:t>
      </w:r>
      <w:r>
        <w:t xml:space="preserve">. En la primera losa del Edificio de Posgrado, el control se limitó a la verificación previa al vaciado, sin registros de recepción de materiales ni ensayos del hormigón de la losa (sección 2.5.2), una práctica propia de la etapa de inspección.</w:t>
      </w:r>
    </w:p>
    <w:p>
      <w:pPr>
        <w:pStyle w:val="Heading3"/>
      </w:pPr>
      <w:bookmarkStart w:id="68" w:name="tit51"/>
      <w:r>
        <w:t xml:space="preserve">1.2.3. Principios de la gestión de la calidad</w:t>
      </w:r>
      <w:bookmarkEnd w:id="68"/>
    </w:p>
    <w:p>
      <w:pPr>
        <w:pStyle w:val="FirstParagraph"/>
      </w:pPr>
      <w:r>
        <w:t xml:space="preserve">La gestión de la calidad se fundamenta en principios que orientan a la dirección. La edición 2000 de la norma enunciaba ocho</w:t>
      </w:r>
      <w:r>
        <w:t xml:space="preserve"> </w:t>
      </w:r>
      <w:r>
        <w:t xml:space="preserve">(Romero y Serpell, 2007, p. 199)</w:t>
      </w:r>
      <w:r>
        <w:t xml:space="preserve">, y la de 2015 los redujo a siete: enfoque al cliente, liderazgo, compromiso de las personas, enfoque a procesos, mejora, toma de decisiones basada en la evidencia y gestión de las relaciones</w:t>
      </w:r>
      <w:r>
        <w:t xml:space="preserve"> </w:t>
      </w:r>
      <w:r>
        <w:t xml:space="preserve">(Peña Callisaya, 2024, p. 59)</w:t>
      </w:r>
      <w:r>
        <w:t xml:space="preserve">. Esta tesis adopta esa formulación, que es la que recogen las fuentes del repositorio.</w:t>
      </w:r>
    </w:p>
    <w:p>
      <w:pPr>
        <w:pStyle w:val="BodyText"/>
      </w:pPr>
      <w:r>
        <w:t xml:space="preserve">Los principios no son requisitos verificables, sino fundamentos cuyo valor depende de que se apliquen: la norma solo produce beneficios cuando se implanta junto con el desarrollo interno de principios como la sistematización de los procesos, la mejora continua y la participación de toda la empresa</w:t>
      </w:r>
      <w:r>
        <w:t xml:space="preserve"> </w:t>
      </w:r>
      <w:r>
        <w:t xml:space="preserve">(Prado-Román et al., 2018, p. 152)</w:t>
      </w:r>
      <w:r>
        <w:t xml:space="preserve">. La Tabla 7 traduce cada principio a la ejecución de una losa alivianada.</w:t>
      </w:r>
    </w:p>
    <w:p>
      <w:pPr>
        <w:pStyle w:val="Caption"/>
      </w:pPr>
      <w:bookmarkStart w:id="1410" w:name="tab7"/>
      <w:r>
        <w:t xml:space="preserve"/>
      </w:r>
      <w:r>
        <w:rPr>
          <w:bCs/>
          <w:b/>
        </w:rPr>
        <w:t xml:space="preserve">Tabla 7</w:t>
      </w:r>
      <w:r>
        <w:br/>
      </w:r>
      <w:r>
        <w:rPr>
          <w:iCs/>
          <w:i/>
        </w:rPr>
        <w:t xml:space="preserve">Principios de la gestión de la calidad y su lectura en la ejecución de una losa</w:t>
      </w:r>
      <w:bookmarkEnd w:id="1410"/>
    </w:p>
    <w:tbl>
      <w:tblPr>
        <w:tblStyle w:val="Table"/>
        <w:tblW w:w="9360" w:type="dxa"/>
        <w:jc w:val="left"/>
        <w:tblLayout w:type="fixed"/>
        <w:tblCellMar>
          <w:top w:w="0" w:type="dxa"/>
          <w:left w:w="85" w:type="dxa"/>
          <w:bottom w:w="0" w:type="dxa"/>
          <w:right w:w="85" w:type="dxa"/>
        </w:tblCellMar>
        <w:tblLook w:firstRow="1" w:lastRow="0" w:firstColumn="0" w:lastColumn="0" w:noHBand="0" w:noVBand="0" w:val="0020"/>
      </w:tblPr>
      <w:tblGrid>
        <w:gridCol w:w="2057"/>
        <w:gridCol w:w="2785"/>
        <w:gridCol w:w="4518"/>
      </w:tblGrid>
      <w:tr>
        <w:trPr>
          <w:cantSplit/>
          <w:tblHeader w:val="true"/>
        </w:trPr>
        <w:tc>
          <w:tcPr>
            <w:tcW w:w="2057" w:type="dxa"/>
            <w:tcBorders>
              <w:top w:val="single" w:sz="8" w:space="0" w:color="000000"/>
              <w:bottom w:val="single" w:sz="4" w:space="0" w:color="000000"/>
            </w:tcBorders>
          </w:tcPr>
          <w:p>
            <w:pPr>
              <w:pStyle w:val="CeldaAPA"/>
              <w:jc w:val="center"/>
            </w:pPr>
            <w:r>
              <w:rPr>
                <w:bCs/>
                <w:b/>
              </w:rPr>
              <w:t xml:space="preserve">Principio</w:t>
            </w:r>
          </w:p>
        </w:tc>
        <w:tc>
          <w:tcPr>
            <w:tcW w:w="2785" w:type="dxa"/>
            <w:tcBorders>
              <w:top w:val="single" w:sz="8" w:space="0" w:color="000000"/>
              <w:bottom w:val="single" w:sz="4" w:space="0" w:color="000000"/>
            </w:tcBorders>
          </w:tcPr>
          <w:p>
            <w:pPr>
              <w:pStyle w:val="CeldaAPA"/>
              <w:jc w:val="center"/>
            </w:pPr>
            <w:r>
              <w:rPr>
                <w:bCs/>
                <w:b/>
              </w:rPr>
              <w:t xml:space="preserve">Idea central</w:t>
            </w:r>
          </w:p>
        </w:tc>
        <w:tc>
          <w:tcPr>
            <w:tcW w:w="4518" w:type="dxa"/>
            <w:tcBorders>
              <w:top w:val="single" w:sz="8" w:space="0" w:color="000000"/>
              <w:bottom w:val="single" w:sz="4" w:space="0" w:color="000000"/>
            </w:tcBorders>
          </w:tcPr>
          <w:p>
            <w:pPr>
              <w:pStyle w:val="CeldaAPA"/>
              <w:jc w:val="center"/>
            </w:pPr>
            <w:r>
              <w:rPr>
                <w:bCs/>
                <w:b/>
              </w:rPr>
              <w:t xml:space="preserve">Lectura en la ejecución de la losa</w:t>
            </w:r>
          </w:p>
        </w:tc>
      </w:tr>
      <w:tr>
        <w:tc>
          <w:tcPr>
            <w:tcW w:w="2057" w:type="dxa"/>
          </w:tcPr>
          <w:p>
            <w:pPr>
              <w:pStyle w:val="CeldaAPA"/>
              <w:jc w:val="left"/>
            </w:pPr>
            <w:r>
              <w:rPr/>
              <w:t xml:space="preserve">Enfoque al cliente</w:t>
            </w:r>
          </w:p>
        </w:tc>
        <w:tc>
          <w:tcPr>
            <w:tcW w:w="2785" w:type="dxa"/>
          </w:tcPr>
          <w:p>
            <w:pPr>
              <w:pStyle w:val="CeldaAPA"/>
              <w:jc w:val="left"/>
            </w:pPr>
            <w:r>
              <w:rPr/>
              <w:t xml:space="preserve">Comprender y cumplir las necesidades actuales y futuras del cliente</w:t>
            </w:r>
          </w:p>
        </w:tc>
        <w:tc>
          <w:tcPr>
            <w:tcW w:w="4518" w:type="dxa"/>
          </w:tcPr>
          <w:p>
            <w:pPr>
              <w:pStyle w:val="CeldaAPA"/>
              <w:jc w:val="left"/>
            </w:pPr>
            <w:r>
              <w:rPr/>
              <w:t xml:space="preserve">La entidad contratante requiere una losa conforme a los planos y a las especificaciones, pagada según lo realmente ejecutado; sus requisitos se convierten en criterios de aceptación por paño</w:t>
            </w:r>
          </w:p>
        </w:tc>
      </w:tr>
      <w:tr>
        <w:tc>
          <w:tcPr>
            <w:tcW w:w="2057" w:type="dxa"/>
          </w:tcPr>
          <w:p>
            <w:pPr>
              <w:pStyle w:val="CeldaAPA"/>
              <w:jc w:val="left"/>
            </w:pPr>
            <w:r>
              <w:rPr/>
              <w:t xml:space="preserve">Liderazgo</w:t>
            </w:r>
          </w:p>
        </w:tc>
        <w:tc>
          <w:tcPr>
            <w:tcW w:w="2785" w:type="dxa"/>
          </w:tcPr>
          <w:p>
            <w:pPr>
              <w:pStyle w:val="CeldaAPA"/>
              <w:jc w:val="left"/>
            </w:pPr>
            <w:r>
              <w:rPr/>
              <w:t xml:space="preserve">Los líderes establecen la unidad de propósito y la dirección</w:t>
            </w:r>
          </w:p>
        </w:tc>
        <w:tc>
          <w:tcPr>
            <w:tcW w:w="4518" w:type="dxa"/>
          </w:tcPr>
          <w:p>
            <w:pPr>
              <w:pStyle w:val="CeldaAPA"/>
              <w:jc w:val="left"/>
            </w:pPr>
            <w:r>
              <w:rPr/>
              <w:t xml:space="preserve">El director de obra aprueba el plan de la calidad, asigna los recursos y no permite vaciar un paño que no haya sido liberado</w:t>
            </w:r>
          </w:p>
        </w:tc>
      </w:tr>
      <w:tr>
        <w:tc>
          <w:tcPr>
            <w:tcW w:w="2057" w:type="dxa"/>
          </w:tcPr>
          <w:p>
            <w:pPr>
              <w:pStyle w:val="CeldaAPA"/>
              <w:jc w:val="left"/>
            </w:pPr>
            <w:r>
              <w:rPr/>
              <w:t xml:space="preserve">Compromiso de las personas</w:t>
            </w:r>
          </w:p>
        </w:tc>
        <w:tc>
          <w:tcPr>
            <w:tcW w:w="2785" w:type="dxa"/>
          </w:tcPr>
          <w:p>
            <w:pPr>
              <w:pStyle w:val="CeldaAPA"/>
              <w:jc w:val="left"/>
            </w:pPr>
            <w:r>
              <w:rPr/>
              <w:t xml:space="preserve">Personas competentes y comprometidas en todos los niveles</w:t>
            </w:r>
          </w:p>
        </w:tc>
        <w:tc>
          <w:tcPr>
            <w:tcW w:w="4518" w:type="dxa"/>
          </w:tcPr>
          <w:p>
            <w:pPr>
              <w:pStyle w:val="CeldaAPA"/>
              <w:jc w:val="left"/>
            </w:pPr>
            <w:r>
              <w:rPr/>
              <w:t xml:space="preserve">Capacitación de armadores y albañiles en el montaje de viguetas y complementos y en el vibrado; autocontrol del capataz</w:t>
            </w:r>
          </w:p>
        </w:tc>
      </w:tr>
      <w:tr>
        <w:tc>
          <w:tcPr>
            <w:tcW w:w="2057" w:type="dxa"/>
          </w:tcPr>
          <w:p>
            <w:pPr>
              <w:pStyle w:val="CeldaAPA"/>
              <w:jc w:val="left"/>
            </w:pPr>
            <w:r>
              <w:rPr/>
              <w:t xml:space="preserve">Enfoque a procesos</w:t>
            </w:r>
          </w:p>
        </w:tc>
        <w:tc>
          <w:tcPr>
            <w:tcW w:w="2785" w:type="dxa"/>
          </w:tcPr>
          <w:p>
            <w:pPr>
              <w:pStyle w:val="CeldaAPA"/>
              <w:jc w:val="left"/>
            </w:pPr>
            <w:r>
              <w:rPr/>
              <w:t xml:space="preserve">Las actividades se gestionan como procesos interrelacionados</w:t>
            </w:r>
          </w:p>
        </w:tc>
        <w:tc>
          <w:tcPr>
            <w:tcW w:w="4518" w:type="dxa"/>
          </w:tcPr>
          <w:p>
            <w:pPr>
              <w:pStyle w:val="CeldaAPA"/>
              <w:jc w:val="left"/>
            </w:pPr>
            <w:r>
              <w:rPr/>
              <w:t xml:space="preserve">Abastecimiento, apuntalamiento, montaje, armado, hormigonado, curado y desapuntalamiento con entradas, salidas y controles definidos</w:t>
            </w:r>
          </w:p>
        </w:tc>
      </w:tr>
      <w:tr>
        <w:tc>
          <w:tcPr>
            <w:tcW w:w="2057" w:type="dxa"/>
          </w:tcPr>
          <w:p>
            <w:pPr>
              <w:pStyle w:val="CeldaAPA"/>
              <w:jc w:val="left"/>
            </w:pPr>
            <w:r>
              <w:rPr/>
              <w:t xml:space="preserve">Mejora</w:t>
            </w:r>
          </w:p>
        </w:tc>
        <w:tc>
          <w:tcPr>
            <w:tcW w:w="2785" w:type="dxa"/>
          </w:tcPr>
          <w:p>
            <w:pPr>
              <w:pStyle w:val="CeldaAPA"/>
              <w:jc w:val="left"/>
            </w:pPr>
            <w:r>
              <w:rPr/>
              <w:t xml:space="preserve">La mejora del desempeño es un objetivo permanente</w:t>
            </w:r>
          </w:p>
        </w:tc>
        <w:tc>
          <w:tcPr>
            <w:tcW w:w="4518" w:type="dxa"/>
          </w:tcPr>
          <w:p>
            <w:pPr>
              <w:pStyle w:val="CeldaAPA"/>
              <w:jc w:val="left"/>
            </w:pPr>
            <w:r>
              <w:rPr/>
              <w:t xml:space="preserve">Las no conformidades y los desperdicios de una losa ajustan los procedimientos de la siguiente</w:t>
            </w:r>
          </w:p>
        </w:tc>
      </w:tr>
      <w:tr>
        <w:tc>
          <w:tcPr>
            <w:tcW w:w="2057" w:type="dxa"/>
          </w:tcPr>
          <w:p>
            <w:pPr>
              <w:pStyle w:val="CeldaAPA"/>
              <w:jc w:val="left"/>
            </w:pPr>
            <w:r>
              <w:rPr/>
              <w:t xml:space="preserve">Toma de decisiones basada en la evidencia</w:t>
            </w:r>
          </w:p>
        </w:tc>
        <w:tc>
          <w:tcPr>
            <w:tcW w:w="2785" w:type="dxa"/>
          </w:tcPr>
          <w:p>
            <w:pPr>
              <w:pStyle w:val="CeldaAPA"/>
              <w:jc w:val="left"/>
            </w:pPr>
            <w:r>
              <w:rPr/>
              <w:t xml:space="preserve">Las decisiones se basan en el análisis de datos</w:t>
            </w:r>
          </w:p>
        </w:tc>
        <w:tc>
          <w:tcPr>
            <w:tcW w:w="4518" w:type="dxa"/>
          </w:tcPr>
          <w:p>
            <w:pPr>
              <w:pStyle w:val="CeldaAPA"/>
              <w:jc w:val="left"/>
            </w:pPr>
            <w:r>
              <w:rPr/>
              <w:t xml:space="preserve">El hormigón se acepta con ensayos a 28 días y las cantidades se pagan conciliadas con registros, no con estimaciones</w:t>
            </w:r>
          </w:p>
        </w:tc>
      </w:tr>
      <w:tr>
        <w:tc>
          <w:tcPr>
            <w:tcW w:w="2057" w:type="dxa"/>
            <w:tcBorders>
              <w:bottom w:val="single" w:sz="8" w:space="0" w:color="000000"/>
            </w:tcBorders>
          </w:tcPr>
          <w:p>
            <w:pPr>
              <w:pStyle w:val="CeldaAPA"/>
              <w:jc w:val="left"/>
            </w:pPr>
            <w:r>
              <w:rPr/>
              <w:t xml:space="preserve">Gestión de las relaciones</w:t>
            </w:r>
          </w:p>
        </w:tc>
        <w:tc>
          <w:tcPr>
            <w:tcW w:w="2785" w:type="dxa"/>
            <w:tcBorders>
              <w:bottom w:val="single" w:sz="8" w:space="0" w:color="000000"/>
            </w:tcBorders>
          </w:tcPr>
          <w:p>
            <w:pPr>
              <w:pStyle w:val="CeldaAPA"/>
              <w:jc w:val="left"/>
            </w:pPr>
            <w:r>
              <w:rPr/>
              <w:t xml:space="preserve">Relaciones mutuamente beneficiosas con proveedores y partes interesadas</w:t>
            </w:r>
          </w:p>
        </w:tc>
        <w:tc>
          <w:tcPr>
            <w:tcW w:w="4518" w:type="dxa"/>
            <w:tcBorders>
              <w:bottom w:val="single" w:sz="8" w:space="0" w:color="000000"/>
            </w:tcBorders>
          </w:tcPr>
          <w:p>
            <w:pPr>
              <w:pStyle w:val="CeldaAPA"/>
              <w:jc w:val="left"/>
            </w:pPr>
            <w:r>
              <w:rPr/>
              <w:t xml:space="preserve">Pedidos exactos por paño; evaluación de los proveedores de viguetas, complementos, acero y hormigón; comunicación oportuna con la Supervisión</w:t>
            </w:r>
          </w:p>
        </w:tc>
      </w:tr>
    </w:tbl>
    <w:p>
      <w:pPr>
        <w:pStyle w:val="NotaAPA"/>
      </w:pPr>
      <w:r>
        <w:rPr>
          <w:iCs/>
          <w:i/>
        </w:rPr>
        <w:t xml:space="preserve">Nota.</w:t>
      </w:r>
      <w:r>
        <w:t xml:space="preserve"> </w:t>
      </w:r>
      <w:r>
        <w:t xml:space="preserve">Las dos primeras columnas se elaboraron con base en</w:t>
      </w:r>
      <w:r>
        <w:t xml:space="preserve"> </w:t>
      </w:r>
      <w:r>
        <w:t xml:space="preserve">Peña Callisaya (2024, pp. 55, 59)</w:t>
      </w:r>
      <w:r>
        <w:t xml:space="preserve">; la tercera es de elaboración propia.</w:t>
      </w:r>
    </w:p>
    <w:p>
      <w:pPr>
        <w:pStyle w:val="Heading2"/>
      </w:pPr>
      <w:bookmarkStart w:id="79" w:name="tit52"/>
      <w:r>
        <w:t xml:space="preserve">1.3. Sistema de gestión de la calidad según la norma ISO 9001:2026</w:t>
      </w:r>
      <w:bookmarkEnd w:id="79"/>
    </w:p>
    <w:p>
      <w:pPr>
        <w:pStyle w:val="Heading3"/>
      </w:pPr>
      <w:bookmarkStart w:id="73" w:name="tit53"/>
      <w:r>
        <w:t xml:space="preserve">1.3.1. Estructura de la norma y ciclo PHVA</w:t>
      </w:r>
      <w:bookmarkEnd w:id="73"/>
    </w:p>
    <w:p>
      <w:pPr>
        <w:pStyle w:val="FirstParagraph"/>
      </w:pPr>
      <w:r>
        <w:t xml:space="preserve">La norma ISO 9001 especifica los requisitos de un SGC y es la única de la familia ISO 9000 que admite certificación</w:t>
      </w:r>
      <w:r>
        <w:t xml:space="preserve"> </w:t>
      </w:r>
      <w:r>
        <w:t xml:space="preserve">(Zurita Ferrel, 2024, p. 17)</w:t>
      </w:r>
      <w:r>
        <w:t xml:space="preserve">; a la primera edición de 1987 siguieron las de 1994, 2000, 2008 y 2015</w:t>
      </w:r>
      <w:r>
        <w:t xml:space="preserve"> </w:t>
      </w:r>
      <w:r>
        <w:t xml:space="preserve">(Zurita Ferrel, 2024, p. 14)</w:t>
      </w:r>
      <w:r>
        <w:t xml:space="preserve">. La sexta edición, ISO 9001:2026, se publicó el 16 de septiembre de 2026, sustituye a la de 2015 y conserva su estructura de cláusulas</w:t>
      </w:r>
      <w:r>
        <w:t xml:space="preserve"> </w:t>
      </w:r>
      <w:r>
        <w:t xml:space="preserve">(ISO, 2026b)</w:t>
      </w:r>
      <w:r>
        <w:t xml:space="preserve">; en Bolivia, el Instituto Boliviano de Normalización y Calidad (IBNORCA) la adoptó como NB/ISO 9001:2026</w:t>
      </w:r>
      <w:r>
        <w:t xml:space="preserve"> </w:t>
      </w:r>
      <w:r>
        <w:t xml:space="preserve">(IBNORCA, 2026)</w:t>
      </w:r>
      <w:r>
        <w:t xml:space="preserve">.</w:t>
      </w:r>
    </w:p>
    <w:p>
      <w:pPr>
        <w:pStyle w:val="BodyText"/>
      </w:pPr>
      <w:r>
        <w:t xml:space="preserve">Las cláusulas 0 a 3 son introductorias, y las cláusulas 4 a 10 contienen los requisitos del sistema</w:t>
      </w:r>
      <w:r>
        <w:t xml:space="preserve"> </w:t>
      </w:r>
      <w:r>
        <w:t xml:space="preserve">(Zurita Ferrel, 2024, p. 15)</w:t>
      </w:r>
      <w:r>
        <w:t xml:space="preserve">. Su contenido general, común a las ediciones de 2015 y 2026, es el siguiente</w:t>
      </w:r>
      <w:r>
        <w:t xml:space="preserve"> </w:t>
      </w:r>
      <w:r>
        <w:t xml:space="preserve">(ISO, 2026b)</w:t>
      </w:r>
      <w:r>
        <w:t xml:space="preserve">: el contexto de la organización (4) comprende las cuestiones externas e internas, las partes interesadas, el alcance y los procesos; el liderazgo (5), el compromiso de la alta dirección, la política de la calidad y los roles; la planificación (6), las acciones ante riesgos y oportunidades, los objetivos de la calidad y la planificación de los cambios; el apoyo (7), los recursos, la competencia, la toma de conciencia, la comunicación y la información documentada; la operación (8), la planificación y el control operacional, los requisitos del producto, el control de los procesos y productos suministrados externamente, la producción, la liberación y el control de las salidas no conformes; la evaluación del desempeño (9), el seguimiento, la medición, la auditoría interna y la revisión por la dirección; y la mejora (10), las no conformidades, las acciones correctivas y la mejora continua.</w:t>
      </w:r>
    </w:p>
    <w:p>
      <w:pPr>
        <w:pStyle w:val="BodyText"/>
      </w:pPr>
      <w:r>
        <w:t xml:space="preserve">Esta estructura sigue el ciclo PHVA de Deming</w:t>
      </w:r>
      <w:r>
        <w:t xml:space="preserve"> </w:t>
      </w:r>
      <w:r>
        <w:t xml:space="preserve">(Zurita Ferrel, 2024, pp. 15–16)</w:t>
      </w:r>
      <w:r>
        <w:t xml:space="preserve">: la planificación (cláusula 6) parte del contexto y del liderazgo, que ocupa el centro del sistema; hacer corresponde al apoyo y a la operación (cláusulas 7 y 8); verificar, a la evaluación del desempeño (cláusula 9); y actuar, a la mejora (cláusula 10). Las entradas del sistema son el contexto, los requisitos del cliente y las necesidades de las partes interesadas, y sus salidas, los productos conformes, la satisfacción del cliente y los resultados del SGC (Figura 1). El ciclo funciona en el sistema completo y en cada proceso; en una obra, cada losa e incluso cada paño puede recorrerlo, como muestra la Figura 10 del capítulo 2.</w:t>
      </w:r>
    </w:p>
    <w:p>
      <w:pPr>
        <w:pStyle w:val="Caption"/>
      </w:pPr>
      <w:bookmarkStart w:id="1411" w:name="fig1"/>
      <w:r>
        <w:t xml:space="preserve"/>
      </w:r>
      <w:r>
        <w:rPr>
          <w:bCs/>
          <w:b/>
        </w:rPr>
        <w:t xml:space="preserve">Figura 1</w:t>
      </w:r>
      <w:r>
        <w:br/>
      </w:r>
      <w:r>
        <w:rPr>
          <w:iCs/>
          <w:i/>
        </w:rPr>
        <w:t xml:space="preserve">Estructura de la norma ISO 9001 representada en el ciclo PHVA</w:t>
      </w:r>
      <w:bookmarkEnd w:id="1411"/>
    </w:p>
    <w:p>
      <w:pPr>
        <w:pStyle w:val="FiguraAPA"/>
      </w:pPr>
      <w:r>
        <w:drawing>
          <wp:inline>
            <wp:extent cx="5701319" cy="2544415"/>
            <wp:effectExtent b="0" l="0" r="0" t="0"/>
            <wp:docPr descr="image" title="" id="71" name="Picture"/>
            <a:graphic>
              <a:graphicData uri="http://schemas.openxmlformats.org/drawingml/2006/picture">
                <pic:pic>
                  <pic:nvPicPr>
                    <pic:cNvPr descr="/home/user/TesisSGC/07_Entregables/scripts/_trabajo_sencilla/tikz/tikz_4be3f3ea7eb22f9e8797.png" id="72" name="Picture"/>
                    <pic:cNvPicPr>
                      <a:picLocks noChangeArrowheads="1" noChangeAspect="1"/>
                    </pic:cNvPicPr>
                  </pic:nvPicPr>
                  <pic:blipFill>
                    <a:blip r:embed="rId70"/>
                    <a:stretch>
                      <a:fillRect/>
                    </a:stretch>
                  </pic:blipFill>
                  <pic:spPr bwMode="auto">
                    <a:xfrm>
                      <a:off x="0" y="0"/>
                      <a:ext cx="5701319" cy="2544415"/>
                    </a:xfrm>
                    <a:prstGeom prst="rect">
                      <a:avLst/>
                    </a:prstGeom>
                    <a:noFill/>
                    <a:ln w="9525">
                      <a:noFill/>
                      <a:headEnd/>
                      <a:tailEnd/>
                    </a:ln>
                  </pic:spPr>
                </pic:pic>
              </a:graphicData>
            </a:graphic>
          </wp:inline>
        </w:drawing>
      </w:r>
    </w:p>
    <w:p>
      <w:pPr>
        <w:pStyle w:val="NotaAPA"/>
      </w:pPr>
      <w:r>
        <w:rPr>
          <w:iCs/>
          <w:i/>
        </w:rPr>
        <w:t xml:space="preserve">Nota.</w:t>
      </w:r>
      <w:r>
        <w:t xml:space="preserve"> </w:t>
      </w:r>
      <w:r>
        <w:t xml:space="preserve">Elaborado con base en la estructura de cláusulas de la norma</w:t>
      </w:r>
      <w:r>
        <w:t xml:space="preserve"> </w:t>
      </w:r>
      <w:r>
        <w:t xml:space="preserve">(ISO, 2026b)</w:t>
      </w:r>
      <w:r>
        <w:t xml:space="preserve"> </w:t>
      </w:r>
      <w:r>
        <w:t xml:space="preserve">y en</w:t>
      </w:r>
      <w:r>
        <w:t xml:space="preserve"> </w:t>
      </w:r>
      <w:r>
        <w:t xml:space="preserve">Zurita Ferrel (2024, pp. 15–16)</w:t>
      </w:r>
      <w:r>
        <w:t xml:space="preserve">. Los números entre paréntesis indican la cláusula correspondiente. La aplicación del ciclo a la losa se presenta en la Figura 10.</w:t>
      </w:r>
    </w:p>
    <w:p>
      <w:pPr>
        <w:pStyle w:val="BodyText"/>
      </w:pPr>
      <w:r>
        <w:t xml:space="preserve">El enfoque a procesos sostiene que los resultados son más coherentes y previsibles cuando las actividades se gestionan como procesos interrelacionados que funcionan como un sistema</w:t>
      </w:r>
      <w:r>
        <w:t xml:space="preserve"> </w:t>
      </w:r>
      <w:r>
        <w:t xml:space="preserve">(Peña Callisaya, 2024, p. 59)</w:t>
      </w:r>
      <w:r>
        <w:t xml:space="preserve">; los procesos se clasifican en estratégicos, operativos y de apoyo, y su mapa es el punto de partida de toda mejora</w:t>
      </w:r>
      <w:r>
        <w:t xml:space="preserve"> </w:t>
      </w:r>
      <w:r>
        <w:t xml:space="preserve">(Zurita Ferrel, 2024, pp. 18, 50)</w:t>
      </w:r>
      <w:r>
        <w:t xml:space="preserve">. En la losa, el proceso operativo es la ejecución; los de apoyo, las compras, el almacén y el laboratorio; y los estratégicos, la dirección de la obra y la gestión de la calidad.</w:t>
      </w:r>
    </w:p>
    <w:p>
      <w:pPr>
        <w:pStyle w:val="Heading3"/>
      </w:pPr>
      <w:bookmarkStart w:id="74" w:name="tit54"/>
      <w:r>
        <w:t xml:space="preserve">1.3.2. Pensamiento basado en riesgos</w:t>
      </w:r>
      <w:bookmarkEnd w:id="74"/>
    </w:p>
    <w:p>
      <w:pPr>
        <w:pStyle w:val="FirstParagraph"/>
      </w:pPr>
      <w:r>
        <w:t xml:space="preserve">La edición de 2015 incorporó el enfoque basado en riesgos como base para prevenir problemas y aprovechar oportunidades</w:t>
      </w:r>
      <w:r>
        <w:t xml:space="preserve"> </w:t>
      </w:r>
      <w:r>
        <w:t xml:space="preserve">(Mamani Calsina, 2025, p. 20)</w:t>
      </w:r>
      <w:r>
        <w:t xml:space="preserve">. El riesgo es el efecto de la incertidumbre sobre los resultados esperados</w:t>
      </w:r>
      <w:r>
        <w:t xml:space="preserve"> </w:t>
      </w:r>
      <w:r>
        <w:t xml:space="preserve">(Mamani Calsina, 2025, p. 22)</w:t>
      </w:r>
      <w:r>
        <w:t xml:space="preserve">, y la norma exige determinar los riesgos y las oportunidades que pueden afectar la conformidad de los productos y la satisfacción del cliente, y planificar acciones proporcionales a su efecto (cláusula 6.1)</w:t>
      </w:r>
      <w:r>
        <w:t xml:space="preserve"> </w:t>
      </w:r>
      <w:r>
        <w:t xml:space="preserve">(ISO, 2026b)</w:t>
      </w:r>
      <w:r>
        <w:t xml:space="preserve">. Así, el SGC se concibe como una herramienta de prevención: se identifican los riesgos y se decide cuáles eliminar, controlar o aceptar, sin perjuicio de actuar sobre las no conformidades que ocurran</w:t>
      </w:r>
      <w:r>
        <w:t xml:space="preserve"> </w:t>
      </w:r>
      <w:r>
        <w:t xml:space="preserve">(Peña Callisaya, 2024, pp. 57–58)</w:t>
      </w:r>
      <w:r>
        <w:t xml:space="preserve">. En la losa, los riesgos principales son conocidos: la rotura de viguetas en el transporte o el montaje</w:t>
      </w:r>
      <w:r>
        <w:t xml:space="preserve"> </w:t>
      </w:r>
      <w:r>
        <w:t xml:space="preserve">(Alcón Aranda, 2009, p. 116)</w:t>
      </w:r>
      <w:r>
        <w:t xml:space="preserve">; la colocación de complementos sobre viguetas sin apuntalar, que puede deformar e incluso hacer caer la losa, y el pisado de los complementos, que aumenta el consumo de hormigón</w:t>
      </w:r>
      <w:r>
        <w:t xml:space="preserve"> </w:t>
      </w:r>
      <w:r>
        <w:t xml:space="preserve">(Concretec, 2016, hoja 3)</w:t>
      </w:r>
      <w:r>
        <w:t xml:space="preserve">; la segregación y las cangrejeras por un vaciado deficiente</w:t>
      </w:r>
      <w:r>
        <w:t xml:space="preserve"> </w:t>
      </w:r>
      <w:r>
        <w:t xml:space="preserve">(Muro Núñez, 2020, p. 17)</w:t>
      </w:r>
      <w:r>
        <w:t xml:space="preserve">; el curado insuficiente en el clima frío de Potosí</w:t>
      </w:r>
      <w:r>
        <w:t xml:space="preserve"> </w:t>
      </w:r>
      <w:r>
        <w:t xml:space="preserve">(ACI Committee 318, 2025, Sección 26.5.4.2, p. 583)</w:t>
      </w:r>
      <w:r>
        <w:t xml:space="preserve">; y el desabastecimiento y el alza de precios de los insumos, como ocurrió con el cemento y el acero en 2025</w:t>
      </w:r>
      <w:r>
        <w:t xml:space="preserve"> </w:t>
      </w:r>
      <w:r>
        <w:t xml:space="preserve">(FANCESA, 2025; Import Export Las Lomas Ltda., 2025)</w:t>
      </w:r>
      <w:r>
        <w:t xml:space="preserve">. La matriz de riesgos del capítulo 2 (Tabla 32) los valora y asigna a cada uno su control.</w:t>
      </w:r>
    </w:p>
    <w:p>
      <w:pPr>
        <w:pStyle w:val="Heading3"/>
      </w:pPr>
      <w:bookmarkStart w:id="75" w:name="tit55"/>
      <w:r>
        <w:t xml:space="preserve">1.3.3. Novedades de la edición 2026</w:t>
      </w:r>
      <w:bookmarkEnd w:id="75"/>
    </w:p>
    <w:p>
      <w:pPr>
        <w:pStyle w:val="FirstParagraph"/>
      </w:pPr>
      <w:r>
        <w:t xml:space="preserve">La ISO 9001:2026 no cambia la lógica del sistema: conserva las cláusulas 4 a 10, el ciclo PHVA, el enfoque a procesos y el pensamiento basado en riesgos. Sus cambios, descritos aquí de forma general, refuerzan cuatro aspectos</w:t>
      </w:r>
      <w:r>
        <w:t xml:space="preserve"> </w:t>
      </w:r>
      <w:r>
        <w:t xml:space="preserve">(ISO, 2026b)</w:t>
      </w:r>
      <w:r>
        <w:t xml:space="preserve">:</w:t>
      </w:r>
    </w:p>
    <w:p>
      <w:pPr>
        <w:numPr>
          <w:ilvl w:val="0"/>
          <w:numId w:val="1008"/>
        </w:numPr>
      </w:pPr>
      <w:r>
        <w:t xml:space="preserve">la cultura de la calidad y el comportamiento ético, como parte del liderazgo;</w:t>
      </w:r>
    </w:p>
    <w:p>
      <w:pPr>
        <w:numPr>
          <w:ilvl w:val="0"/>
          <w:numId w:val="1008"/>
        </w:numPr>
      </w:pPr>
      <w:r>
        <w:t xml:space="preserve">el cambio climático, como cuestión del contexto que la organización debe considerar cuando es pertinente para su sistema;</w:t>
      </w:r>
    </w:p>
    <w:p>
      <w:pPr>
        <w:numPr>
          <w:ilvl w:val="0"/>
          <w:numId w:val="1008"/>
        </w:numPr>
      </w:pPr>
      <w:r>
        <w:t xml:space="preserve">el tratamiento de los riesgos y de las oportunidades;</w:t>
      </w:r>
    </w:p>
    <w:p>
      <w:pPr>
        <w:numPr>
          <w:ilvl w:val="0"/>
          <w:numId w:val="1008"/>
        </w:numPr>
      </w:pPr>
      <w:r>
        <w:t xml:space="preserve">la planificación de los cambios, para que se realicen de forma controlada.</w:t>
      </w:r>
    </w:p>
    <w:p>
      <w:pPr>
        <w:pStyle w:val="FirstParagraph"/>
        <w:ind w:firstLine="0"/>
      </w:pPr>
      <w:r>
        <w:t xml:space="preserve"/>
      </w:r>
      <w:r>
        <w:t xml:space="preserve"/>
      </w:r>
      <w:r>
        <w:t xml:space="preserve">La norma de fundamentos y vocabulario también se actualizó en 2026 como ISO 9000:2026</w:t>
      </w:r>
      <w:r>
        <w:t xml:space="preserve"> </w:t>
      </w:r>
      <w:r>
        <w:t xml:space="preserve">(ISO, 2026a)</w:t>
      </w:r>
      <w:r>
        <w:t xml:space="preserve">. Las organizaciones certificadas con la edición de 2015 tienen un periodo de transición hasta el 30 de septiembre de 2029.</w:t>
      </w:r>
    </w:p>
    <w:p>
      <w:pPr>
        <w:pStyle w:val="BodyText"/>
      </w:pPr>
      <w:r>
        <w:t xml:space="preserve">Estos cambios tienen una lectura directa en la losa. El comportamiento ético se refleja en medir y pagar solo cantidades conciliadas con registros. La consideración del clima, en la planificación ante las lluvias y las bajas temperaturas de Potosí. La planificación de los cambios, en la gestión documentada de toda sustitución de materiales o de diseño, como las modificaciones estructurales que se hicieron en la obra por la falta de viguetas de los tamaños requeridos</w:t>
      </w:r>
      <w:r>
        <w:t xml:space="preserve"> </w:t>
      </w:r>
      <w:r>
        <w:t xml:space="preserve">(UATF, 2025, p. 11)</w:t>
      </w:r>
      <w:r>
        <w:t xml:space="preserve">.</w:t>
      </w:r>
    </w:p>
    <w:p>
      <w:pPr>
        <w:pStyle w:val="Heading3"/>
      </w:pPr>
      <w:bookmarkStart w:id="76" w:name="tit56"/>
      <w:r>
        <w:t xml:space="preserve">1.3.4. Planes de la calidad según la norma ISO 10005:2018</w:t>
      </w:r>
      <w:bookmarkEnd w:id="76"/>
    </w:p>
    <w:p>
      <w:pPr>
        <w:pStyle w:val="FirstParagraph"/>
      </w:pPr>
      <w:r>
        <w:t xml:space="preserve">Un plan de la calidad especifica qué procesos, procedimientos y recursos se aplicarán, quién los aplicará y cuándo, para cumplir los requisitos de un objeto concreto, como un proyecto o un contrato</w:t>
      </w:r>
      <w:r>
        <w:t xml:space="preserve"> </w:t>
      </w:r>
      <w:r>
        <w:t xml:space="preserve">(ISO, 2018)</w:t>
      </w:r>
      <w:r>
        <w:t xml:space="preserve">. Es el instrumento natural de una obra, porque permite aplicar los principios de la ISO 9001 a un proyecto único aunque la empresa no tenga un SGC certificado. La norma ISO 10005:2018 orienta su contenido: alcance, objetivos de la calidad, responsabilidades, información documentada, recursos, control de los suministros externos, producción, identificación y trazabilidad, control de las salidas no conformes, seguimiento y medición, y auditorías</w:t>
      </w:r>
      <w:r>
        <w:t xml:space="preserve"> </w:t>
      </w:r>
      <w:r>
        <w:t xml:space="preserve">(ISO, 2018)</w:t>
      </w:r>
      <w:r>
        <w:t xml:space="preserve">. En la obra, el plan se concreta en el programa de puntos de inspección (PPI), que define para cada inspección el criterio de aprobación, el lote, la frecuencia y el responsable, y señala los puntos de parada, en los que la actividad no continúa hasta obtener la conformidad</w:t>
      </w:r>
      <w:r>
        <w:t xml:space="preserve"> </w:t>
      </w:r>
      <w:r>
        <w:t xml:space="preserve">(Muro Núñez, 2020, anexo 4)</w:t>
      </w:r>
      <w:r>
        <w:t xml:space="preserve">; también fija las condiciones de suministro, recepción, almacenamiento y manipulación de cada material</w:t>
      </w:r>
      <w:r>
        <w:t xml:space="preserve"> </w:t>
      </w:r>
      <w:r>
        <w:t xml:space="preserve">(Cepeda Godoy, 2017, p. 83)</w:t>
      </w:r>
      <w:r>
        <w:t xml:space="preserve">.</w:t>
      </w:r>
    </w:p>
    <w:p>
      <w:pPr>
        <w:pStyle w:val="Heading3"/>
      </w:pPr>
      <w:bookmarkStart w:id="77" w:name="tit57"/>
      <w:r>
        <w:t xml:space="preserve">1.3.5. Gestión de la calidad en proyectos según la norma ISO 10006:2017</w:t>
      </w:r>
      <w:bookmarkEnd w:id="77"/>
    </w:p>
    <w:p>
      <w:pPr>
        <w:pStyle w:val="FirstParagraph"/>
      </w:pPr>
      <w:r>
        <w:t xml:space="preserve">La norma ISO 10006:2017 orienta la aplicación de los principios y las prácticas de la gestión de la calidad a los procesos de gestión de un proyecto, entendido como un proceso único y temporal con fechas de inicio y fin, sin ser una guía de dirección de proyectos</w:t>
      </w:r>
      <w:r>
        <w:t xml:space="preserve"> </w:t>
      </w:r>
      <w:r>
        <w:t xml:space="preserve">(ISO, 2017)</w:t>
      </w:r>
      <w:r>
        <w:t xml:space="preserve">. Dos de sus ideas son pertinentes para el caso: la calidad depende de varias organizaciones —entidad contratante, contratista, Supervisión, Fiscalización, proveedores y laboratorio—, cuyas responsabilidades deben definirse de antemano; y depende también de procesos de gestión como el control de los cambios, el abastecimiento y la comunicación. En la primera losa del Edificio de Posgrado, las demoras de materiales, las lluvias y las modificaciones del contrato afectaron la ejecución (sección 2.5.2), lo que confirma que el SGC de una obra no puede limitarse a inspeccionar el producto.</w:t>
      </w:r>
    </w:p>
    <w:p>
      <w:pPr>
        <w:pStyle w:val="Heading3"/>
      </w:pPr>
      <w:bookmarkStart w:id="78" w:name="tit58"/>
      <w:r>
        <w:t xml:space="preserve">1.3.6. Evidencia empírica sobre ISO 9001 en la construcción</w:t>
      </w:r>
      <w:bookmarkEnd w:id="78"/>
    </w:p>
    <w:p>
      <w:pPr>
        <w:pStyle w:val="FirstParagraph"/>
      </w:pPr>
      <w:r>
        <w:t xml:space="preserve">Entre los efectos internos de la norma en las constructoras figuran el mejor uso de los recursos, la reducción de los costos de inspección, logística y producción, y la disminución de las no conformidades y de los gastos por mala calidad</w:t>
      </w:r>
      <w:r>
        <w:t xml:space="preserve"> </w:t>
      </w:r>
      <w:r>
        <w:t xml:space="preserve">(Prado-Román et al., 2018, p. 156)</w:t>
      </w:r>
      <w:r>
        <w:t xml:space="preserve">. Esos efectos fueron muy relevantes para el 74,4 % de las empresas en los procesos organizativos y para el 53,7 % en las operaciones, pero solo para el 34,2 % en los resultados financieros, y aparecieron de forma gradual</w:t>
      </w:r>
      <w:r>
        <w:t xml:space="preserve"> </w:t>
      </w:r>
      <w:r>
        <w:t xml:space="preserve">(Prado-Román et al., 2018, pp. 163–164)</w:t>
      </w:r>
      <w:r>
        <w:t xml:space="preserve">; los autores advierten un posible sesgo, porque respondieron los responsables de calidad</w:t>
      </w:r>
      <w:r>
        <w:t xml:space="preserve"> </w:t>
      </w:r>
      <w:r>
        <w:t xml:space="preserve">(Prado-Román et al., 2018, p. 165)</w:t>
      </w:r>
      <w:r>
        <w:t xml:space="preserve">. La inspección del material antes de su uso es uno de los elementos más aplicados de la norma, y el rechazo de los materiales no conformes, el menos aplicado, aunque la disminución del desperdicio de material es la segunda ventaja percibida</w:t>
      </w:r>
      <w:r>
        <w:t xml:space="preserve"> </w:t>
      </w:r>
      <w:r>
        <w:t xml:space="preserve">(Shaikh y Sohu, 2020, pp. 1139–1140)</w:t>
      </w:r>
      <w:r>
        <w:t xml:space="preserve">. En Brasil, el nivel de pérdidas de la construcción disminuyó con la adopción de planes de calidad y de certificaciones ISO desde los años noventa</w:t>
      </w:r>
      <w:r>
        <w:t xml:space="preserve"> </w:t>
      </w:r>
      <w:r>
        <w:t xml:space="preserve">(Maciel et al., 2016, p. 106)</w:t>
      </w:r>
      <w:r>
        <w:t xml:space="preserve">. Según</w:t>
      </w:r>
      <w:r>
        <w:t xml:space="preserve"> </w:t>
      </w:r>
      <w:r>
        <w:t xml:space="preserve">Dzul y Gracia (2009, p. 43)</w:t>
      </w:r>
      <w:r>
        <w:t xml:space="preserve">, el 43 % de las empresas certificadas de la Comunidad Valenciana redujo sus costos totales aun después de descontar los gastos de implantación, dato que toman de un estudio anterior.</w:t>
      </w:r>
    </w:p>
    <w:p>
      <w:pPr>
        <w:pStyle w:val="BodyText"/>
      </w:pPr>
      <w:r>
        <w:t xml:space="preserve">La evidencia también señala los límites: el 40 % del personal de las constructoras chilenas certificadas cree que los indicadores se miden solo para cumplir</w:t>
      </w:r>
      <w:r>
        <w:t xml:space="preserve"> </w:t>
      </w:r>
      <w:r>
        <w:t xml:space="preserve">(Romero y Serpell, 2007, pp. 202, 208)</w:t>
      </w:r>
      <w:r>
        <w:t xml:space="preserve">. Para la tesis, la lección es doble: el SGC de la losa debe concentrarse en controles operativos con registros e indicadores útiles, y su efecto no puede suponerse completo; por eso, en la evaluación</w:t>
      </w:r>
      <w:r>
        <w:t xml:space="preserve"> </w:t>
      </w:r>
      <w:r>
        <w:rPr>
          <w:iCs/>
          <w:i/>
        </w:rPr>
        <w:t xml:space="preserve">ex ante</w:t>
      </w:r>
      <w:r>
        <w:t xml:space="preserve"> </w:t>
      </w:r>
      <w:r>
        <w:t xml:space="preserve">la eficacia del sistema es un parámetro incierto (sección 2.7.2).</w:t>
      </w:r>
    </w:p>
    <w:p>
      <w:pPr>
        <w:pStyle w:val="Heading2"/>
      </w:pPr>
      <w:bookmarkStart w:id="85" w:name="tit59"/>
      <w:r>
        <w:t xml:space="preserve">1.4. Costos de la calidad</w:t>
      </w:r>
      <w:bookmarkEnd w:id="85"/>
    </w:p>
    <w:p>
      <w:pPr>
        <w:pStyle w:val="Heading3"/>
      </w:pPr>
      <w:bookmarkStart w:id="83" w:name="tit60"/>
      <w:r>
        <w:t xml:space="preserve">1.4.1. Modelo de prevención, evaluación y fallas</w:t>
      </w:r>
      <w:bookmarkEnd w:id="83"/>
    </w:p>
    <w:p>
      <w:pPr>
        <w:pStyle w:val="FirstParagraph"/>
      </w:pPr>
      <w:r>
        <w:t xml:space="preserve">Los costos de la calidad son la suma de los costos de conformidad, que son el precio de prevenir la mala calidad, y de no conformidad, que son el costo de no cumplir los requisitos</w:t>
      </w:r>
      <w:r>
        <w:t xml:space="preserve"> </w:t>
      </w:r>
      <w:r>
        <w:t xml:space="preserve">(Gracia Villar y Dzul López, 2007, p. 44)</w:t>
      </w:r>
      <w:r>
        <w:t xml:space="preserve">. El modelo más empleado para clasificarlos, también en las constructoras, es el de prevención, evaluación y fallas (PEF, o PAF por sus siglas en inglés)</w:t>
      </w:r>
      <w:r>
        <w:t xml:space="preserve"> </w:t>
      </w:r>
      <w:r>
        <w:t xml:space="preserve">(Gracia Villar y Dzul López, 2007, p. 43)</w:t>
      </w:r>
      <w:r>
        <w:t xml:space="preserve"> </w:t>
      </w:r>
      <w:r>
        <w:t xml:space="preserve">(Dzul y Gracia, 2009, p. 42)</w:t>
      </w:r>
      <w:r>
        <w:t xml:space="preserve">. La prevención agrupa las actividades que evitan defectos desde el diseño, como la revisión de planos, los planes de aseguramiento y la capacitación</w:t>
      </w:r>
      <w:r>
        <w:t xml:space="preserve"> </w:t>
      </w:r>
      <w:r>
        <w:t xml:space="preserve">(Alfaro Félix, 2011, p. 12)</w:t>
      </w:r>
      <w:r>
        <w:t xml:space="preserve">; la evaluación, las que comprueban que una actividad se hizo bien, como la inspección y los ensayos de los materiales; las fallas internas, los errores detectados antes de que el cliente acepte el producto, como los desperdicios y la repetición del trabajo</w:t>
      </w:r>
      <w:r>
        <w:t xml:space="preserve"> </w:t>
      </w:r>
      <w:r>
        <w:t xml:space="preserve">(Gracia Villar y Dzul López, 2007, p. 49)</w:t>
      </w:r>
      <w:r>
        <w:t xml:space="preserve">; y las fallas externas, las que se detectan después de la entrega, como las garantías y las reparaciones</w:t>
      </w:r>
      <w:r>
        <w:t xml:space="preserve"> </w:t>
      </w:r>
      <w:r>
        <w:t xml:space="preserve">(Alfaro Félix, 2011, p. 13)</w:t>
      </w:r>
      <w:r>
        <w:t xml:space="preserve">. La prevención y la evaluación son costos controlables o de conformidad, y las fallas, costos resultantes o de no conformidad</w:t>
      </w:r>
      <w:r>
        <w:t xml:space="preserve"> </w:t>
      </w:r>
      <w:r>
        <w:t xml:space="preserve">(Gracia Villar y Dzul López, 2007, p. 48)</w:t>
      </w:r>
      <w:r>
        <w:t xml:space="preserve">. El costo total de la calidad (</w:t>
      </w:r>
      <m:oMath>
        <m:r>
          <m:t>C</m:t>
        </m:r>
        <m:r>
          <m:t>T</m:t>
        </m:r>
        <m:r>
          <m:t>C</m:t>
        </m:r>
      </m:oMath>
      <w:r>
        <w:t xml:space="preserve">) se expresa entonces como</w:t>
      </w:r>
    </w:p>
    <w:tbl>
      <w:tblPr>
        <w:tblW w:w="9360" w:type="dxa"/>
        <w:tblLayout w:type="fixed"/>
        <w:tblCellMar>
          <w:left w:w="0" w:type="dxa"/>
          <w:right w:w="0" w:type="dxa"/>
        </w:tblCellMar>
        <w:tblLook w:val="0000" w:firstRow="0" w:lastRow="0" w:firstColumn="0" w:lastColumn="0" w:noHBand="1" w:noVBand="1"/>
        <w:tblCaption w:val="Ecuación"/>
      </w:tblPr>
      <w:tblGrid>
        <w:gridCol w:w="1134"/>
        <w:gridCol w:w="7092"/>
        <w:gridCol w:w="1134"/>
      </w:tblGrid>
      <w:tr>
        <w:trPr>
          <w:cantSplit/>
        </w:trPr>
        <w:tc>
          <w:tcPr>
            <w:tcW w:w="1134" w:type="dxa"/>
            <w:vAlign w:val="center"/>
          </w:tcPr>
          <w:p>
            <w:pPr>
              <w:pStyle w:val="EcuacionAPA"/>
            </w:pPr>
          </w:p>
        </w:tc>
        <w:tc>
          <w:tcPr>
            <w:tcW w:w="7092" w:type="dxa"/>
            <w:vAlign w:val="center"/>
          </w:tcPr>
          <w:p>
            <w:pPr>
              <w:pStyle w:val="EcuacionAPA"/>
            </w:pPr>
            <m:oMathPara>
              <m:oMathParaPr>
                <m:jc m:val="center"/>
              </m:oMathParaPr>
              <m:oMath>
                <m:r>
                  <m:t>C</m:t>
                </m:r>
                <m:r>
                  <m:t>T</m:t>
                </m:r>
                <m:r>
                  <m:t>C</m:t>
                </m:r>
                <m:r>
                  <m:rPr>
                    <m:sty m:val="p"/>
                  </m:rPr>
                  <m:t>=</m:t>
                </m:r>
                <m:limLow>
                  <m:e>
                    <m:limLow>
                      <m:e>
                        <m:sSub>
                          <m:e>
                            <m:r>
                              <m:t>C</m:t>
                            </m:r>
                          </m:e>
                          <m:sub>
                            <m:r>
                              <m:t>P</m:t>
                            </m:r>
                          </m:sub>
                        </m:sSub>
                        <m:r>
                          <m:rPr>
                            <m:sty m:val="p"/>
                          </m:rPr>
                          <m:t>+</m:t>
                        </m:r>
                        <m:sSub>
                          <m:e>
                            <m:r>
                              <m:t>C</m:t>
                            </m:r>
                          </m:e>
                          <m:sub>
                            <m:r>
                              <m:t>E</m:t>
                            </m:r>
                          </m:sub>
                        </m:sSub>
                      </m:e>
                      <m:lim>
                        <m:r>
                          <m:rPr>
                            <m:sty m:val="p"/>
                          </m:rPr>
                          <m:t>⏟</m:t>
                        </m:r>
                      </m:lim>
                    </m:limLow>
                  </m:e>
                  <m:lim>
                    <m:r>
                      <m:t>C</m:t>
                    </m:r>
                    <m:r>
                      <m:t>C</m:t>
                    </m:r>
                  </m:lim>
                </m:limLow>
                <m:r>
                  <m:t> </m:t>
                </m:r>
                <m:r>
                  <m:rPr>
                    <m:sty m:val="p"/>
                  </m:rPr>
                  <m:t>+</m:t>
                </m:r>
                <m:r>
                  <m:t> </m:t>
                </m:r>
                <m:limLow>
                  <m:e>
                    <m:limLow>
                      <m:e>
                        <m:sSub>
                          <m:e>
                            <m:r>
                              <m:t>C</m:t>
                            </m:r>
                          </m:e>
                          <m:sub>
                            <m:r>
                              <m:t>F</m:t>
                            </m:r>
                            <m:r>
                              <m:t>I</m:t>
                            </m:r>
                          </m:sub>
                        </m:sSub>
                        <m:r>
                          <m:rPr>
                            <m:sty m:val="p"/>
                          </m:rPr>
                          <m:t>+</m:t>
                        </m:r>
                        <m:sSub>
                          <m:e>
                            <m:r>
                              <m:t>C</m:t>
                            </m:r>
                          </m:e>
                          <m:sub>
                            <m:r>
                              <m:t>F</m:t>
                            </m:r>
                            <m:r>
                              <m:t>E</m:t>
                            </m:r>
                          </m:sub>
                        </m:sSub>
                      </m:e>
                      <m:lim>
                        <m:r>
                          <m:rPr>
                            <m:sty m:val="p"/>
                          </m:rPr>
                          <m:t>⏟</m:t>
                        </m:r>
                      </m:lim>
                    </m:limLow>
                  </m:e>
                  <m:lim>
                    <m:r>
                      <m:t>C</m:t>
                    </m:r>
                    <m:r>
                      <m:t>N</m:t>
                    </m:r>
                    <m:r>
                      <m:t>C</m:t>
                    </m:r>
                  </m:lim>
                </m:limLow>
              </m:oMath>
            </m:oMathPara>
          </w:p>
        </w:tc>
        <w:tc>
          <w:tcPr>
            <w:tcW w:w="1134" w:type="dxa"/>
            <w:vAlign w:val="center"/>
          </w:tcPr>
          <w:p>
            <w:pPr>
              <w:pStyle w:val="EcuacionAPA"/>
              <w:jc w:val="right"/>
            </w:pPr>
            <w:r>
              <w:t>(1)</w:t>
            </w:r>
          </w:p>
        </w:tc>
      </w:tr>
    </w:tbl>
    <w:p>
      <w:pPr>
        <w:pStyle w:val="FirstParagraph"/>
        <w:ind w:firstLine="0"/>
      </w:pPr>
      <w:r>
        <w:t xml:space="preserve"/>
      </w:r>
      <w:r>
        <w:t xml:space="preserve"/>
      </w:r>
      <w:r>
        <w:t xml:space="preserve">donde</w:t>
      </w:r>
      <w:r>
        <w:t xml:space="preserve"> </w:t>
      </w:r>
      <m:oMath>
        <m:sSub>
          <m:e>
            <m:r>
              <m:t>C</m:t>
            </m:r>
          </m:e>
          <m:sub>
            <m:r>
              <m:t>P</m:t>
            </m:r>
          </m:sub>
        </m:sSub>
      </m:oMath>
      <w:r>
        <w:t xml:space="preserve">,</w:t>
      </w:r>
      <w:r>
        <w:t xml:space="preserve"> </w:t>
      </w:r>
      <m:oMath>
        <m:sSub>
          <m:e>
            <m:r>
              <m:t>C</m:t>
            </m:r>
          </m:e>
          <m:sub>
            <m:r>
              <m:t>E</m:t>
            </m:r>
          </m:sub>
        </m:sSub>
      </m:oMath>
      <w:r>
        <w:t xml:space="preserve">,</w:t>
      </w:r>
      <w:r>
        <w:t xml:space="preserve"> </w:t>
      </w:r>
      <m:oMath>
        <m:sSub>
          <m:e>
            <m:r>
              <m:t>C</m:t>
            </m:r>
          </m:e>
          <m:sub>
            <m:r>
              <m:t>F</m:t>
            </m:r>
            <m:r>
              <m:t>I</m:t>
            </m:r>
          </m:sub>
        </m:sSub>
      </m:oMath>
      <w:r>
        <w:t xml:space="preserve"> </w:t>
      </w:r>
      <w:r>
        <w:t xml:space="preserve">y</w:t>
      </w:r>
      <w:r>
        <w:t xml:space="preserve"> </w:t>
      </w:r>
      <m:oMath>
        <m:sSub>
          <m:e>
            <m:r>
              <m:t>C</m:t>
            </m:r>
          </m:e>
          <m:sub>
            <m:r>
              <m:t>F</m:t>
            </m:r>
            <m:r>
              <m:t>E</m:t>
            </m:r>
          </m:sub>
        </m:sSub>
      </m:oMath>
      <w:r>
        <w:t xml:space="preserve"> </w:t>
      </w:r>
      <w:r>
        <w:t xml:space="preserve">son los costos de prevención, evaluación, fallas internas y fallas externas;</w:t>
      </w:r>
      <w:r>
        <w:t xml:space="preserve"> </w:t>
      </w:r>
      <m:oMath>
        <m:r>
          <m:t>C</m:t>
        </m:r>
        <m:r>
          <m:t>C</m:t>
        </m:r>
      </m:oMath>
      <w:r>
        <w:t xml:space="preserve"> </w:t>
      </w:r>
      <w:r>
        <w:t xml:space="preserve">es el costo de conformidad y</w:t>
      </w:r>
      <w:r>
        <w:t xml:space="preserve"> </w:t>
      </w:r>
      <m:oMath>
        <m:r>
          <m:t>C</m:t>
        </m:r>
        <m:r>
          <m:t>N</m:t>
        </m:r>
        <m:r>
          <m:t>C</m:t>
        </m:r>
      </m:oMath>
      <w:r>
        <w:t xml:space="preserve"> </w:t>
      </w:r>
      <w:r>
        <w:t xml:space="preserve">el costo de no conformidad o de no calidad</w:t>
      </w:r>
      <w:r>
        <w:t xml:space="preserve"> </w:t>
      </w:r>
      <w:r>
        <w:t xml:space="preserve">(Zurita Ferrel, 2024, p. 150)</w:t>
      </w:r>
      <w:r>
        <w:t xml:space="preserve">.</w:t>
      </w:r>
      <w:r>
        <w:t xml:space="preserve"> </w:t>
      </w:r>
      <w:r>
        <w:t xml:space="preserve">Khadim et al. (2023, p. 5416)</w:t>
      </w:r>
      <w:r>
        <w:t xml:space="preserve"> </w:t>
      </w:r>
      <w:r>
        <w:t xml:space="preserve">amplían el modelo: dividen las fallas en visibles (internas y externas) y ocultas, tangibles e intangibles, que no aparecen en la contabilidad. La Tabla 8 aplica las categorías a la ejecución de la losa.</w:t>
      </w:r>
    </w:p>
    <w:p>
      <w:pPr>
        <w:pStyle w:val="Caption"/>
      </w:pPr>
      <w:bookmarkStart w:id="1412" w:name="tab8"/>
      <w:r>
        <w:t xml:space="preserve"/>
      </w:r>
      <w:r>
        <w:rPr>
          <w:bCs/>
          <w:b/>
        </w:rPr>
        <w:t xml:space="preserve">Tabla 8</w:t>
      </w:r>
      <w:r>
        <w:br/>
      </w:r>
      <w:r>
        <w:rPr>
          <w:iCs/>
          <w:i/>
        </w:rPr>
        <w:t xml:space="preserve">Categorías del modelo de prevención, evaluación y fallas en la ejecución de la losa</w:t>
      </w:r>
      <w:bookmarkEnd w:id="1412"/>
    </w:p>
    <w:tbl>
      <w:tblPr>
        <w:tblStyle w:val="Table"/>
        <w:tblW w:w="9361" w:type="dxa"/>
        <w:jc w:val="left"/>
        <w:tblLayout w:type="fixed"/>
        <w:tblCellMar>
          <w:top w:w="0" w:type="dxa"/>
          <w:left w:w="85" w:type="dxa"/>
          <w:bottom w:w="0" w:type="dxa"/>
          <w:right w:w="85" w:type="dxa"/>
        </w:tblCellMar>
        <w:tblLook w:firstRow="1" w:lastRow="0" w:firstColumn="0" w:lastColumn="0" w:noHBand="0" w:noVBand="0" w:val="0020"/>
      </w:tblPr>
      <w:tblGrid>
        <w:gridCol w:w="1555"/>
        <w:gridCol w:w="2673"/>
        <w:gridCol w:w="5133"/>
      </w:tblGrid>
      <w:tr>
        <w:trPr>
          <w:cantSplit/>
          <w:tblHeader w:val="true"/>
        </w:trPr>
        <w:tc>
          <w:tcPr>
            <w:tcW w:w="1555" w:type="dxa"/>
            <w:tcBorders>
              <w:top w:val="single" w:sz="8" w:space="0" w:color="000000"/>
              <w:bottom w:val="single" w:sz="4" w:space="0" w:color="000000"/>
            </w:tcBorders>
          </w:tcPr>
          <w:p>
            <w:pPr>
              <w:pStyle w:val="CeldaAPA"/>
              <w:jc w:val="center"/>
            </w:pPr>
            <w:r>
              <w:rPr>
                <w:bCs/>
                <w:b/>
              </w:rPr>
              <w:t xml:space="preserve">Categoría</w:t>
            </w:r>
          </w:p>
        </w:tc>
        <w:tc>
          <w:tcPr>
            <w:tcW w:w="2673" w:type="dxa"/>
            <w:tcBorders>
              <w:top w:val="single" w:sz="8" w:space="0" w:color="000000"/>
              <w:bottom w:val="single" w:sz="4" w:space="0" w:color="000000"/>
            </w:tcBorders>
          </w:tcPr>
          <w:p>
            <w:pPr>
              <w:pStyle w:val="CeldaAPA"/>
              <w:jc w:val="center"/>
            </w:pPr>
            <w:r>
              <w:rPr>
                <w:bCs/>
                <w:b/>
              </w:rPr>
              <w:t xml:space="preserve">Definición</w:t>
            </w:r>
          </w:p>
        </w:tc>
        <w:tc>
          <w:tcPr>
            <w:tcW w:w="5133" w:type="dxa"/>
            <w:tcBorders>
              <w:top w:val="single" w:sz="8" w:space="0" w:color="000000"/>
              <w:bottom w:val="single" w:sz="4" w:space="0" w:color="000000"/>
            </w:tcBorders>
          </w:tcPr>
          <w:p>
            <w:pPr>
              <w:pStyle w:val="CeldaAPA"/>
              <w:jc w:val="center"/>
            </w:pPr>
            <w:r>
              <w:rPr>
                <w:bCs/>
                <w:b/>
              </w:rPr>
              <w:t xml:space="preserve">Ejemplos en la ejecución de la losa</w:t>
            </w:r>
          </w:p>
        </w:tc>
      </w:tr>
      <w:tr>
        <w:tc>
          <w:tcPr>
            <w:tcW w:w="1555" w:type="dxa"/>
          </w:tcPr>
          <w:p>
            <w:pPr>
              <w:pStyle w:val="CeldaAPA"/>
              <w:jc w:val="left"/>
            </w:pPr>
            <w:r>
              <w:rPr/>
              <w:t xml:space="preserve">Prevención</w:t>
            </w:r>
          </w:p>
        </w:tc>
        <w:tc>
          <w:tcPr>
            <w:tcW w:w="2673" w:type="dxa"/>
          </w:tcPr>
          <w:p>
            <w:pPr>
              <w:pStyle w:val="CeldaAPA"/>
              <w:jc w:val="left"/>
            </w:pPr>
            <w:r>
              <w:rPr/>
              <w:t xml:space="preserve">Actividades para evitar defectos</w:t>
            </w:r>
          </w:p>
        </w:tc>
        <w:tc>
          <w:tcPr>
            <w:tcW w:w="5133" w:type="dxa"/>
          </w:tcPr>
          <w:p>
            <w:pPr>
              <w:pStyle w:val="CeldaAPA"/>
              <w:jc w:val="left"/>
            </w:pPr>
            <w:r>
              <w:rPr/>
              <w:t xml:space="preserve">Plan de la calidad y PPI; revisión de planos y especificaciones; capacitación del personal; evaluación de proveedores; planificación de los pedidos por paño</w:t>
            </w:r>
          </w:p>
        </w:tc>
      </w:tr>
      <w:tr>
        <w:tc>
          <w:tcPr>
            <w:tcW w:w="1555" w:type="dxa"/>
          </w:tcPr>
          <w:p>
            <w:pPr>
              <w:pStyle w:val="CeldaAPA"/>
              <w:jc w:val="left"/>
            </w:pPr>
            <w:r>
              <w:rPr/>
              <w:t xml:space="preserve">Evaluación</w:t>
            </w:r>
          </w:p>
        </w:tc>
        <w:tc>
          <w:tcPr>
            <w:tcW w:w="2673" w:type="dxa"/>
          </w:tcPr>
          <w:p>
            <w:pPr>
              <w:pStyle w:val="CeldaAPA"/>
              <w:jc w:val="left"/>
            </w:pPr>
            <w:r>
              <w:rPr/>
              <w:t xml:space="preserve">Actividades para verificar la conformidad</w:t>
            </w:r>
          </w:p>
        </w:tc>
        <w:tc>
          <w:tcPr>
            <w:tcW w:w="5133" w:type="dxa"/>
          </w:tcPr>
          <w:p>
            <w:pPr>
              <w:pStyle w:val="CeldaAPA"/>
              <w:jc w:val="left"/>
            </w:pPr>
            <w:r>
              <w:rPr/>
              <w:t xml:space="preserve">Inspección de recepción de viguetas, complementos y acero; ensayos de asentamiento y de resistencia del hormigón; verificación del armado antes del vaciado; conciliación de cantidades</w:t>
            </w:r>
          </w:p>
        </w:tc>
      </w:tr>
      <w:tr>
        <w:tc>
          <w:tcPr>
            <w:tcW w:w="1555" w:type="dxa"/>
          </w:tcPr>
          <w:p>
            <w:pPr>
              <w:pStyle w:val="CeldaAPA"/>
              <w:jc w:val="left"/>
            </w:pPr>
            <w:r>
              <w:rPr/>
              <w:t xml:space="preserve">Fallas internas</w:t>
            </w:r>
          </w:p>
        </w:tc>
        <w:tc>
          <w:tcPr>
            <w:tcW w:w="2673" w:type="dxa"/>
          </w:tcPr>
          <w:p>
            <w:pPr>
              <w:pStyle w:val="CeldaAPA"/>
              <w:jc w:val="left"/>
            </w:pPr>
            <w:r>
              <w:rPr/>
              <w:t xml:space="preserve">Errores detectados antes de la entrega</w:t>
            </w:r>
          </w:p>
        </w:tc>
        <w:tc>
          <w:tcPr>
            <w:tcW w:w="5133" w:type="dxa"/>
          </w:tcPr>
          <w:p>
            <w:pPr>
              <w:pStyle w:val="CeldaAPA"/>
              <w:jc w:val="left"/>
            </w:pPr>
            <w:r>
              <w:rPr/>
              <w:t xml:space="preserve">Viguetas rotas y complementos dañados; hormigón y acero desperdiciados; retrabajo del armado; reparación de cangrejeras; paralizaciones por material no conforme</w:t>
            </w:r>
          </w:p>
        </w:tc>
      </w:tr>
      <w:tr>
        <w:tc>
          <w:tcPr>
            <w:tcW w:w="1555" w:type="dxa"/>
          </w:tcPr>
          <w:p>
            <w:pPr>
              <w:pStyle w:val="CeldaAPA"/>
              <w:jc w:val="left"/>
            </w:pPr>
            <w:r>
              <w:rPr/>
              <w:t xml:space="preserve">Fallas externas</w:t>
            </w:r>
          </w:p>
        </w:tc>
        <w:tc>
          <w:tcPr>
            <w:tcW w:w="2673" w:type="dxa"/>
          </w:tcPr>
          <w:p>
            <w:pPr>
              <w:pStyle w:val="CeldaAPA"/>
              <w:jc w:val="left"/>
            </w:pPr>
            <w:r>
              <w:rPr/>
              <w:t xml:space="preserve">Errores detectados después de la entrega</w:t>
            </w:r>
          </w:p>
        </w:tc>
        <w:tc>
          <w:tcPr>
            <w:tcW w:w="5133" w:type="dxa"/>
          </w:tcPr>
          <w:p>
            <w:pPr>
              <w:pStyle w:val="CeldaAPA"/>
              <w:jc w:val="left"/>
            </w:pPr>
            <w:r>
              <w:rPr/>
              <w:t xml:space="preserve">Reparación de fisuras o flechas de la losa recibida; descuentos por sobremedición en las planillas; extracción de núcleos y evaluaciones adicionales</w:t>
            </w:r>
          </w:p>
        </w:tc>
      </w:tr>
      <w:tr>
        <w:tc>
          <w:tcPr>
            <w:tcW w:w="1555" w:type="dxa"/>
            <w:tcBorders>
              <w:bottom w:val="single" w:sz="8" w:space="0" w:color="000000"/>
            </w:tcBorders>
          </w:tcPr>
          <w:p>
            <w:pPr>
              <w:pStyle w:val="CeldaAPA"/>
              <w:jc w:val="left"/>
            </w:pPr>
            <w:r>
              <w:rPr/>
              <w:t xml:space="preserve">Fallas ocultas</w:t>
            </w:r>
          </w:p>
        </w:tc>
        <w:tc>
          <w:tcPr>
            <w:tcW w:w="2673" w:type="dxa"/>
            <w:tcBorders>
              <w:bottom w:val="single" w:sz="8" w:space="0" w:color="000000"/>
            </w:tcBorders>
          </w:tcPr>
          <w:p>
            <w:pPr>
              <w:pStyle w:val="CeldaAPA"/>
              <w:jc w:val="left"/>
            </w:pPr>
            <w:r>
              <w:rPr/>
              <w:t xml:space="preserve">Pérdidas que no se registran</w:t>
            </w:r>
          </w:p>
        </w:tc>
        <w:tc>
          <w:tcPr>
            <w:tcW w:w="5133" w:type="dxa"/>
            <w:tcBorders>
              <w:bottom w:val="single" w:sz="8" w:space="0" w:color="000000"/>
            </w:tcBorders>
          </w:tcPr>
          <w:p>
            <w:pPr>
              <w:pStyle w:val="CeldaAPA"/>
              <w:jc w:val="left"/>
            </w:pPr>
            <w:r>
              <w:rPr/>
              <w:t xml:space="preserve">Sobreconsumos no medidos, esperas y pérdidas de productividad, deterioro de la relación con el contratante</w:t>
            </w:r>
          </w:p>
        </w:tc>
      </w:tr>
    </w:tbl>
    <w:p>
      <w:pPr>
        <w:pStyle w:val="NotaAPA"/>
      </w:pPr>
      <w:r>
        <w:rPr>
          <w:iCs/>
          <w:i/>
        </w:rPr>
        <w:t xml:space="preserve">Nota.</w:t>
      </w:r>
      <w:r>
        <w:t xml:space="preserve"> </w:t>
      </w:r>
      <w:r>
        <w:t xml:space="preserve">Elaborado con base en</w:t>
      </w:r>
      <w:r>
        <w:t xml:space="preserve"> </w:t>
      </w:r>
      <w:r>
        <w:t xml:space="preserve">Alfaro Félix (2011, pp. 12–13)</w:t>
      </w:r>
      <w:r>
        <w:t xml:space="preserve">,</w:t>
      </w:r>
      <w:r>
        <w:t xml:space="preserve"> </w:t>
      </w:r>
      <w:r>
        <w:t xml:space="preserve">Gracia Villar y Dzul López (2007, pp. 46–49)</w:t>
      </w:r>
      <w:r>
        <w:t xml:space="preserve"> </w:t>
      </w:r>
      <w:r>
        <w:t xml:space="preserve">y</w:t>
      </w:r>
      <w:r>
        <w:t xml:space="preserve"> </w:t>
      </w:r>
      <w:r>
        <w:t xml:space="preserve">Khadim et al. (2023, p. 5416)</w:t>
      </w:r>
      <w:r>
        <w:t xml:space="preserve">. Los ejemplos son de elaboración propia.</w:t>
      </w:r>
    </w:p>
    <w:p>
      <w:pPr>
        <w:pStyle w:val="BodyText"/>
      </w:pPr>
      <w:r>
        <w:t xml:space="preserve">La relación entre las categorías explica por qué conviene prevenir. Según la regla 1-10-100 que recogen</w:t>
      </w:r>
      <w:r>
        <w:t xml:space="preserve"> </w:t>
      </w:r>
      <w:r>
        <w:t xml:space="preserve">Khadim et al. (2023, p. 5407)</w:t>
      </w:r>
      <w:r>
        <w:t xml:space="preserve">, es preferible invertir una unidad en prevención que gastar diez en corrección o cien en una falla.</w:t>
      </w:r>
      <w:r>
        <w:t xml:space="preserve"> </w:t>
      </w:r>
      <w:r>
        <w:t xml:space="preserve">Gracia Villar y Dzul López (2007, p. 49)</w:t>
      </w:r>
      <w:r>
        <w:t xml:space="preserve"> </w:t>
      </w:r>
      <w:r>
        <w:t xml:space="preserve">describen la relación con una curva (Figura 2): al aumentar la prevención y la evaluación, las fallas disminuyen, pero cada incremento es menos eficaz que el anterior, de modo que la suma de ambas curvas tiene un mínimo, el punto óptimo operativo provisional. Es provisional porque se desplaza a medida que la mejora reduce los errores, y por eso los modelos más recientes incorporan el costo y el valor de la mejora continua</w:t>
      </w:r>
      <w:r>
        <w:t xml:space="preserve"> </w:t>
      </w:r>
      <w:r>
        <w:t xml:space="preserve">(Gracia Villar y Dzul López, 2007, pp. 47–48)</w:t>
      </w:r>
      <w:r>
        <w:t xml:space="preserve">.</w:t>
      </w:r>
    </w:p>
    <w:p>
      <w:pPr>
        <w:pStyle w:val="BodyText"/>
      </w:pPr>
      <w:r>
        <w:t xml:space="preserve">Muchas empresas operan a la izquierda del óptimo: en los proyectos estudiados por</w:t>
      </w:r>
      <w:r>
        <w:t xml:space="preserve"> </w:t>
      </w:r>
      <w:r>
        <w:t xml:space="preserve">Khadim et al. (2023, p. 5420)</w:t>
      </w:r>
      <w:r>
        <w:t xml:space="preserve">, las fallas visibles (2,34 %) superaron la inversión en conformidad (1,83 %), y en un fabricante boliviano de viguetas, antes del SGC, las fallas externas representaban el 50 % del costo de la calidad y la prevención apenas el 16 %</w:t>
      </w:r>
      <w:r>
        <w:t xml:space="preserve"> </w:t>
      </w:r>
      <w:r>
        <w:t xml:space="preserve">(Pajarito Mamani, 2015, p. 143)</w:t>
      </w:r>
      <w:r>
        <w:t xml:space="preserve">. La recomendación que recogen</w:t>
      </w:r>
      <w:r>
        <w:t xml:space="preserve"> </w:t>
      </w:r>
      <w:r>
        <w:t xml:space="preserve">Palanisamy y Palanichamy (2025, Sección 2.2.1)</w:t>
      </w:r>
      <w:r>
        <w:t xml:space="preserve"> </w:t>
      </w:r>
      <w:r>
        <w:t xml:space="preserve">orienta la inversión: menos del 2 % en prevención y evaluación aumenta inevitablemente los costos de falla, y más del 4 % probablemente no tiene retorno. El óptimo no implica cero fallas: los estándares de costo deben admitir un margen controlado de no calidad, porque no existe el proceso perfecto</w:t>
      </w:r>
      <w:r>
        <w:t xml:space="preserve"> </w:t>
      </w:r>
      <w:r>
        <w:t xml:space="preserve">(Gracia Villar y Dzul López, 2007, p. 53)</w:t>
      </w:r>
      <w:r>
        <w:t xml:space="preserve">, y un sistema de costos de la calidad no resuelve por sí mismo los problemas, sino que sirve para dimensionarlos</w:t>
      </w:r>
      <w:r>
        <w:t xml:space="preserve"> </w:t>
      </w:r>
      <w:r>
        <w:t xml:space="preserve">(Gracia Villar y Dzul López, 2007, p. 56)</w:t>
      </w:r>
      <w:r>
        <w:t xml:space="preserve">.</w:t>
      </w:r>
    </w:p>
    <w:p>
      <w:pPr>
        <w:pStyle w:val="Caption"/>
      </w:pPr>
      <w:bookmarkStart w:id="1413" w:name="fig2"/>
      <w:r>
        <w:t xml:space="preserve"/>
      </w:r>
      <w:r>
        <w:rPr>
          <w:bCs/>
          <w:b/>
        </w:rPr>
        <w:t xml:space="preserve">Figura 2</w:t>
      </w:r>
      <w:r>
        <w:br/>
      </w:r>
      <w:r>
        <w:rPr>
          <w:iCs/>
          <w:i/>
        </w:rPr>
        <w:t xml:space="preserve">Curvas de los costos de la calidad y punto óptimo operativo provisional</w:t>
      </w:r>
      <w:bookmarkEnd w:id="1413"/>
    </w:p>
    <w:p>
      <w:pPr>
        <w:pStyle w:val="FiguraAPA"/>
      </w:pPr>
      <w:r>
        <w:drawing>
          <wp:inline>
            <wp:extent cx="5116679" cy="2291687"/>
            <wp:effectExtent b="0" l="0" r="0" t="0"/>
            <wp:docPr descr="image" title="" id="81" name="Picture"/>
            <a:graphic>
              <a:graphicData uri="http://schemas.openxmlformats.org/drawingml/2006/picture">
                <pic:pic>
                  <pic:nvPicPr>
                    <pic:cNvPr descr="/home/user/TesisSGC/07_Entregables/scripts/_trabajo_sencilla/tikz/tikz_912d071d5448887201ba.png" id="82" name="Picture"/>
                    <pic:cNvPicPr>
                      <a:picLocks noChangeArrowheads="1" noChangeAspect="1"/>
                    </pic:cNvPicPr>
                  </pic:nvPicPr>
                  <pic:blipFill>
                    <a:blip r:embed="rId80"/>
                    <a:stretch>
                      <a:fillRect/>
                    </a:stretch>
                  </pic:blipFill>
                  <pic:spPr bwMode="auto">
                    <a:xfrm>
                      <a:off x="0" y="0"/>
                      <a:ext cx="5116679" cy="2291687"/>
                    </a:xfrm>
                    <a:prstGeom prst="rect">
                      <a:avLst/>
                    </a:prstGeom>
                    <a:noFill/>
                    <a:ln w="9525">
                      <a:noFill/>
                      <a:headEnd/>
                      <a:tailEnd/>
                    </a:ln>
                  </pic:spPr>
                </pic:pic>
              </a:graphicData>
            </a:graphic>
          </wp:inline>
        </w:drawing>
      </w:r>
    </w:p>
    <w:p>
      <w:pPr>
        <w:pStyle w:val="NotaAPA"/>
      </w:pPr>
      <w:r>
        <w:rPr>
          <w:iCs/>
          <w:i/>
        </w:rPr>
        <w:t xml:space="preserve">Nota.</w:t>
      </w:r>
      <w:r>
        <w:t xml:space="preserve"> </w:t>
      </w:r>
      <w:r>
        <w:t xml:space="preserve">Adaptado de la figura 2 de</w:t>
      </w:r>
      <w:r>
        <w:t xml:space="preserve"> </w:t>
      </w:r>
      <w:r>
        <w:t xml:space="preserve">Gracia Villar y Dzul López (2007, p. 49)</w:t>
      </w:r>
      <w:r>
        <w:t xml:space="preserve">. Las curvas son ilustrativas y no representan datos de la obra.</w:t>
      </w:r>
    </w:p>
    <w:p>
      <w:pPr>
        <w:pStyle w:val="Heading3"/>
      </w:pPr>
      <w:bookmarkStart w:id="84" w:name="tit61"/>
      <w:r>
        <w:t xml:space="preserve">1.4.2. Costo de no calidad y retrabajo</w:t>
      </w:r>
      <w:bookmarkEnd w:id="84"/>
    </w:p>
    <w:p>
      <w:pPr>
        <w:pStyle w:val="FirstParagraph"/>
      </w:pPr>
      <w:r>
        <w:t xml:space="preserve">Los costos de no calidad son los gastos adicionales para rehacer o reparar lo que se hizo mal: el retrabajo, el reemplazo de los materiales que no cumplen los requisitos y el tiempo para completar los trabajos retrasados; como nunca se presupuestan, constituyen una pérdida neta</w:t>
      </w:r>
      <w:r>
        <w:t xml:space="preserve"> </w:t>
      </w:r>
      <w:r>
        <w:t xml:space="preserve">(Alfaro Félix, 2011, p. 38)</w:t>
      </w:r>
      <w:r>
        <w:t xml:space="preserve">. El retrabajo es el esfuerzo innecesario de rehacer una actividad o un proceso que se ejecutó incorrectamente la primera vez, según la definición que adoptan</w:t>
      </w:r>
      <w:r>
        <w:t xml:space="preserve"> </w:t>
      </w:r>
      <w:r>
        <w:t xml:space="preserve">Forcada et al. (2017, p. 2)</w:t>
      </w:r>
      <w:r>
        <w:t xml:space="preserve">, y su origen es la variabilidad de los procesos: una parte de lo producido no cumple la especificación y debe desecharse o rehacerse</w:t>
      </w:r>
      <w:r>
        <w:t xml:space="preserve"> </w:t>
      </w:r>
      <w:r>
        <w:t xml:space="preserve">(Koskela, 1992, p. 14)</w:t>
      </w:r>
      <w:r>
        <w:t xml:space="preserve">. Una parte de estos costos permanece oculta</w:t>
      </w:r>
      <w:r>
        <w:t xml:space="preserve"> </w:t>
      </w:r>
      <w:r>
        <w:t xml:space="preserve">(Khadim et al., 2023, p. 5421)</w:t>
      </w:r>
      <w:r>
        <w:t xml:space="preserve">: son los reprocesos ocultos, errores que generan más errores, como una zapata vaciada con hormigón de menor resistencia que solo se detecta cuando ya se avanzó con los trabajos siguientes</w:t>
      </w:r>
      <w:r>
        <w:t xml:space="preserve"> </w:t>
      </w:r>
      <w:r>
        <w:t xml:space="preserve">(Álvarez Quintero, 2014, p. 19)</w:t>
      </w:r>
      <w:r>
        <w:t xml:space="preserve">. En una losa ocurre lo mismo: si no se toman probetas del hormigón de la carpeta, una resistencia insuficiente permanece oculta hasta que se manifiesta como fisuras o flechas.</w:t>
      </w:r>
    </w:p>
    <w:p>
      <w:pPr>
        <w:pStyle w:val="BodyText"/>
      </w:pPr>
      <w:r>
        <w:t xml:space="preserve">Las magnitudes reportadas dependen de la base de cálculo, del alcance de las fallas consideradas y del método. Con datos tomados de otros autores,</w:t>
      </w:r>
      <w:r>
        <w:t xml:space="preserve"> </w:t>
      </w:r>
      <w:r>
        <w:t xml:space="preserve">Dzul y Gracia (2009, p. 42)</w:t>
      </w:r>
      <w:r>
        <w:t xml:space="preserve"> </w:t>
      </w:r>
      <w:r>
        <w:t xml:space="preserve">sitúan los costos de la calidad entre el 8 % y el 15 % del costo total de la construcción, y</w:t>
      </w:r>
      <w:r>
        <w:t xml:space="preserve"> </w:t>
      </w:r>
      <w:r>
        <w:t xml:space="preserve">Koskela (1992, p. 35)</w:t>
      </w:r>
      <w:r>
        <w:t xml:space="preserve"> </w:t>
      </w:r>
      <w:r>
        <w:t xml:space="preserve">reporta un costo de la mala calidad medido en obra del 10 % al 20 % del costo total del proyecto. Las mediciones de lo registrado dan valores menores: un retrabajo del 2,75 % del valor original del contrato</w:t>
      </w:r>
      <w:r>
        <w:t xml:space="preserve"> </w:t>
      </w:r>
      <w:r>
        <w:t xml:space="preserve">(Forcada et al., 2017, p. 8)</w:t>
      </w:r>
      <w:r>
        <w:t xml:space="preserve">, una no calidad del 2,7 % al 5,1 % del costo de la partida de concreto armado</w:t>
      </w:r>
      <w:r>
        <w:t xml:space="preserve"> </w:t>
      </w:r>
      <w:r>
        <w:t xml:space="preserve">(Gudiel Cairampoma y Solis Puente, 2020, p. 1)</w:t>
      </w:r>
      <w:r>
        <w:t xml:space="preserve"> </w:t>
      </w:r>
      <w:r>
        <w:t xml:space="preserve">y un costo total de la calidad del 0,55 % del presupuesto en una obra con plan de calidad</w:t>
      </w:r>
      <w:r>
        <w:t xml:space="preserve"> </w:t>
      </w:r>
      <w:r>
        <w:t xml:space="preserve">(Muro Núñez, 2020, p. 49)</w:t>
      </w:r>
      <w:r>
        <w:t xml:space="preserve">. En 16 edificios, el costo total de la calidad varió entre el 1,571 % y el 12,29 % del valor del proyecto, y solo los costos de falla influyeron significativamente en él</w:t>
      </w:r>
      <w:r>
        <w:t xml:space="preserve"> </w:t>
      </w:r>
      <w:r>
        <w:t xml:space="preserve">(Palanisamy y Palanichamy, 2025, Sección 2.2 y 3.3)</w:t>
      </w:r>
      <w:r>
        <w:t xml:space="preserve">. Cuando se añaden las fallas ocultas, el costo de la calidad llega al 12,76 % del costo total, del que el 8,59 % corresponde a esas fallas</w:t>
      </w:r>
      <w:r>
        <w:t xml:space="preserve"> </w:t>
      </w:r>
      <w:r>
        <w:t xml:space="preserve">(Khadim et al., 2023, pp. 5420–5423)</w:t>
      </w:r>
      <w:r>
        <w:t xml:space="preserve">. En la revisión de</w:t>
      </w:r>
      <w:r>
        <w:t xml:space="preserve"> </w:t>
      </w:r>
      <w:r>
        <w:t xml:space="preserve">Álvarez Quintero (2014, pp. 5, 12)</w:t>
      </w:r>
      <w:r>
        <w:t xml:space="preserve">, los reprocesos promediaron el 6,59 % del costo de los proyectos, y en los datos compilados que reporta bajaron del 6,5 % al 0,72 % del valor del contrato en los proyectos con SGC.</w:t>
      </w:r>
    </w:p>
    <w:p>
      <w:pPr>
        <w:pStyle w:val="BodyText"/>
      </w:pPr>
      <w:r>
        <w:t xml:space="preserve">Para esta tesis se derivan tres criterios: el costo de no calidad de la losa se expresa sobre una sola base, el costo del ítem; se separan las fallas documentadas de las estimadas; y la fracción de retrabajo y los costos del sistema se representan con rangos tomados de la literatura, no con valores únicos, en el modelo de evaluación</w:t>
      </w:r>
      <w:r>
        <w:t xml:space="preserve"> </w:t>
      </w:r>
      <w:r>
        <w:rPr>
          <w:iCs/>
          <w:i/>
        </w:rPr>
        <w:t xml:space="preserve">ex ante</w:t>
      </w:r>
      <w:r>
        <w:t xml:space="preserve"> </w:t>
      </w:r>
      <w:r>
        <w:t xml:space="preserve">(sección 2.7.2).</w:t>
      </w:r>
    </w:p>
    <w:p>
      <w:pPr>
        <w:pStyle w:val="Heading2"/>
      </w:pPr>
      <w:bookmarkStart w:id="89" w:name="tit62"/>
      <w:r>
        <w:t xml:space="preserve">1.5. Pérdidas y desperdicio de materiales en la construcción</w:t>
      </w:r>
      <w:bookmarkEnd w:id="89"/>
    </w:p>
    <w:p>
      <w:pPr>
        <w:pStyle w:val="Heading3"/>
      </w:pPr>
      <w:bookmarkStart w:id="86" w:name="tit63"/>
      <w:r>
        <w:t xml:space="preserve">1.5.1. La nueva filosofía de producción y la construcción sin pérdidas</w:t>
      </w:r>
      <w:bookmarkEnd w:id="86"/>
    </w:p>
    <w:p>
      <w:pPr>
        <w:pStyle w:val="FirstParagraph"/>
      </w:pPr>
      <w:r>
        <w:t xml:space="preserve">Koskela (1992)</w:t>
      </w:r>
      <w:r>
        <w:t xml:space="preserve"> </w:t>
      </w:r>
      <w:r>
        <w:t xml:space="preserve">propuso aplicar a la construcción la nueva filosofía de producción de la industria manufacturera. Su aporte central es concebir la producción no solo como la conversión de insumos en productos, sino también como un flujo de material e información en el que el material se procesa, se inspecciona, espera o se traslada</w:t>
      </w:r>
      <w:r>
        <w:t xml:space="preserve"> </w:t>
      </w:r>
      <w:r>
        <w:t xml:space="preserve">(Koskela, 1992, p. 15)</w:t>
      </w:r>
      <w:r>
        <w:t xml:space="preserve">. Todas esas actividades consumen tiempo y costo, pero solo las de conversión agregan valor, entendido como el cumplimiento de los requisitos del cliente</w:t>
      </w:r>
      <w:r>
        <w:t xml:space="preserve"> </w:t>
      </w:r>
      <w:r>
        <w:t xml:space="preserve">(Koskela, 1992, pp. 15–16)</w:t>
      </w:r>
      <w:r>
        <w:t xml:space="preserve">; las demás son desperdicio: actividades que ocupan tiempo, recursos o espacio sin agregar valor</w:t>
      </w:r>
      <w:r>
        <w:t xml:space="preserve"> </w:t>
      </w:r>
      <w:r>
        <w:t xml:space="preserve">(Koskela, 1992, p. 17)</w:t>
      </w:r>
      <w:r>
        <w:t xml:space="preserve">. Para mejorar los flujos, Koskela formuló once principios, entre ellos reducir las actividades que no agregan valor, reducir la variabilidad, aumentar la transparencia, enfocar el control en el proceso completo e incorporar la mejora continua</w:t>
      </w:r>
      <w:r>
        <w:t xml:space="preserve"> </w:t>
      </w:r>
      <w:r>
        <w:t xml:space="preserve">(Koskela, 1992, p. 16)</w:t>
      </w:r>
      <w:r>
        <w:t xml:space="preserve">.</w:t>
      </w:r>
    </w:p>
    <w:p>
      <w:pPr>
        <w:pStyle w:val="BodyText"/>
      </w:pPr>
      <w:r>
        <w:t xml:space="preserve">La aplicación de estos principios a todo el ciclo de vida de un proyecto se conoce como Lean Construction o construcción sin pérdidas</w:t>
      </w:r>
      <w:r>
        <w:t xml:space="preserve"> </w:t>
      </w:r>
      <w:r>
        <w:t xml:space="preserve">(Pons Achell, 2014, p. 26)</w:t>
      </w:r>
      <w:r>
        <w:t xml:space="preserve">, cuyo objetivo es reducir o eliminar las actividades que no agregan valor y optimizar las que sí lo hacen</w:t>
      </w:r>
      <w:r>
        <w:t xml:space="preserve"> </w:t>
      </w:r>
      <w:r>
        <w:t xml:space="preserve">(Porras Díaz et al., 2014, p. 35)</w:t>
      </w:r>
      <w:r>
        <w:t xml:space="preserve">.</w:t>
      </w:r>
      <w:r>
        <w:t xml:space="preserve"> </w:t>
      </w:r>
      <w:r>
        <w:t xml:space="preserve">Pons Achell (2014, pp. 18–19)</w:t>
      </w:r>
      <w:r>
        <w:t xml:space="preserve"> </w:t>
      </w:r>
      <w:r>
        <w:t xml:space="preserve">adapta a la construcción los siete desperdicios de la producción industrial —sobreproducción, esperas, transporte innecesario, sobreprocesamiento, exceso de inventario, movimientos innecesarios y defectos de calidad— y añade el talento desaprovechado; además, explica que el desperdicio persiste porque no se mide y, por eso, no se conoce cuánto cuesta</w:t>
      </w:r>
      <w:r>
        <w:t xml:space="preserve"> </w:t>
      </w:r>
      <w:r>
        <w:t xml:space="preserve">(Pons Achell, 2014, p. 20)</w:t>
      </w:r>
      <w:r>
        <w:t xml:space="preserve">. Implantar este enfoque exige una cultura de mejora continua de la producción</w:t>
      </w:r>
      <w:r>
        <w:t xml:space="preserve"> </w:t>
      </w:r>
      <w:r>
        <w:t xml:space="preserve">(Porras Díaz et al., 2014, p. 38)</w:t>
      </w:r>
      <w:r>
        <w:t xml:space="preserve">.</w:t>
      </w:r>
    </w:p>
    <w:p>
      <w:pPr>
        <w:pStyle w:val="BodyText"/>
      </w:pPr>
      <w:r>
        <w:t xml:space="preserve">La construcción sin pérdidas y el SGC son complementarios. La ISO 9001 aporta la estructura de gestión —requisitos, procesos, registros, acciones correctivas y revisión por la dirección—, y la filosofía de Koskela, la mirada del flujo. Varios principios coinciden: reducir la variabilidad y enfocar el control en el proceso completo equivale a gestionar por procesos; aumentar la transparencia, a decidir con evidencia; e incorporar la mejora continua, al ciclo PHVA.</w:t>
      </w:r>
      <w:r>
        <w:t xml:space="preserve"> </w:t>
      </w:r>
      <w:r>
        <w:t xml:space="preserve">Formoso et al. (1999, p. 334)</w:t>
      </w:r>
      <w:r>
        <w:t xml:space="preserve"> </w:t>
      </w:r>
      <w:r>
        <w:t xml:space="preserve">concluyen que el control del desperdicio debe integrarse en la planificación y el control de la producción, y esa es la función del control de materiales dentro del SGC propuesto.</w:t>
      </w:r>
    </w:p>
    <w:p>
      <w:pPr>
        <w:pStyle w:val="Heading3"/>
      </w:pPr>
      <w:bookmarkStart w:id="87" w:name="tit64"/>
      <w:r>
        <w:t xml:space="preserve">1.5.2. Clasificación y causas de las pérdidas</w:t>
      </w:r>
      <w:bookmarkEnd w:id="87"/>
    </w:p>
    <w:p>
      <w:pPr>
        <w:pStyle w:val="FirstParagraph"/>
      </w:pPr>
      <w:r>
        <w:t xml:space="preserve">Formoso et al. (1999, p. 328)</w:t>
      </w:r>
      <w:r>
        <w:t xml:space="preserve"> </w:t>
      </w:r>
      <w:r>
        <w:t xml:space="preserve">definen el desperdicio como toda pérdida producida por actividades que generan costos directos o indirectos sin agregar valor al producto desde el punto de vista del cliente, y lo clasifican con tres criterios. Según la posibilidad de control, es inevitable cuando reducirlo cuesta más de lo que ahorra, y evitable en caso contrario</w:t>
      </w:r>
      <w:r>
        <w:t xml:space="preserve"> </w:t>
      </w:r>
      <w:r>
        <w:t xml:space="preserve">(Formoso et al., 1999, p. 328)</w:t>
      </w:r>
      <w:r>
        <w:t xml:space="preserve">. Según su naturaleza, distinguen nueve tipos, entre ellos los productos defectuosos, que provocan retrabajo o la incorporación de materiales innecesarios, y los inventarios excesivos, que generan pérdidas por deterioro, malas condiciones de acopio o robo</w:t>
      </w:r>
      <w:r>
        <w:t xml:space="preserve"> </w:t>
      </w:r>
      <w:r>
        <w:t xml:space="preserve">(Formoso et al., 1999, p. 329)</w:t>
      </w:r>
      <w:r>
        <w:t xml:space="preserve">. Según su origen, una parte importante nace antes de la producción, en el diseño, la planificación o el suministro</w:t>
      </w:r>
      <w:r>
        <w:t xml:space="preserve"> </w:t>
      </w:r>
      <w:r>
        <w:t xml:space="preserve">(Formoso et al., 1999, p. 327)</w:t>
      </w:r>
      <w:r>
        <w:t xml:space="preserve">. Además, el desperdicio puede ser directo, cuando el material se retira como desmonte, o indirecto, cuando se coloca en la obra un material que no está previsto en los planos ni en las especificaciones</w:t>
      </w:r>
      <w:r>
        <w:t xml:space="preserve"> </w:t>
      </w:r>
      <w:r>
        <w:t xml:space="preserve">(Ccoyllo Sifuentes, 2016, p. 15)</w:t>
      </w:r>
      <w:r>
        <w:t xml:space="preserve">; este último, que</w:t>
      </w:r>
      <w:r>
        <w:t xml:space="preserve"> </w:t>
      </w:r>
      <w:r>
        <w:t xml:space="preserve">Maciel et al. (2016, p. 106)</w:t>
      </w:r>
      <w:r>
        <w:t xml:space="preserve"> </w:t>
      </w:r>
      <w:r>
        <w:t xml:space="preserve">llaman pérdida incorporada, suele asociarse con un control de calidad deficiente</w:t>
      </w:r>
      <w:r>
        <w:t xml:space="preserve"> </w:t>
      </w:r>
      <w:r>
        <w:t xml:space="preserve">(Ccoyllo Sifuentes, 2016, pp. 15–16)</w:t>
      </w:r>
      <w:r>
        <w:t xml:space="preserve">. En la losa, las viguetas rotas y los recortes de complementos y de acero son desperdicio directo, y una carpeta más gruesa que la especificada o el hormigón que llena los complementos deformados, pérdidas incorporadas.</w:t>
      </w:r>
    </w:p>
    <w:p>
      <w:pPr>
        <w:pStyle w:val="BodyText"/>
      </w:pPr>
      <w:r>
        <w:t xml:space="preserve">En cuanto a las causas,</w:t>
      </w:r>
      <w:r>
        <w:t xml:space="preserve"> </w:t>
      </w:r>
      <w:r>
        <w:t xml:space="preserve">Luangcharoenrat et al. (2019, pp. 1, 9)</w:t>
      </w:r>
      <w:r>
        <w:t xml:space="preserve"> </w:t>
      </w:r>
      <w:r>
        <w:t xml:space="preserve">depuraron 166 factores de la literatura hasta 28, agrupados en cuatro categorías: diseño y documentación, materiales y adquisiciones, métodos constructivos y planificación, y recursos humanos. Según 178 contratistas, la categoría de mayor influencia es el diseño y la documentación, y los factores más influyentes son el cambio de diseño, las actitudes de trabajo descuidadas y el almacenamiento inadecuado de los materiales</w:t>
      </w:r>
      <w:r>
        <w:t xml:space="preserve"> </w:t>
      </w:r>
      <w:r>
        <w:t xml:space="preserve">(Luangcharoenrat et al., 2019, pp. 12–13)</w:t>
      </w:r>
      <w:r>
        <w:t xml:space="preserve">. A ellos se suma la recepción de materiales sin control de cantidades</w:t>
      </w:r>
      <w:r>
        <w:t xml:space="preserve"> </w:t>
      </w:r>
      <w:r>
        <w:t xml:space="preserve">(Ccoyllo Sifuentes, 2016, p. 32)</w:t>
      </w:r>
      <w:r>
        <w:t xml:space="preserve">. Las fuentes coinciden en que las causas dominantes son de gestión y no de motivación de los trabajadores</w:t>
      </w:r>
      <w:r>
        <w:t xml:space="preserve"> </w:t>
      </w:r>
      <w:r>
        <w:t xml:space="preserve">(Formoso et al., 1999, p. 327)</w:t>
      </w:r>
      <w:r>
        <w:t xml:space="preserve">.</w:t>
      </w:r>
    </w:p>
    <w:p>
      <w:pPr>
        <w:pStyle w:val="Heading3"/>
      </w:pPr>
      <w:bookmarkStart w:id="88" w:name="tit65"/>
      <w:r>
        <w:t xml:space="preserve">1.5.3. Medición del desperdicio y valores de referencia</w:t>
      </w:r>
      <w:bookmarkEnd w:id="88"/>
    </w:p>
    <w:p>
      <w:pPr>
        <w:pStyle w:val="FirstParagraph"/>
      </w:pPr>
      <w:r>
        <w:t xml:space="preserve">Toda pérdida es relativa a una referencia: para medirla hay que definir antes la cantidad necesaria.</w:t>
      </w:r>
      <w:r>
        <w:t xml:space="preserve"> </w:t>
      </w:r>
      <w:r>
        <w:t xml:space="preserve">Galarza Meza (2011, p. 9)</w:t>
      </w:r>
      <w:r>
        <w:t xml:space="preserve"> </w:t>
      </w:r>
      <w:r>
        <w:t xml:space="preserve">considera desperdicio todo consumo de un material en cantidades mayores que las necesarias para elaborar el producto según los documentos técnicos; en el hormigón, por razones geométricas, la situación ideal es consumir un metro cúbico por cada metro cúbico de elemento. De forma equivalente, la pérdida de materiales es la diferencia entre la cantidad realmente empleada y la cantidad necesaria según el diseño</w:t>
      </w:r>
      <w:r>
        <w:t xml:space="preserve"> </w:t>
      </w:r>
      <w:r>
        <w:t xml:space="preserve">(Rossi et al., 2001, Sección 2)</w:t>
      </w:r>
      <w:r>
        <w:t xml:space="preserve">. El índice de desperdicio del material</w:t>
      </w:r>
      <w:r>
        <w:t xml:space="preserve"> </w:t>
      </w:r>
      <m:oMath>
        <m:r>
          <m:t>i</m:t>
        </m:r>
      </m:oMath>
      <w:r>
        <w:t xml:space="preserve"> </w:t>
      </w:r>
      <w:r>
        <w:t xml:space="preserve">se expresa como</w:t>
      </w:r>
    </w:p>
    <w:tbl>
      <w:tblPr>
        <w:tblW w:w="9360" w:type="dxa"/>
        <w:tblLayout w:type="fixed"/>
        <w:tblCellMar>
          <w:left w:w="0" w:type="dxa"/>
          <w:right w:w="0" w:type="dxa"/>
        </w:tblCellMar>
        <w:tblLook w:val="0000" w:firstRow="0" w:lastRow="0" w:firstColumn="0" w:lastColumn="0" w:noHBand="1" w:noVBand="1"/>
        <w:tblCaption w:val="Ecuación"/>
      </w:tblPr>
      <w:tblGrid>
        <w:gridCol w:w="1134"/>
        <w:gridCol w:w="7092"/>
        <w:gridCol w:w="1134"/>
      </w:tblGrid>
      <w:tr>
        <w:trPr>
          <w:cantSplit/>
        </w:trPr>
        <w:tc>
          <w:tcPr>
            <w:tcW w:w="1134" w:type="dxa"/>
            <w:vAlign w:val="center"/>
          </w:tcPr>
          <w:p>
            <w:pPr>
              <w:pStyle w:val="EcuacionAPA"/>
            </w:pPr>
          </w:p>
        </w:tc>
        <w:tc>
          <w:tcPr>
            <w:tcW w:w="7092" w:type="dxa"/>
            <w:vAlign w:val="center"/>
          </w:tcPr>
          <w:p>
            <w:pPr>
              <w:pStyle w:val="EcuacionAPA"/>
            </w:pPr>
            <m:oMathPara>
              <m:oMathParaPr>
                <m:jc m:val="center"/>
              </m:oMathParaPr>
              <m:oMath>
                <m:r>
                  <m:t>I</m:t>
                </m:r>
                <m:r>
                  <m:t>D</m:t>
                </m:r>
                <m:sSub>
                  <m:e>
                    <m:r>
                      <m:t>M</m:t>
                    </m:r>
                  </m:e>
                  <m:sub>
                    <m:r>
                      <m:t>i</m:t>
                    </m:r>
                  </m:sub>
                </m:sSub>
                <m:r>
                  <m:rPr>
                    <m:sty m:val="p"/>
                  </m:rPr>
                  <m:t>=</m:t>
                </m:r>
                <m:f>
                  <m:fPr>
                    <m:type m:val="bar"/>
                  </m:fPr>
                  <m:num>
                    <m:sSub>
                      <m:e>
                        <m:r>
                          <m:t>Q</m:t>
                        </m:r>
                      </m:e>
                      <m:sub>
                        <m:r>
                          <m:rPr>
                            <m:nor/>
                            <m:sty m:val="p"/>
                          </m:rPr>
                          <m:t>real</m:t>
                        </m:r>
                        <m:r>
                          <m:rPr>
                            <m:sty m:val="p"/>
                          </m:rPr>
                          <m:t>,</m:t>
                        </m:r>
                        <m:r>
                          <m:t>i</m:t>
                        </m:r>
                      </m:sub>
                    </m:sSub>
                    <m:r>
                      <m:rPr>
                        <m:sty m:val="p"/>
                      </m:rPr>
                      <m:t>−</m:t>
                    </m:r>
                    <m:sSub>
                      <m:e>
                        <m:r>
                          <m:t>Q</m:t>
                        </m:r>
                      </m:e>
                      <m:sub>
                        <m:r>
                          <m:rPr>
                            <m:nor/>
                            <m:sty m:val="p"/>
                          </m:rPr>
                          <m:t>teórica</m:t>
                        </m:r>
                        <m:r>
                          <m:rPr>
                            <m:sty m:val="p"/>
                          </m:rPr>
                          <m:t>,</m:t>
                        </m:r>
                        <m:r>
                          <m:t>i</m:t>
                        </m:r>
                      </m:sub>
                    </m:sSub>
                  </m:num>
                  <m:den>
                    <m:sSub>
                      <m:e>
                        <m:r>
                          <m:t>Q</m:t>
                        </m:r>
                      </m:e>
                      <m:sub>
                        <m:r>
                          <m:rPr>
                            <m:nor/>
                            <m:sty m:val="p"/>
                          </m:rPr>
                          <m:t>teórica</m:t>
                        </m:r>
                        <m:r>
                          <m:rPr>
                            <m:sty m:val="p"/>
                          </m:rPr>
                          <m:t>,</m:t>
                        </m:r>
                        <m:r>
                          <m:t>i</m:t>
                        </m:r>
                      </m:sub>
                    </m:sSub>
                  </m:den>
                </m:f>
                <m:r>
                  <m:rPr>
                    <m:sty m:val="p"/>
                  </m:rPr>
                  <m:t>×</m:t>
                </m:r>
                <m:r>
                  <m:t>100</m:t>
                </m:r>
              </m:oMath>
            </m:oMathPara>
          </w:p>
        </w:tc>
        <w:tc>
          <w:tcPr>
            <w:tcW w:w="1134" w:type="dxa"/>
            <w:vAlign w:val="center"/>
          </w:tcPr>
          <w:p>
            <w:pPr>
              <w:pStyle w:val="EcuacionAPA"/>
              <w:jc w:val="right"/>
            </w:pPr>
            <w:r>
              <w:t>(2)</w:t>
            </w:r>
          </w:p>
        </w:tc>
      </w:tr>
    </w:tbl>
    <w:p>
      <w:pPr>
        <w:pStyle w:val="FirstParagraph"/>
        <w:ind w:firstLine="0"/>
      </w:pPr>
      <w:r>
        <w:t xml:space="preserve"/>
      </w:r>
      <w:r>
        <w:t xml:space="preserve"/>
      </w:r>
      <w:r>
        <w:t xml:space="preserve">donde</w:t>
      </w:r>
      <w:r>
        <w:t xml:space="preserve"> </w:t>
      </w:r>
      <m:oMath>
        <m:sSub>
          <m:e>
            <m:r>
              <m:t>Q</m:t>
            </m:r>
          </m:e>
          <m:sub>
            <m:r>
              <m:rPr>
                <m:nor/>
                <m:sty m:val="p"/>
              </m:rPr>
              <m:t>teórica</m:t>
            </m:r>
            <m:r>
              <m:rPr>
                <m:sty m:val="p"/>
              </m:rPr>
              <m:t>,</m:t>
            </m:r>
            <m:r>
              <m:t>i</m:t>
            </m:r>
          </m:sub>
        </m:sSub>
      </m:oMath>
      <w:r>
        <w:t xml:space="preserve"> </w:t>
      </w:r>
      <w:r>
        <w:t xml:space="preserve">es la cantidad que resulta de los planos y los cómputos, y</w:t>
      </w:r>
      <w:r>
        <w:t xml:space="preserve"> </w:t>
      </w:r>
      <m:oMath>
        <m:sSub>
          <m:e>
            <m:r>
              <m:t>Q</m:t>
            </m:r>
          </m:e>
          <m:sub>
            <m:r>
              <m:rPr>
                <m:nor/>
                <m:sty m:val="p"/>
              </m:rPr>
              <m:t>real</m:t>
            </m:r>
            <m:r>
              <m:rPr>
                <m:sty m:val="p"/>
              </m:rPr>
              <m:t>,</m:t>
            </m:r>
            <m:r>
              <m:t>i</m:t>
            </m:r>
          </m:sub>
        </m:sSub>
      </m:oMath>
      <w:r>
        <w:t xml:space="preserve"> </w:t>
      </w:r>
      <w:r>
        <w:t xml:space="preserve">la cantidad consumida. El capítulo 2 aplica este índice a cada material de la losa (ecuación 8).</w:t>
      </w:r>
    </w:p>
    <w:p>
      <w:pPr>
        <w:pStyle w:val="BodyText"/>
      </w:pPr>
      <w:r>
        <w:t xml:space="preserve">La validez del índice depende de cómo se obtienen sus dos términos. La cantidad teórica debe calcularse con la geometría del elemento y, en el acero, con la planilla de despiece, porque sumar a las longitudes un porcentaje fijo de desperdicio subestima el acero necesario: habría que aplicar un 19,5 % en lugar del 10 % recomendado para igualar el cálculo optimizado</w:t>
      </w:r>
      <w:r>
        <w:t xml:space="preserve"> </w:t>
      </w:r>
      <w:r>
        <w:t xml:space="preserve">(Abbott y Rodríguez, 2008, pp. 589–590)</w:t>
      </w:r>
      <w:r>
        <w:t xml:space="preserve">. La cantidad real se obtiene de las guías de compra, los registros de almacén y los vales de salida</w:t>
      </w:r>
      <w:r>
        <w:t xml:space="preserve"> </w:t>
      </w:r>
      <w:r>
        <w:t xml:space="preserve">(Galarza Meza, 2011, pp. 53, 64)</w:t>
      </w:r>
      <w:r>
        <w:t xml:space="preserve">, complementados con inventarios periódicos del material acopiado</w:t>
      </w:r>
      <w:r>
        <w:t xml:space="preserve"> </w:t>
      </w:r>
      <w:r>
        <w:t xml:space="preserve">(Formoso et al., 1999, p. 331)</w:t>
      </w:r>
      <w:r>
        <w:t xml:space="preserve">, y la medición debe ser frecuente —semanal o por vaciado— para corregir a tiempo y no solo constatar la pérdida al final de la obra</w:t>
      </w:r>
      <w:r>
        <w:t xml:space="preserve"> </w:t>
      </w:r>
      <w:r>
        <w:t xml:space="preserve">(Formoso et al., 1999, p. 334)</w:t>
      </w:r>
      <w:r>
        <w:t xml:space="preserve">.</w:t>
      </w:r>
    </w:p>
    <w:p>
      <w:pPr>
        <w:pStyle w:val="BodyText"/>
      </w:pPr>
      <w:r>
        <w:t xml:space="preserve">Para valorar las pérdidas,</w:t>
      </w:r>
      <w:r>
        <w:t xml:space="preserve"> </w:t>
      </w:r>
      <w:r>
        <w:t xml:space="preserve">Rossi et al. (2001, Sección 4.5)</w:t>
      </w:r>
      <w:r>
        <w:t xml:space="preserve"> </w:t>
      </w:r>
      <w:r>
        <w:t xml:space="preserve">proponen calcular el costo de las pérdidas de materiales como la diferencia entre el consumo real y el teórico multiplicada por el costo unitario:</w:t>
      </w:r>
    </w:p>
    <w:tbl>
      <w:tblPr>
        <w:tblW w:w="9360" w:type="dxa"/>
        <w:tblLayout w:type="fixed"/>
        <w:tblCellMar>
          <w:left w:w="0" w:type="dxa"/>
          <w:right w:w="0" w:type="dxa"/>
        </w:tblCellMar>
        <w:tblLook w:val="0000" w:firstRow="0" w:lastRow="0" w:firstColumn="0" w:lastColumn="0" w:noHBand="1" w:noVBand="1"/>
        <w:tblCaption w:val="Ecuación"/>
      </w:tblPr>
      <w:tblGrid>
        <w:gridCol w:w="1134"/>
        <w:gridCol w:w="7092"/>
        <w:gridCol w:w="1134"/>
      </w:tblGrid>
      <w:tr>
        <w:trPr>
          <w:cantSplit/>
        </w:trPr>
        <w:tc>
          <w:tcPr>
            <w:tcW w:w="1134" w:type="dxa"/>
            <w:vAlign w:val="center"/>
          </w:tcPr>
          <w:p>
            <w:pPr>
              <w:pStyle w:val="EcuacionAPA"/>
            </w:pPr>
          </w:p>
        </w:tc>
        <w:tc>
          <w:tcPr>
            <w:tcW w:w="7092" w:type="dxa"/>
            <w:vAlign w:val="center"/>
          </w:tcPr>
          <w:p>
            <w:pPr>
              <w:pStyle w:val="EcuacionAPA"/>
            </w:pPr>
            <m:oMathPara>
              <m:oMathParaPr>
                <m:jc m:val="center"/>
              </m:oMathParaPr>
              <m:oMath>
                <m:r>
                  <m:t>C</m:t>
                </m:r>
                <m:r>
                  <m:t>P</m:t>
                </m:r>
                <m:sSub>
                  <m:e>
                    <m:r>
                      <m:t>M</m:t>
                    </m:r>
                  </m:e>
                  <m:sub>
                    <m:r>
                      <m:t>i</m:t>
                    </m:r>
                  </m:sub>
                </m:sSub>
                <m:r>
                  <m:rPr>
                    <m:sty m:val="p"/>
                  </m:rPr>
                  <m:t>=</m:t>
                </m:r>
                <m:d>
                  <m:dPr>
                    <m:begChr m:val="("/>
                    <m:endChr m:val=")"/>
                    <m:sepChr m:val=""/>
                    <m:grow/>
                  </m:dPr>
                  <m:e>
                    <m:r>
                      <m:t>C</m:t>
                    </m:r>
                    <m:sSub>
                      <m:e>
                        <m:r>
                          <m:t>R</m:t>
                        </m:r>
                      </m:e>
                      <m:sub>
                        <m:r>
                          <m:t>i</m:t>
                        </m:r>
                      </m:sub>
                    </m:sSub>
                    <m:r>
                      <m:rPr>
                        <m:sty m:val="p"/>
                      </m:rPr>
                      <m:t>−</m:t>
                    </m:r>
                    <m:r>
                      <m:t>C</m:t>
                    </m:r>
                    <m:sSub>
                      <m:e>
                        <m:r>
                          <m:t>T</m:t>
                        </m:r>
                      </m:e>
                      <m:sub>
                        <m:r>
                          <m:t>i</m:t>
                        </m:r>
                      </m:sub>
                    </m:sSub>
                  </m:e>
                </m:d>
                <m:sSub>
                  <m:e>
                    <m:r>
                      <m:t>p</m:t>
                    </m:r>
                  </m:e>
                  <m:sub>
                    <m:r>
                      <m:t>i</m:t>
                    </m:r>
                  </m:sub>
                </m:sSub>
              </m:oMath>
            </m:oMathPara>
          </w:p>
        </w:tc>
        <w:tc>
          <w:tcPr>
            <w:tcW w:w="1134" w:type="dxa"/>
            <w:vAlign w:val="center"/>
          </w:tcPr>
          <w:p>
            <w:pPr>
              <w:pStyle w:val="EcuacionAPA"/>
              <w:jc w:val="right"/>
            </w:pPr>
            <w:r>
              <w:t>(3)</w:t>
            </w:r>
          </w:p>
        </w:tc>
      </w:tr>
    </w:tbl>
    <w:p>
      <w:pPr>
        <w:pStyle w:val="FirstParagraph"/>
        <w:ind w:firstLine="0"/>
      </w:pPr>
      <w:r>
        <w:t xml:space="preserve"/>
      </w:r>
      <w:r>
        <w:t xml:space="preserve"/>
      </w:r>
      <w:r>
        <w:t xml:space="preserve">donde</w:t>
      </w:r>
      <w:r>
        <w:t xml:space="preserve"> </w:t>
      </w:r>
      <m:oMath>
        <m:r>
          <m:t>C</m:t>
        </m:r>
        <m:sSub>
          <m:e>
            <m:r>
              <m:t>R</m:t>
            </m:r>
          </m:e>
          <m:sub>
            <m:r>
              <m:t>i</m:t>
            </m:r>
          </m:sub>
        </m:sSub>
      </m:oMath>
      <w:r>
        <w:t xml:space="preserve"> </w:t>
      </w:r>
      <w:r>
        <w:t xml:space="preserve">es el consumo real del material</w:t>
      </w:r>
      <w:r>
        <w:t xml:space="preserve"> </w:t>
      </w:r>
      <m:oMath>
        <m:r>
          <m:t>i</m:t>
        </m:r>
      </m:oMath>
      <w:r>
        <w:t xml:space="preserve">,</w:t>
      </w:r>
      <w:r>
        <w:t xml:space="preserve"> </w:t>
      </w:r>
      <m:oMath>
        <m:r>
          <m:t>C</m:t>
        </m:r>
        <m:sSub>
          <m:e>
            <m:r>
              <m:t>T</m:t>
            </m:r>
          </m:e>
          <m:sub>
            <m:r>
              <m:t>i</m:t>
            </m:r>
          </m:sub>
        </m:sSub>
      </m:oMath>
      <w:r>
        <w:t xml:space="preserve"> </w:t>
      </w:r>
      <w:r>
        <w:t xml:space="preserve">su consumo teórico y</w:t>
      </w:r>
      <w:r>
        <w:t xml:space="preserve"> </w:t>
      </w:r>
      <m:oMath>
        <m:sSub>
          <m:e>
            <m:r>
              <m:t>p</m:t>
            </m:r>
          </m:e>
          <m:sub>
            <m:r>
              <m:t>i</m:t>
            </m:r>
          </m:sub>
        </m:sSub>
      </m:oMath>
      <w:r>
        <w:t xml:space="preserve"> </w:t>
      </w:r>
      <w:r>
        <w:t xml:space="preserve">su costo unitario. Con este método, en dos obras de mampostería, las pérdidas sumaron el 38,5 % y el 49,2 % del costo de producción, con un mayor peso de la mano de obra que de los materiales</w:t>
      </w:r>
      <w:r>
        <w:t xml:space="preserve"> </w:t>
      </w:r>
      <w:r>
        <w:t xml:space="preserve">(Rossi et al., 2001, Sección 5.1 y 5.2)</w:t>
      </w:r>
      <w:r>
        <w:t xml:space="preserve">. Las pérdidas, por tanto, no se limitan a los materiales: incluyen tiempos improductivos que el modelo de costos de la tesis considera a través del retrabajo.</w:t>
      </w:r>
    </w:p>
    <w:p>
      <w:pPr>
        <w:pStyle w:val="BodyText"/>
      </w:pPr>
      <w:r>
        <w:t xml:space="preserve">La Tabla 9 reúne los valores de referencia de desperdicio que reporta la literatura revisada. Los valores son muy dispersos y dependen del tipo de control; por eso sirven como rangos plausibles y no como metas. No se encontraron en el repositorio valores de referencia para viguetas pretensadas ni para complementos de poliestireno expandido.</w:t>
      </w:r>
    </w:p>
    <w:p>
      <w:pPr>
        <w:pStyle w:val="Caption"/>
      </w:pPr>
      <w:bookmarkStart w:id="1414" w:name="tab9"/>
      <w:r>
        <w:t xml:space="preserve"/>
      </w:r>
      <w:r>
        <w:rPr>
          <w:bCs/>
          <w:b/>
        </w:rPr>
        <w:t xml:space="preserve">Tabla 9</w:t>
      </w:r>
      <w:r>
        <w:br/>
      </w:r>
      <w:r>
        <w:rPr>
          <w:iCs/>
          <w:i/>
        </w:rPr>
        <w:t xml:space="preserve">Valores de referencia del desperdicio de materiales en la literatura revisada</w:t>
      </w:r>
      <w:bookmarkEnd w:id="1414"/>
    </w:p>
    <w:tbl>
      <w:tblPr>
        <w:tblStyle w:val="Table"/>
        <w:tblW w:w="9359" w:type="dxa"/>
        <w:jc w:val="left"/>
        <w:tblLayout w:type="fixed"/>
        <w:tblCellMar>
          <w:top w:w="0" w:type="dxa"/>
          <w:left w:w="85" w:type="dxa"/>
          <w:bottom w:w="0" w:type="dxa"/>
          <w:right w:w="85" w:type="dxa"/>
        </w:tblCellMar>
        <w:tblLook w:firstRow="1" w:lastRow="0" w:firstColumn="0" w:lastColumn="0" w:noHBand="0" w:noVBand="0" w:val="0020"/>
      </w:tblPr>
      <w:tblGrid>
        <w:gridCol w:w="1612"/>
        <w:gridCol w:w="1604"/>
        <w:gridCol w:w="3925"/>
        <w:gridCol w:w="2218"/>
      </w:tblGrid>
      <w:tr>
        <w:trPr>
          <w:cantSplit/>
          <w:tblHeader w:val="true"/>
        </w:trPr>
        <w:tc>
          <w:tcPr>
            <w:tcW w:w="1612" w:type="dxa"/>
            <w:tcBorders>
              <w:top w:val="single" w:sz="8" w:space="0" w:color="000000"/>
              <w:bottom w:val="single" w:sz="4" w:space="0" w:color="000000"/>
            </w:tcBorders>
          </w:tcPr>
          <w:p>
            <w:pPr>
              <w:pStyle w:val="CeldaAPA"/>
              <w:jc w:val="center"/>
            </w:pPr>
            <w:r>
              <w:rPr>
                <w:bCs/>
                <w:b/>
              </w:rPr>
              <w:t xml:space="preserve">Material</w:t>
            </w:r>
          </w:p>
        </w:tc>
        <w:tc>
          <w:tcPr>
            <w:tcW w:w="1604" w:type="dxa"/>
            <w:tcBorders>
              <w:top w:val="single" w:sz="8" w:space="0" w:color="000000"/>
              <w:bottom w:val="single" w:sz="4" w:space="0" w:color="000000"/>
            </w:tcBorders>
          </w:tcPr>
          <w:p>
            <w:pPr>
              <w:pStyle w:val="CeldaAPA"/>
              <w:jc w:val="center"/>
            </w:pPr>
            <w:r>
              <w:rPr>
                <w:bCs/>
                <w:b/>
              </w:rPr>
              <w:t xml:space="preserve">Desperdicio</w:t>
            </w:r>
          </w:p>
        </w:tc>
        <w:tc>
          <w:tcPr>
            <w:tcW w:w="3925" w:type="dxa"/>
            <w:tcBorders>
              <w:top w:val="single" w:sz="8" w:space="0" w:color="000000"/>
              <w:bottom w:val="single" w:sz="4" w:space="0" w:color="000000"/>
            </w:tcBorders>
          </w:tcPr>
          <w:p>
            <w:pPr>
              <w:pStyle w:val="CeldaAPA"/>
              <w:jc w:val="center"/>
            </w:pPr>
            <w:r>
              <w:rPr>
                <w:bCs/>
                <w:b/>
              </w:rPr>
              <w:t xml:space="preserve">Condición</w:t>
            </w:r>
          </w:p>
        </w:tc>
        <w:tc>
          <w:tcPr>
            <w:tcW w:w="2218" w:type="dxa"/>
            <w:tcBorders>
              <w:top w:val="single" w:sz="8" w:space="0" w:color="000000"/>
              <w:bottom w:val="single" w:sz="4" w:space="0" w:color="000000"/>
            </w:tcBorders>
          </w:tcPr>
          <w:p>
            <w:pPr>
              <w:pStyle w:val="CeldaAPA"/>
              <w:jc w:val="center"/>
            </w:pPr>
            <w:r>
              <w:rPr>
                <w:bCs/>
                <w:b/>
              </w:rPr>
              <w:t xml:space="preserve">Fuente</w:t>
            </w:r>
          </w:p>
        </w:tc>
      </w:tr>
      <w:tr>
        <w:tc>
          <w:tcPr>
            <w:tcW w:w="1612" w:type="dxa"/>
          </w:tcPr>
          <w:p>
            <w:pPr>
              <w:pStyle w:val="CeldaAPA"/>
              <w:jc w:val="left"/>
            </w:pPr>
            <w:r>
              <w:rPr/>
              <w:t xml:space="preserve">Hormigón</w:t>
            </w:r>
          </w:p>
        </w:tc>
        <w:tc>
          <w:tcPr>
            <w:tcW w:w="1604" w:type="dxa"/>
          </w:tcPr>
          <w:p>
            <w:pPr>
              <w:pStyle w:val="CeldaAPA"/>
              <w:jc w:val="left"/>
            </w:pPr>
            <w:r>
              <w:rPr/>
              <w:t xml:space="preserve">22 %</w:t>
            </w:r>
          </w:p>
        </w:tc>
        <w:tc>
          <w:tcPr>
            <w:tcW w:w="3925" w:type="dxa"/>
          </w:tcPr>
          <w:p>
            <w:pPr>
              <w:pStyle w:val="CeldaAPA"/>
              <w:jc w:val="left"/>
            </w:pPr>
            <w:r>
              <w:rPr/>
              <w:t xml:space="preserve">Obra sin control en campo; compras frente al metrado del presupuesto</w:t>
            </w:r>
          </w:p>
        </w:tc>
        <w:tc>
          <w:tcPr>
            <w:tcW w:w="2218" w:type="dxa"/>
          </w:tcPr>
          <w:p>
            <w:pPr>
              <w:pStyle w:val="CeldaAPA"/>
              <w:jc w:val="left"/>
            </w:pPr>
            <w:r>
              <w:rPr/>
              <w:t xml:space="preserve">Galarza Meza (2011, p. 53)</w:t>
            </w:r>
          </w:p>
        </w:tc>
      </w:tr>
      <w:tr>
        <w:tc>
          <w:tcPr>
            <w:tcW w:w="1612" w:type="dxa"/>
          </w:tcPr>
          <w:p>
            <w:pPr>
              <w:pStyle w:val="CeldaAPA"/>
              <w:jc w:val="left"/>
            </w:pPr>
            <w:r>
              <w:rPr/>
              <w:t xml:space="preserve">Hormigón</w:t>
            </w:r>
          </w:p>
        </w:tc>
        <w:tc>
          <w:tcPr>
            <w:tcW w:w="1604" w:type="dxa"/>
          </w:tcPr>
          <w:p>
            <w:pPr>
              <w:pStyle w:val="CeldaAPA"/>
              <w:jc w:val="left"/>
            </w:pPr>
            <w:r>
              <w:rPr/>
              <w:t xml:space="preserve">5 %</w:t>
            </w:r>
          </w:p>
        </w:tc>
        <w:tc>
          <w:tcPr>
            <w:tcW w:w="3925" w:type="dxa"/>
          </w:tcPr>
          <w:p>
            <w:pPr>
              <w:pStyle w:val="CeldaAPA"/>
              <w:jc w:val="left"/>
            </w:pPr>
            <w:r>
              <w:rPr/>
              <w:t xml:space="preserve">Sótanos vaciados con bomba; igual al valor del presupuesto</w:t>
            </w:r>
          </w:p>
        </w:tc>
        <w:tc>
          <w:tcPr>
            <w:tcW w:w="2218" w:type="dxa"/>
          </w:tcPr>
          <w:p>
            <w:pPr>
              <w:pStyle w:val="CeldaAPA"/>
              <w:jc w:val="left"/>
            </w:pPr>
            <w:r>
              <w:rPr/>
              <w:t xml:space="preserve">Galarza Meza (2011, p. 73)</w:t>
            </w:r>
          </w:p>
        </w:tc>
      </w:tr>
      <w:tr>
        <w:tc>
          <w:tcPr>
            <w:tcW w:w="1612" w:type="dxa"/>
          </w:tcPr>
          <w:p>
            <w:pPr>
              <w:pStyle w:val="CeldaAPA"/>
              <w:jc w:val="left"/>
            </w:pPr>
            <w:r>
              <w:rPr/>
              <w:t xml:space="preserve">Hormigón</w:t>
            </w:r>
          </w:p>
        </w:tc>
        <w:tc>
          <w:tcPr>
            <w:tcW w:w="1604" w:type="dxa"/>
          </w:tcPr>
          <w:p>
            <w:pPr>
              <w:pStyle w:val="CeldaAPA"/>
              <w:jc w:val="left"/>
            </w:pPr>
            <w:r>
              <w:rPr/>
              <w:t xml:space="preserve">2,8 %</w:t>
            </w:r>
          </w:p>
        </w:tc>
        <w:tc>
          <w:tcPr>
            <w:tcW w:w="3925" w:type="dxa"/>
          </w:tcPr>
          <w:p>
            <w:pPr>
              <w:pStyle w:val="CeldaAPA"/>
              <w:jc w:val="left"/>
            </w:pPr>
            <w:r>
              <w:rPr/>
              <w:t xml:space="preserve">Torre vaciada con grúa y pedidos limitados al 2 % sobre el metrado</w:t>
            </w:r>
          </w:p>
        </w:tc>
        <w:tc>
          <w:tcPr>
            <w:tcW w:w="2218" w:type="dxa"/>
          </w:tcPr>
          <w:p>
            <w:pPr>
              <w:pStyle w:val="CeldaAPA"/>
              <w:jc w:val="left"/>
            </w:pPr>
            <w:r>
              <w:rPr/>
              <w:t xml:space="preserve">Galarza Meza (2011, p. 73)</w:t>
            </w:r>
          </w:p>
        </w:tc>
      </w:tr>
      <w:tr>
        <w:tc>
          <w:tcPr>
            <w:tcW w:w="1612" w:type="dxa"/>
          </w:tcPr>
          <w:p>
            <w:pPr>
              <w:pStyle w:val="CeldaAPA"/>
              <w:jc w:val="left"/>
            </w:pPr>
            <w:r>
              <w:rPr/>
              <w:t xml:space="preserve">Hormigón en placas y muros</w:t>
            </w:r>
          </w:p>
        </w:tc>
        <w:tc>
          <w:tcPr>
            <w:tcW w:w="1604" w:type="dxa"/>
          </w:tcPr>
          <w:p>
            <w:pPr>
              <w:pStyle w:val="CeldaAPA"/>
              <w:jc w:val="left"/>
            </w:pPr>
            <w:r>
              <w:rPr/>
              <w:t xml:space="preserve">9 % y 23 %</w:t>
            </w:r>
          </w:p>
        </w:tc>
        <w:tc>
          <w:tcPr>
            <w:tcW w:w="3925" w:type="dxa"/>
          </w:tcPr>
          <w:p>
            <w:pPr>
              <w:pStyle w:val="CeldaAPA"/>
              <w:jc w:val="left"/>
            </w:pPr>
            <w:r>
              <w:rPr/>
              <w:t xml:space="preserve">Pérdidas reales promedio, frente a un 3 % a 6 % previsto por el bombeo</w:t>
            </w:r>
          </w:p>
        </w:tc>
        <w:tc>
          <w:tcPr>
            <w:tcW w:w="2218" w:type="dxa"/>
          </w:tcPr>
          <w:p>
            <w:pPr>
              <w:pStyle w:val="CeldaAPA"/>
              <w:jc w:val="left"/>
            </w:pPr>
            <w:r>
              <w:rPr/>
              <w:t xml:space="preserve">Ruiz Muñoz y Rojas Bonilla (2018, pp. 33, 69)</w:t>
            </w:r>
          </w:p>
        </w:tc>
      </w:tr>
      <w:tr>
        <w:tc>
          <w:tcPr>
            <w:tcW w:w="1612" w:type="dxa"/>
          </w:tcPr>
          <w:p>
            <w:pPr>
              <w:pStyle w:val="CeldaAPA"/>
              <w:jc w:val="left"/>
            </w:pPr>
            <w:r>
              <w:rPr/>
              <w:t xml:space="preserve">Hormigón premezclado</w:t>
            </w:r>
          </w:p>
        </w:tc>
        <w:tc>
          <w:tcPr>
            <w:tcW w:w="1604" w:type="dxa"/>
          </w:tcPr>
          <w:p>
            <w:pPr>
              <w:pStyle w:val="CeldaAPA"/>
              <w:jc w:val="left"/>
            </w:pPr>
            <w:r>
              <w:rPr/>
              <w:t xml:space="preserve">1,5 % a 13 %</w:t>
            </w:r>
          </w:p>
        </w:tc>
        <w:tc>
          <w:tcPr>
            <w:tcW w:w="3925" w:type="dxa"/>
          </w:tcPr>
          <w:p>
            <w:pPr>
              <w:pStyle w:val="CeldaAPA"/>
              <w:jc w:val="left"/>
            </w:pPr>
            <w:r>
              <w:rPr/>
              <w:t xml:space="preserve">Compilación de estudios brasileños</w:t>
            </w:r>
          </w:p>
        </w:tc>
        <w:tc>
          <w:tcPr>
            <w:tcW w:w="2218" w:type="dxa"/>
          </w:tcPr>
          <w:p>
            <w:pPr>
              <w:pStyle w:val="CeldaAPA"/>
              <w:jc w:val="left"/>
            </w:pPr>
            <w:r>
              <w:rPr/>
              <w:t xml:space="preserve">Maciel et al. (2016, p. 106)</w:t>
            </w:r>
          </w:p>
        </w:tc>
      </w:tr>
      <w:tr>
        <w:tc>
          <w:tcPr>
            <w:tcW w:w="1612" w:type="dxa"/>
          </w:tcPr>
          <w:p>
            <w:pPr>
              <w:pStyle w:val="CeldaAPA"/>
              <w:jc w:val="left"/>
            </w:pPr>
            <w:r>
              <w:rPr/>
              <w:t xml:space="preserve">Mezcla de concreto</w:t>
            </w:r>
          </w:p>
        </w:tc>
        <w:tc>
          <w:tcPr>
            <w:tcW w:w="1604" w:type="dxa"/>
          </w:tcPr>
          <w:p>
            <w:pPr>
              <w:pStyle w:val="CeldaAPA"/>
              <w:jc w:val="left"/>
            </w:pPr>
            <w:r>
              <w:rPr/>
              <w:t xml:space="preserve">5 %</w:t>
            </w:r>
          </w:p>
        </w:tc>
        <w:tc>
          <w:tcPr>
            <w:tcW w:w="3925" w:type="dxa"/>
          </w:tcPr>
          <w:p>
            <w:pPr>
              <w:pStyle w:val="CeldaAPA"/>
              <w:jc w:val="left"/>
            </w:pPr>
            <w:r>
              <w:rPr/>
              <w:t xml:space="preserve">Valor aceptable de referencia según la Cámara Peruana de la Construcción</w:t>
            </w:r>
          </w:p>
        </w:tc>
        <w:tc>
          <w:tcPr>
            <w:tcW w:w="2218" w:type="dxa"/>
          </w:tcPr>
          <w:p>
            <w:pPr>
              <w:pStyle w:val="CeldaAPA"/>
              <w:jc w:val="left"/>
            </w:pPr>
            <w:r>
              <w:rPr/>
              <w:t xml:space="preserve">Ccoyllo Sifuentes (2016, p. 14)</w:t>
            </w:r>
          </w:p>
        </w:tc>
      </w:tr>
      <w:tr>
        <w:tc>
          <w:tcPr>
            <w:tcW w:w="1612" w:type="dxa"/>
          </w:tcPr>
          <w:p>
            <w:pPr>
              <w:pStyle w:val="CeldaAPA"/>
              <w:jc w:val="left"/>
            </w:pPr>
            <w:r>
              <w:rPr/>
              <w:t xml:space="preserve">Acero de refuerzo</w:t>
            </w:r>
          </w:p>
        </w:tc>
        <w:tc>
          <w:tcPr>
            <w:tcW w:w="1604" w:type="dxa"/>
          </w:tcPr>
          <w:p>
            <w:pPr>
              <w:pStyle w:val="CeldaAPA"/>
              <w:jc w:val="left"/>
            </w:pPr>
            <w:r>
              <w:rPr/>
              <w:t xml:space="preserve">7 % y 4,04 %</w:t>
            </w:r>
          </w:p>
        </w:tc>
        <w:tc>
          <w:tcPr>
            <w:tcW w:w="3925" w:type="dxa"/>
          </w:tcPr>
          <w:p>
            <w:pPr>
              <w:pStyle w:val="CeldaAPA"/>
              <w:jc w:val="left"/>
            </w:pPr>
            <w:r>
              <w:rPr/>
              <w:t xml:space="preserve">Presupuestado y obtenido con prearmado</w:t>
            </w:r>
          </w:p>
        </w:tc>
        <w:tc>
          <w:tcPr>
            <w:tcW w:w="2218" w:type="dxa"/>
          </w:tcPr>
          <w:p>
            <w:pPr>
              <w:pStyle w:val="CeldaAPA"/>
              <w:jc w:val="left"/>
            </w:pPr>
            <w:r>
              <w:rPr/>
              <w:t xml:space="preserve">Galarza Meza (2011, p. 75)</w:t>
            </w:r>
          </w:p>
        </w:tc>
      </w:tr>
      <w:tr>
        <w:tc>
          <w:tcPr>
            <w:tcW w:w="1612" w:type="dxa"/>
          </w:tcPr>
          <w:p>
            <w:pPr>
              <w:pStyle w:val="CeldaAPA"/>
              <w:jc w:val="left"/>
            </w:pPr>
            <w:r>
              <w:rPr/>
              <w:t xml:space="preserve">Acero de refuerzo</w:t>
            </w:r>
          </w:p>
        </w:tc>
        <w:tc>
          <w:tcPr>
            <w:tcW w:w="1604" w:type="dxa"/>
          </w:tcPr>
          <w:p>
            <w:pPr>
              <w:pStyle w:val="CeldaAPA"/>
              <w:jc w:val="left"/>
            </w:pPr>
            <w:r>
              <w:rPr/>
              <w:t xml:space="preserve">3,75 %</w:t>
            </w:r>
          </w:p>
        </w:tc>
        <w:tc>
          <w:tcPr>
            <w:tcW w:w="3925" w:type="dxa"/>
          </w:tcPr>
          <w:p>
            <w:pPr>
              <w:pStyle w:val="CeldaAPA"/>
              <w:jc w:val="left"/>
            </w:pPr>
            <w:r>
              <w:rPr/>
              <w:t xml:space="preserve">Con acero predimensionado</w:t>
            </w:r>
          </w:p>
        </w:tc>
        <w:tc>
          <w:tcPr>
            <w:tcW w:w="2218" w:type="dxa"/>
          </w:tcPr>
          <w:p>
            <w:pPr>
              <w:pStyle w:val="CeldaAPA"/>
              <w:jc w:val="left"/>
            </w:pPr>
            <w:r>
              <w:rPr/>
              <w:t xml:space="preserve">Galarza Meza (2011, p. 76)</w:t>
            </w:r>
          </w:p>
        </w:tc>
      </w:tr>
      <w:tr>
        <w:tc>
          <w:tcPr>
            <w:tcW w:w="1612" w:type="dxa"/>
          </w:tcPr>
          <w:p>
            <w:pPr>
              <w:pStyle w:val="CeldaAPA"/>
              <w:jc w:val="left"/>
            </w:pPr>
            <w:r>
              <w:rPr/>
              <w:t xml:space="preserve">Acero de refuerzo</w:t>
            </w:r>
          </w:p>
        </w:tc>
        <w:tc>
          <w:tcPr>
            <w:tcW w:w="1604" w:type="dxa"/>
          </w:tcPr>
          <w:p>
            <w:pPr>
              <w:pStyle w:val="CeldaAPA"/>
              <w:jc w:val="left"/>
            </w:pPr>
            <w:r>
              <w:rPr/>
              <w:t xml:space="preserve">14,58 % y 17,09 %</w:t>
            </w:r>
          </w:p>
        </w:tc>
        <w:tc>
          <w:tcPr>
            <w:tcW w:w="3925" w:type="dxa"/>
          </w:tcPr>
          <w:p>
            <w:pPr>
              <w:pStyle w:val="CeldaAPA"/>
              <w:jc w:val="left"/>
            </w:pPr>
            <w:r>
              <w:rPr/>
              <w:t xml:space="preserve">Método convencional en dos edificios</w:t>
            </w:r>
          </w:p>
        </w:tc>
        <w:tc>
          <w:tcPr>
            <w:tcW w:w="2218" w:type="dxa"/>
          </w:tcPr>
          <w:p>
            <w:pPr>
              <w:pStyle w:val="CeldaAPA"/>
              <w:jc w:val="left"/>
            </w:pPr>
            <w:r>
              <w:rPr/>
              <w:t xml:space="preserve">Chino Quispe y Zarate Chilqquetuma (2024, pp. 147, 169)</w:t>
            </w:r>
          </w:p>
        </w:tc>
      </w:tr>
      <w:tr>
        <w:tc>
          <w:tcPr>
            <w:tcW w:w="1612" w:type="dxa"/>
          </w:tcPr>
          <w:p>
            <w:pPr>
              <w:pStyle w:val="CeldaAPA"/>
              <w:jc w:val="left"/>
            </w:pPr>
            <w:r>
              <w:rPr/>
              <w:t xml:space="preserve">Acero de refuerzo</w:t>
            </w:r>
          </w:p>
        </w:tc>
        <w:tc>
          <w:tcPr>
            <w:tcW w:w="1604" w:type="dxa"/>
          </w:tcPr>
          <w:p>
            <w:pPr>
              <w:pStyle w:val="CeldaAPA"/>
              <w:jc w:val="left"/>
            </w:pPr>
            <w:r>
              <w:rPr/>
              <w:t xml:space="preserve">3,15 % y 3,19 %</w:t>
            </w:r>
          </w:p>
        </w:tc>
        <w:tc>
          <w:tcPr>
            <w:tcW w:w="3925" w:type="dxa"/>
          </w:tcPr>
          <w:p>
            <w:pPr>
              <w:pStyle w:val="CeldaAPA"/>
              <w:jc w:val="left"/>
            </w:pPr>
            <w:r>
              <w:rPr/>
              <w:t xml:space="preserve">Con despiece previo a la ejecución</w:t>
            </w:r>
          </w:p>
        </w:tc>
        <w:tc>
          <w:tcPr>
            <w:tcW w:w="2218" w:type="dxa"/>
          </w:tcPr>
          <w:p>
            <w:pPr>
              <w:pStyle w:val="CeldaAPA"/>
              <w:jc w:val="left"/>
            </w:pPr>
            <w:r>
              <w:rPr/>
              <w:t xml:space="preserve">Chino Quispe y Zarate Chilqquetuma (2024, pp. 147, 169)</w:t>
            </w:r>
          </w:p>
        </w:tc>
      </w:tr>
      <w:tr>
        <w:tc>
          <w:tcPr>
            <w:tcW w:w="1612" w:type="dxa"/>
          </w:tcPr>
          <w:p>
            <w:pPr>
              <w:pStyle w:val="CeldaAPA"/>
              <w:jc w:val="left"/>
            </w:pPr>
            <w:r>
              <w:rPr/>
              <w:t xml:space="preserve">Acero de refuerzo</w:t>
            </w:r>
          </w:p>
        </w:tc>
        <w:tc>
          <w:tcPr>
            <w:tcW w:w="1604" w:type="dxa"/>
          </w:tcPr>
          <w:p>
            <w:pPr>
              <w:pStyle w:val="CeldaAPA"/>
              <w:jc w:val="left"/>
            </w:pPr>
            <w:r>
              <w:rPr/>
              <w:t xml:space="preserve">11 % a 26 %</w:t>
            </w:r>
          </w:p>
        </w:tc>
        <w:tc>
          <w:tcPr>
            <w:tcW w:w="3925" w:type="dxa"/>
          </w:tcPr>
          <w:p>
            <w:pPr>
              <w:pStyle w:val="CeldaAPA"/>
              <w:jc w:val="left"/>
            </w:pPr>
            <w:r>
              <w:rPr/>
              <w:t xml:space="preserve">Compilación de estudios brasileños</w:t>
            </w:r>
          </w:p>
        </w:tc>
        <w:tc>
          <w:tcPr>
            <w:tcW w:w="2218" w:type="dxa"/>
          </w:tcPr>
          <w:p>
            <w:pPr>
              <w:pStyle w:val="CeldaAPA"/>
              <w:jc w:val="left"/>
            </w:pPr>
            <w:r>
              <w:rPr/>
              <w:t xml:space="preserve">Maciel et al. (2016, p. 106)</w:t>
            </w:r>
          </w:p>
        </w:tc>
      </w:tr>
      <w:tr>
        <w:tc>
          <w:tcPr>
            <w:tcW w:w="1612" w:type="dxa"/>
          </w:tcPr>
          <w:p>
            <w:pPr>
              <w:pStyle w:val="CeldaAPA"/>
              <w:jc w:val="left"/>
            </w:pPr>
            <w:r>
              <w:rPr/>
              <w:t xml:space="preserve">Acero de refuerzo</w:t>
            </w:r>
          </w:p>
        </w:tc>
        <w:tc>
          <w:tcPr>
            <w:tcW w:w="1604" w:type="dxa"/>
          </w:tcPr>
          <w:p>
            <w:pPr>
              <w:pStyle w:val="CeldaAPA"/>
              <w:jc w:val="left"/>
            </w:pPr>
            <w:r>
              <w:rPr/>
              <w:t xml:space="preserve">10 % y menos de 1 %</w:t>
            </w:r>
          </w:p>
        </w:tc>
        <w:tc>
          <w:tcPr>
            <w:tcW w:w="3925" w:type="dxa"/>
          </w:tcPr>
          <w:p>
            <w:pPr>
              <w:pStyle w:val="CeldaAPA"/>
              <w:jc w:val="left"/>
            </w:pPr>
            <w:r>
              <w:rPr/>
              <w:t xml:space="preserve">Cortado en obra y precortado en fábrica; dato que los autores toman de otra fuente</w:t>
            </w:r>
          </w:p>
        </w:tc>
        <w:tc>
          <w:tcPr>
            <w:tcW w:w="2218" w:type="dxa"/>
          </w:tcPr>
          <w:p>
            <w:pPr>
              <w:pStyle w:val="CeldaAPA"/>
              <w:jc w:val="left"/>
            </w:pPr>
            <w:r>
              <w:rPr/>
              <w:t xml:space="preserve">Abbott y Rodríguez (2008, p. 583)</w:t>
            </w:r>
          </w:p>
        </w:tc>
      </w:tr>
      <w:tr>
        <w:tc>
          <w:tcPr>
            <w:tcW w:w="1612" w:type="dxa"/>
          </w:tcPr>
          <w:p>
            <w:pPr>
              <w:pStyle w:val="CeldaAPA"/>
              <w:jc w:val="left"/>
            </w:pPr>
            <w:r>
              <w:rPr/>
              <w:t xml:space="preserve">Acero de refuerzo</w:t>
            </w:r>
          </w:p>
        </w:tc>
        <w:tc>
          <w:tcPr>
            <w:tcW w:w="1604" w:type="dxa"/>
          </w:tcPr>
          <w:p>
            <w:pPr>
              <w:pStyle w:val="CeldaAPA"/>
              <w:jc w:val="left"/>
            </w:pPr>
            <w:r>
              <w:rPr/>
              <w:t xml:space="preserve">3 % a 10 %</w:t>
            </w:r>
          </w:p>
        </w:tc>
        <w:tc>
          <w:tcPr>
            <w:tcW w:w="3925" w:type="dxa"/>
          </w:tcPr>
          <w:p>
            <w:pPr>
              <w:pStyle w:val="CeldaAPA"/>
              <w:jc w:val="left"/>
            </w:pPr>
            <w:r>
              <w:rPr/>
              <w:t xml:space="preserve">Valores aceptables según el diámetro, de la Cámara Peruana de la Construcción</w:t>
            </w:r>
          </w:p>
        </w:tc>
        <w:tc>
          <w:tcPr>
            <w:tcW w:w="2218" w:type="dxa"/>
          </w:tcPr>
          <w:p>
            <w:pPr>
              <w:pStyle w:val="CeldaAPA"/>
              <w:jc w:val="left"/>
            </w:pPr>
            <w:r>
              <w:rPr/>
              <w:t xml:space="preserve">Ccoyllo Sifuentes (2016, p. 14)</w:t>
            </w:r>
          </w:p>
        </w:tc>
      </w:tr>
      <w:tr>
        <w:tc>
          <w:tcPr>
            <w:tcW w:w="1612" w:type="dxa"/>
            <w:tcBorders>
              <w:bottom w:val="single" w:sz="8" w:space="0" w:color="000000"/>
            </w:tcBorders>
          </w:tcPr>
          <w:p>
            <w:pPr>
              <w:pStyle w:val="CeldaAPA"/>
              <w:jc w:val="left"/>
            </w:pPr>
            <w:r>
              <w:rPr/>
              <w:t xml:space="preserve">Materiales en general</w:t>
            </w:r>
          </w:p>
        </w:tc>
        <w:tc>
          <w:tcPr>
            <w:tcW w:w="1604" w:type="dxa"/>
            <w:tcBorders>
              <w:bottom w:val="single" w:sz="8" w:space="0" w:color="000000"/>
            </w:tcBorders>
          </w:tcPr>
          <w:p>
            <w:pPr>
              <w:pStyle w:val="CeldaAPA"/>
              <w:jc w:val="left"/>
            </w:pPr>
            <w:r>
              <w:rPr/>
              <w:t xml:space="preserve">10 % (5 % a 30 %)</w:t>
            </w:r>
          </w:p>
        </w:tc>
        <w:tc>
          <w:tcPr>
            <w:tcW w:w="3925" w:type="dxa"/>
            <w:tcBorders>
              <w:bottom w:val="single" w:sz="8" w:space="0" w:color="000000"/>
            </w:tcBorders>
          </w:tcPr>
          <w:p>
            <w:pPr>
              <w:pStyle w:val="CeldaAPA"/>
              <w:jc w:val="left"/>
            </w:pPr>
            <w:r>
              <w:rPr/>
              <w:t xml:space="preserve">Consumo excesivo promedio en obra según un estudio sueco</w:t>
            </w:r>
          </w:p>
        </w:tc>
        <w:tc>
          <w:tcPr>
            <w:tcW w:w="2218" w:type="dxa"/>
            <w:tcBorders>
              <w:bottom w:val="single" w:sz="8" w:space="0" w:color="000000"/>
            </w:tcBorders>
          </w:tcPr>
          <w:p>
            <w:pPr>
              <w:pStyle w:val="CeldaAPA"/>
              <w:jc w:val="left"/>
            </w:pPr>
            <w:r>
              <w:rPr/>
              <w:t xml:space="preserve">Koskela (1992, p. 35)</w:t>
            </w:r>
          </w:p>
        </w:tc>
      </w:tr>
    </w:tbl>
    <w:p>
      <w:pPr>
        <w:pStyle w:val="NotaAPA"/>
      </w:pPr>
      <w:r>
        <w:rPr>
          <w:iCs/>
          <w:i/>
        </w:rPr>
        <w:t xml:space="preserve">Nota.</w:t>
      </w:r>
      <w:r>
        <w:t xml:space="preserve"> </w:t>
      </w:r>
      <w:r>
        <w:t xml:space="preserve">Elaborado con base en las fuentes citadas. Cuando el valor proviene de otro estudio, se cita la fuente consultada que lo reporta.</w:t>
      </w:r>
    </w:p>
    <w:p>
      <w:pPr>
        <w:pStyle w:val="Heading2"/>
      </w:pPr>
      <w:bookmarkStart w:id="100" w:name="tit66"/>
      <w:r>
        <w:t xml:space="preserve">1.6. Losas alivianadas con viguetas pretensadas y complemento de plastoformo</w:t>
      </w:r>
      <w:bookmarkEnd w:id="100"/>
    </w:p>
    <w:p>
      <w:pPr>
        <w:pStyle w:val="Heading3"/>
      </w:pPr>
      <w:bookmarkStart w:id="96" w:name="tit67"/>
      <w:r>
        <w:t xml:space="preserve">1.6.1. Descripción del sistema y de sus componentes</w:t>
      </w:r>
      <w:bookmarkEnd w:id="96"/>
    </w:p>
    <w:p>
      <w:pPr>
        <w:pStyle w:val="FirstParagraph"/>
      </w:pPr>
      <w:r>
        <w:t xml:space="preserve">La vigueta es el elemento de una losa alivianada que absorbe los esfuerzos de flexión de los nervios y transmite las cargas de uso a la estructura</w:t>
      </w:r>
      <w:r>
        <w:t xml:space="preserve"> </w:t>
      </w:r>
      <w:r>
        <w:t xml:space="preserve">(Concretec, 2018, hoja 1)</w:t>
      </w:r>
      <w:r>
        <w:t xml:space="preserve">. La losa del Edificio de Posgrado es una losa nervada unidireccional formada por viguetas pretensadas de fabricación industrial, colocadas en paralelo con una separación constante entre ejes; complementos de poliestireno expandido (plastoformo), apoyados en las alas de las viguetas, que aligeran la losa; nervios transversales rigidizadores; y una carpeta de compresión de hormigón vaciado en obra, con armadura de distribución, que se vacía junto con los nervios y las vigas de apoyo (Figura 3).</w:t>
      </w:r>
    </w:p>
    <w:p>
      <w:pPr>
        <w:pStyle w:val="BodyText"/>
      </w:pPr>
      <w:r>
        <w:t xml:space="preserve">Las viguetas se fabrican con hormigón de alta resistencia y acero de pretensado: en la ficha de un fabricante boliviano, la sección mide 56 mm en la cabeza, 110 mm en la base y 114,4 mm de alto, con acero de una resistencia de 18.000 kg/cm</w:t>
      </w:r>
      <w:r>
        <w:rPr>
          <w:vertAlign w:val="superscript"/>
        </w:rPr>
        <w:t xml:space="preserve">2</w:t>
      </w:r>
      <w:r>
        <w:t xml:space="preserve"> </w:t>
      </w:r>
      <w:r>
        <w:t xml:space="preserve">y hormigón de 350 kg/cm</w:t>
      </w:r>
      <w:r>
        <w:rPr>
          <w:vertAlign w:val="superscript"/>
        </w:rPr>
        <w:t xml:space="preserve">2</w:t>
      </w:r>
      <w:r>
        <w:t xml:space="preserve">, y sus tolerancias son de</w:t>
      </w:r>
      <w:r>
        <w:t xml:space="preserve"> </w:t>
      </w:r>
      <m:oMath>
        <m:r>
          <m:rPr>
            <m:sty m:val="p"/>
          </m:rPr>
          <m:t>±</m:t>
        </m:r>
      </m:oMath>
      <w:r>
        <w:t xml:space="preserve">5 en la sección y de +30/</w:t>
      </w:r>
      <m:oMath>
        <m:r>
          <m:rPr>
            <m:sty m:val="p"/>
          </m:rPr>
          <m:t>−</m:t>
        </m:r>
      </m:oMath>
      <w:r>
        <w:t xml:space="preserve">20 en la longitud, según la NB 997:2016</w:t>
      </w:r>
      <w:r>
        <w:t xml:space="preserve"> </w:t>
      </w:r>
      <w:r>
        <w:t xml:space="preserve">(Concretec, 2018, hoja 2)</w:t>
      </w:r>
      <w:r>
        <w:t xml:space="preserve">. El sistema admite separaciones entre ejes de 50 a 60 cm con vigueta simple, complementos de 10 a 25 cm de altura y una carpeta de 5 cm</w:t>
      </w:r>
      <w:r>
        <w:t xml:space="preserve"> </w:t>
      </w:r>
      <w:r>
        <w:t xml:space="preserve">(Concretec, 2018, hoja 3)</w:t>
      </w:r>
      <w:r>
        <w:t xml:space="preserve">. El poliestireno expandido es un plástico espumado, ligero, resistente a la humedad y capaz de absorber impactos, que se fabrica con densidades de 8 a 10 kg/m</w:t>
      </w:r>
      <w:r>
        <w:rPr>
          <w:vertAlign w:val="superscript"/>
        </w:rPr>
        <w:t xml:space="preserve">3</w:t>
      </w:r>
      <w:r>
        <w:t xml:space="preserve"> </w:t>
      </w:r>
      <w:r>
        <w:t xml:space="preserve">y tolerancias de</w:t>
      </w:r>
      <w:r>
        <w:t xml:space="preserve"> </w:t>
      </w:r>
      <m:oMath>
        <m:r>
          <m:rPr>
            <m:sty m:val="p"/>
          </m:rPr>
          <m:t>±</m:t>
        </m:r>
      </m:oMath>
      <w:r>
        <w:t xml:space="preserve">2 cm en el largo y</w:t>
      </w:r>
      <w:r>
        <w:t xml:space="preserve"> </w:t>
      </w:r>
      <m:oMath>
        <m:r>
          <m:rPr>
            <m:sty m:val="p"/>
          </m:rPr>
          <m:t>±</m:t>
        </m:r>
      </m:oMath>
      <w:r>
        <w:t xml:space="preserve">1 cm en el ancho</w:t>
      </w:r>
      <w:r>
        <w:t xml:space="preserve"> </w:t>
      </w:r>
      <w:r>
        <w:t xml:space="preserve">(Concretec, 2016, hoja 1)</w:t>
      </w:r>
      <w:r>
        <w:t xml:space="preserve">. Al reducir el peso propio, el sistema reduce las cargas: para 17 cm de altura, la losa con viguetas y plastoformo pesa 173,80 kg/m</w:t>
      </w:r>
      <w:r>
        <w:rPr>
          <w:vertAlign w:val="superscript"/>
        </w:rPr>
        <w:t xml:space="preserve">2</w:t>
      </w:r>
      <w:r>
        <w:t xml:space="preserve">, frente a 408,00 kg/m</w:t>
      </w:r>
      <w:r>
        <w:rPr>
          <w:vertAlign w:val="superscript"/>
        </w:rPr>
        <w:t xml:space="preserve">2</w:t>
      </w:r>
      <w:r>
        <w:t xml:space="preserve"> </w:t>
      </w:r>
      <w:r>
        <w:t xml:space="preserve">de una losa llena</w:t>
      </w:r>
      <w:r>
        <w:t xml:space="preserve"> </w:t>
      </w:r>
      <w:r>
        <w:t xml:space="preserve">(Alcón Aranda, 2009, p. 151)</w:t>
      </w:r>
      <w:r>
        <w:t xml:space="preserve">.</w:t>
      </w:r>
    </w:p>
    <w:p>
      <w:pPr>
        <w:pStyle w:val="Caption"/>
      </w:pPr>
      <w:bookmarkStart w:id="1415" w:name="fig3"/>
      <w:r>
        <w:t xml:space="preserve"/>
      </w:r>
      <w:r>
        <w:rPr>
          <w:bCs/>
          <w:b/>
        </w:rPr>
        <w:t xml:space="preserve">Figura 3</w:t>
      </w:r>
      <w:r>
        <w:br/>
      </w:r>
      <w:r>
        <w:rPr>
          <w:iCs/>
          <w:i/>
        </w:rPr>
        <w:t xml:space="preserve">Sección típica de la losa alivianada con viguetas pretensadas</w:t>
      </w:r>
      <w:bookmarkEnd w:id="1415"/>
    </w:p>
    <w:p>
      <w:pPr>
        <w:pStyle w:val="FiguraAPA"/>
      </w:pPr>
      <w:r>
        <w:drawing>
          <wp:inline>
            <wp:extent cx="3566159" cy="2701070"/>
            <wp:effectExtent b="0" l="0" r="0" t="0"/>
            <wp:docPr descr="image" title="" id="91" name="Picture"/>
            <a:graphic>
              <a:graphicData uri="http://schemas.openxmlformats.org/drawingml/2006/picture">
                <pic:pic>
                  <pic:nvPicPr>
                    <pic:cNvPr descr="/home/user/TesisSGC/05_Tesis_LaTeX/figuras/plano02_seccion_losa_viguetas.png" id="92" name="Picture"/>
                    <pic:cNvPicPr>
                      <a:picLocks noChangeArrowheads="1" noChangeAspect="1"/>
                    </pic:cNvPicPr>
                  </pic:nvPicPr>
                  <pic:blipFill>
                    <a:blip r:embed="rId90"/>
                    <a:stretch>
                      <a:fillRect/>
                    </a:stretch>
                  </pic:blipFill>
                  <pic:spPr bwMode="auto">
                    <a:xfrm>
                      <a:off x="0" y="0"/>
                      <a:ext cx="3566159" cy="2701070"/>
                    </a:xfrm>
                    <a:prstGeom prst="rect">
                      <a:avLst/>
                    </a:prstGeom>
                    <a:noFill/>
                    <a:ln w="9525">
                      <a:noFill/>
                      <a:headEnd/>
                      <a:tailEnd/>
                    </a:ln>
                  </pic:spPr>
                </pic:pic>
              </a:graphicData>
            </a:graphic>
          </wp:inline>
        </w:drawing>
      </w:r>
    </w:p>
    <w:p>
      <w:pPr>
        <w:pStyle w:val="NotaAPA"/>
      </w:pPr>
      <w:r>
        <w:rPr>
          <w:iCs/>
          <w:i/>
        </w:rPr>
        <w:t xml:space="preserve">Nota.</w:t>
      </w:r>
      <w:r>
        <w:t xml:space="preserve"> </w:t>
      </w:r>
      <w:r>
        <w:t xml:space="preserve">Tomado del Plano 02 del proyecto «Construcción Edificio de Posgrado» de la UATF.</w:t>
      </w:r>
    </w:p>
    <w:p>
      <w:pPr>
        <w:pStyle w:val="BodyText"/>
      </w:pPr>
      <w:r>
        <w:t xml:space="preserve">Las especificaciones técnicas del proyecto exigen viguetas de hormigón de 350 a 400 kg/cm</w:t>
      </w:r>
      <w:r>
        <w:rPr>
          <w:vertAlign w:val="superscript"/>
        </w:rPr>
        <w:t xml:space="preserve">2</w:t>
      </w:r>
      <w:r>
        <w:t xml:space="preserve"> </w:t>
      </w:r>
      <w:r>
        <w:t xml:space="preserve">y acero con una tensión de rotura de 18.000 kg/cm</w:t>
      </w:r>
      <w:r>
        <w:rPr>
          <w:vertAlign w:val="superscript"/>
        </w:rPr>
        <w:t xml:space="preserve">2</w:t>
      </w:r>
      <w:r>
        <w:t xml:space="preserve">, con superficie superior rugosa y certificación de IBNORCA e ISO; complementos de plastoformo de 100 </w:t>
      </w:r>
      <m:oMath>
        <m:r>
          <m:rPr>
            <m:sty m:val="p"/>
          </m:rPr>
          <m:t>×</m:t>
        </m:r>
      </m:oMath>
      <w:r>
        <w:t xml:space="preserve"> 50 </w:t>
      </w:r>
      <m:oMath>
        <m:r>
          <m:rPr>
            <m:sty m:val="p"/>
          </m:rPr>
          <m:t>×</m:t>
        </m:r>
      </m:oMath>
      <w:r>
        <w:t xml:space="preserve"> 20 cm; hormigón de 250 kg/cm</w:t>
      </w:r>
      <w:r>
        <w:rPr>
          <w:vertAlign w:val="superscript"/>
        </w:rPr>
        <w:t xml:space="preserve">2</w:t>
      </w:r>
      <w:r>
        <w:t xml:space="preserve"> </w:t>
      </w:r>
      <w:r>
        <w:t xml:space="preserve">de resistencia característica, con al menos 400 kg/m</w:t>
      </w:r>
      <w:r>
        <w:rPr>
          <w:vertAlign w:val="superscript"/>
        </w:rPr>
        <w:t xml:space="preserve">3</w:t>
      </w:r>
      <w:r>
        <w:t xml:space="preserve"> </w:t>
      </w:r>
      <w:r>
        <w:t xml:space="preserve">de cemento, vaciado de forma monolítica con las vigas; y parrilla de compresión y refuerzo de momentos negativos de fierro corrugado</w:t>
      </w:r>
      <w:r>
        <w:t xml:space="preserve"> </w:t>
      </w:r>
      <w:r>
        <w:t xml:space="preserve">(UATF, s. f.-a, p. 3)</w:t>
      </w:r>
      <w:r>
        <w:t xml:space="preserve">. El certificado del fabricante de las viguetas indica ejes a 50 cm, un espesor de 20 + 5 = 25 cm, una sobrecarga admisible de 400 kg/m</w:t>
      </w:r>
      <w:r>
        <w:rPr>
          <w:vertAlign w:val="superscript"/>
        </w:rPr>
        <w:t xml:space="preserve">2</w:t>
      </w:r>
      <w:r>
        <w:t xml:space="preserve"> </w:t>
      </w:r>
      <w:r>
        <w:t xml:space="preserve">y una luz máxima de 7,50 m simplemente apoyada, y exige una carpeta de al menos 21 MPa, aceros de continuidad y el cumplimiento de los pasos de montaje del fabricante</w:t>
      </w:r>
      <w:r>
        <w:t xml:space="preserve"> </w:t>
      </w:r>
      <w:r>
        <w:t xml:space="preserve">(PRETENSA, 2025)</w:t>
      </w:r>
      <w:r>
        <w:t xml:space="preserve">. El proveedor de los complementos certificó 2.350 piezas de 20 </w:t>
      </w:r>
      <m:oMath>
        <m:r>
          <m:rPr>
            <m:sty m:val="p"/>
          </m:rPr>
          <m:t>×</m:t>
        </m:r>
      </m:oMath>
      <w:r>
        <w:t xml:space="preserve"> 100 </w:t>
      </w:r>
      <m:oMath>
        <m:r>
          <m:rPr>
            <m:sty m:val="p"/>
          </m:rPr>
          <m:t>×</m:t>
        </m:r>
      </m:oMath>
      <w:r>
        <w:t xml:space="preserve"> 44 cm y 10 kg/m</w:t>
      </w:r>
      <w:r>
        <w:rPr>
          <w:vertAlign w:val="superscript"/>
        </w:rPr>
        <w:t xml:space="preserve">3</w:t>
      </w:r>
      <w:r>
        <w:t xml:space="preserve"> </w:t>
      </w:r>
      <w:r>
        <w:t xml:space="preserve">(UNICON, 2025)</w:t>
      </w:r>
      <w:r>
        <w:t xml:space="preserve">, una medida distinta de la especificada. La Figura 4 muestra el corte transversal con la armadura de distribución de</w:t>
      </w:r>
      <w:r>
        <w:t xml:space="preserve"> </w:t>
      </w:r>
      <m:oMath>
        <m:r>
          <m:t>ϕ</m:t>
        </m:r>
      </m:oMath>
      <w:r>
        <w:t xml:space="preserve">6 c/20 cm en ambas direcciones.</w:t>
      </w:r>
    </w:p>
    <w:p>
      <w:pPr>
        <w:pStyle w:val="Caption"/>
      </w:pPr>
      <w:bookmarkStart w:id="1416" w:name="fig4"/>
      <w:r>
        <w:t xml:space="preserve"/>
      </w:r>
      <w:r>
        <w:rPr>
          <w:bCs/>
          <w:b/>
        </w:rPr>
        <w:t xml:space="preserve">Figura 4</w:t>
      </w:r>
      <w:r>
        <w:br/>
      </w:r>
      <w:r>
        <w:rPr>
          <w:iCs/>
          <w:i/>
        </w:rPr>
        <w:t xml:space="preserve">Corte transversal de la losa con la carpeta de compresión y la armadura de distribución</w:t>
      </w:r>
      <w:bookmarkEnd w:id="1416"/>
    </w:p>
    <w:p>
      <w:pPr>
        <w:pStyle w:val="FiguraAPA"/>
      </w:pPr>
      <w:r>
        <w:drawing>
          <wp:inline>
            <wp:extent cx="5052239" cy="2221188"/>
            <wp:effectExtent b="0" l="0" r="0" t="0"/>
            <wp:docPr descr="image" title="" id="94" name="Picture"/>
            <a:graphic>
              <a:graphicData uri="http://schemas.openxmlformats.org/drawingml/2006/picture">
                <pic:pic>
                  <pic:nvPicPr>
                    <pic:cNvPr descr="/home/user/TesisSGC/05_Tesis_LaTeX/figuras/plano02_corte_transversal.png" id="95" name="Picture"/>
                    <pic:cNvPicPr>
                      <a:picLocks noChangeArrowheads="1" noChangeAspect="1"/>
                    </pic:cNvPicPr>
                  </pic:nvPicPr>
                  <pic:blipFill>
                    <a:blip r:embed="rId93"/>
                    <a:stretch>
                      <a:fillRect/>
                    </a:stretch>
                  </pic:blipFill>
                  <pic:spPr bwMode="auto">
                    <a:xfrm>
                      <a:off x="0" y="0"/>
                      <a:ext cx="5052239" cy="2221188"/>
                    </a:xfrm>
                    <a:prstGeom prst="rect">
                      <a:avLst/>
                    </a:prstGeom>
                    <a:noFill/>
                    <a:ln w="9525">
                      <a:noFill/>
                      <a:headEnd/>
                      <a:tailEnd/>
                    </a:ln>
                  </pic:spPr>
                </pic:pic>
              </a:graphicData>
            </a:graphic>
          </wp:inline>
        </w:drawing>
      </w:r>
    </w:p>
    <w:p>
      <w:pPr>
        <w:pStyle w:val="NotaAPA"/>
      </w:pPr>
      <w:r>
        <w:rPr>
          <w:iCs/>
          <w:i/>
        </w:rPr>
        <w:t xml:space="preserve">Nota.</w:t>
      </w:r>
      <w:r>
        <w:t xml:space="preserve"> </w:t>
      </w:r>
      <w:r>
        <w:t xml:space="preserve">Tomado del Plano 02 del proyecto. El corte acota 0,15 m de altura de complemento y 0,05 m de carpeta, mientras que las especificaciones técnicas y el certificado del fabricante indican 20 + 5 cm. Esta discrepancia se analiza en la sección 2.5.2.</w:t>
      </w:r>
    </w:p>
    <w:p>
      <w:pPr>
        <w:pStyle w:val="Heading3"/>
      </w:pPr>
      <w:bookmarkStart w:id="97" w:name="tit68"/>
      <w:r>
        <w:t xml:space="preserve">1.6.2. Proceso constructivo y puntos críticos de calidad</w:t>
      </w:r>
      <w:bookmarkEnd w:id="97"/>
    </w:p>
    <w:p>
      <w:pPr>
        <w:pStyle w:val="FirstParagraph"/>
      </w:pPr>
      <w:r>
        <w:t xml:space="preserve">La ejecución sigue once actividades, desde la recepción de los materiales hasta el desapuntalamiento (Tabla 10). En cada una hay un punto crítico: una característica que, si no se verifica en ese momento, no puede corregirse después sin retrabajo o desperdicio. El primero es la recepción, porque detectar un material defectuoso cuando ya está colocado obliga a retirarlo, detiene la obra y genera pérdidas de tiempo y de dinero</w:t>
      </w:r>
      <w:r>
        <w:t xml:space="preserve"> </w:t>
      </w:r>
      <w:r>
        <w:t xml:space="preserve">(Alcón Aranda, 2009, p. 115)</w:t>
      </w:r>
      <w:r>
        <w:t xml:space="preserve">. El segundo es la liberación previa al vaciado, un punto de espera</w:t>
      </w:r>
      <w:r>
        <w:t xml:space="preserve"> </w:t>
      </w:r>
      <w:r>
        <w:t xml:space="preserve">(Muro Núñez, 2020, anexo 4)</w:t>
      </w:r>
      <w:r>
        <w:t xml:space="preserve">: ningún elemento estructural debería vaciarse sin la autorización expresa de la Supervisión</w:t>
      </w:r>
      <w:r>
        <w:t xml:space="preserve"> </w:t>
      </w:r>
      <w:r>
        <w:t xml:space="preserve">(Fernando Aragón Ingeniería Estructural, 2025, p. 8)</w:t>
      </w:r>
      <w:r>
        <w:t xml:space="preserve">. El tercero es el hormigón, cuyo muestreo debe presenciar el supervisor</w:t>
      </w:r>
      <w:r>
        <w:t xml:space="preserve"> </w:t>
      </w:r>
      <w:r>
        <w:t xml:space="preserve">(Cajías Luna, 2023, p. 37)</w:t>
      </w:r>
      <w:r>
        <w:t xml:space="preserve">, con probetas elaboradas en el lugar de colocación y no a la salida de la hormigonera</w:t>
      </w:r>
      <w:r>
        <w:t xml:space="preserve"> </w:t>
      </w:r>
      <w:r>
        <w:t xml:space="preserve">(Fernando Aragón Ingeniería Estructural, 2025, p. 13)</w:t>
      </w:r>
      <w:r>
        <w:t xml:space="preserve">.</w:t>
      </w:r>
    </w:p>
    <w:p>
      <w:pPr>
        <w:pStyle w:val="Caption"/>
      </w:pPr>
      <w:bookmarkStart w:id="1417" w:name="tab10"/>
      <w:r>
        <w:t xml:space="preserve"/>
      </w:r>
      <w:r>
        <w:rPr>
          <w:bCs/>
          <w:b/>
        </w:rPr>
        <w:t xml:space="preserve">Tabla 10</w:t>
      </w:r>
      <w:r>
        <w:br/>
      </w:r>
      <w:r>
        <w:rPr>
          <w:iCs/>
          <w:i/>
        </w:rPr>
        <w:t xml:space="preserve">Proceso constructivo de la losa alivianada y puntos críticos de calidad</w:t>
      </w:r>
      <w:bookmarkEnd w:id="1417"/>
    </w:p>
    <w:tbl>
      <w:tblPr>
        <w:tblStyle w:val="Table"/>
        <w:tblW w:w="9361" w:type="dxa"/>
        <w:jc w:val="left"/>
        <w:tblLayout w:type="fixed"/>
        <w:tblCellMar>
          <w:top w:w="0" w:type="dxa"/>
          <w:left w:w="85" w:type="dxa"/>
          <w:bottom w:w="0" w:type="dxa"/>
          <w:right w:w="85" w:type="dxa"/>
        </w:tblCellMar>
        <w:tblLook w:firstRow="1" w:lastRow="0" w:firstColumn="0" w:lastColumn="0" w:noHBand="0" w:noVBand="0" w:val="0020"/>
      </w:tblPr>
      <w:tblGrid>
        <w:gridCol w:w="666"/>
        <w:gridCol w:w="2219"/>
        <w:gridCol w:w="4368"/>
        <w:gridCol w:w="2108"/>
      </w:tblGrid>
      <w:tr>
        <w:trPr>
          <w:cantSplit/>
          <w:tblHeader w:val="true"/>
        </w:trPr>
        <w:tc>
          <w:tcPr>
            <w:tcW w:w="666" w:type="dxa"/>
            <w:tcBorders>
              <w:top w:val="single" w:sz="8" w:space="0" w:color="000000"/>
              <w:bottom w:val="single" w:sz="4" w:space="0" w:color="000000"/>
            </w:tcBorders>
          </w:tcPr>
          <w:p>
            <w:pPr>
              <w:pStyle w:val="CeldaAPA"/>
              <w:jc w:val="center"/>
            </w:pPr>
            <w:r>
              <w:rPr>
                <w:bCs/>
                <w:b/>
              </w:rPr>
              <w:t xml:space="preserve">N.</w:t>
            </w:r>
            <w:r>
              <w:rPr>
                <w:vertAlign w:val="superscript"/>
                <w:bCs/>
                <w:b/>
              </w:rPr>
              <w:t xml:space="preserve">o</w:t>
            </w:r>
          </w:p>
        </w:tc>
        <w:tc>
          <w:tcPr>
            <w:tcW w:w="2219" w:type="dxa"/>
            <w:tcBorders>
              <w:top w:val="single" w:sz="8" w:space="0" w:color="000000"/>
              <w:bottom w:val="single" w:sz="4" w:space="0" w:color="000000"/>
            </w:tcBorders>
          </w:tcPr>
          <w:p>
            <w:pPr>
              <w:pStyle w:val="CeldaAPA"/>
              <w:jc w:val="center"/>
            </w:pPr>
            <w:r>
              <w:rPr>
                <w:bCs/>
                <w:b/>
              </w:rPr>
              <w:t xml:space="preserve">Actividad</w:t>
            </w:r>
          </w:p>
        </w:tc>
        <w:tc>
          <w:tcPr>
            <w:tcW w:w="4368" w:type="dxa"/>
            <w:tcBorders>
              <w:top w:val="single" w:sz="8" w:space="0" w:color="000000"/>
              <w:bottom w:val="single" w:sz="4" w:space="0" w:color="000000"/>
            </w:tcBorders>
          </w:tcPr>
          <w:p>
            <w:pPr>
              <w:pStyle w:val="CeldaAPA"/>
              <w:jc w:val="center"/>
            </w:pPr>
            <w:r>
              <w:rPr>
                <w:bCs/>
                <w:b/>
              </w:rPr>
              <w:t xml:space="preserve">Punto crítico de calidad</w:t>
            </w:r>
          </w:p>
        </w:tc>
        <w:tc>
          <w:tcPr>
            <w:tcW w:w="2108" w:type="dxa"/>
            <w:tcBorders>
              <w:top w:val="single" w:sz="8" w:space="0" w:color="000000"/>
              <w:bottom w:val="single" w:sz="4" w:space="0" w:color="000000"/>
            </w:tcBorders>
          </w:tcPr>
          <w:p>
            <w:pPr>
              <w:pStyle w:val="CeldaAPA"/>
              <w:jc w:val="center"/>
            </w:pPr>
            <w:r>
              <w:rPr>
                <w:bCs/>
                <w:b/>
              </w:rPr>
              <w:t xml:space="preserve">Criterio o referencia</w:t>
            </w:r>
          </w:p>
        </w:tc>
      </w:tr>
      <w:tr>
        <w:tc>
          <w:tcPr>
            <w:tcW w:w="666" w:type="dxa"/>
          </w:tcPr>
          <w:p>
            <w:pPr>
              <w:pStyle w:val="CeldaAPA"/>
              <w:jc w:val="left"/>
            </w:pPr>
            <w:r>
              <w:rPr/>
              <w:t xml:space="preserve">1</w:t>
            </w:r>
          </w:p>
        </w:tc>
        <w:tc>
          <w:tcPr>
            <w:tcW w:w="2219" w:type="dxa"/>
          </w:tcPr>
          <w:p>
            <w:pPr>
              <w:pStyle w:val="CeldaAPA"/>
              <w:jc w:val="left"/>
            </w:pPr>
            <w:r>
              <w:rPr/>
              <w:t xml:space="preserve">Recepción y acopio de viguetas</w:t>
            </w:r>
          </w:p>
        </w:tc>
        <w:tc>
          <w:tcPr>
            <w:tcW w:w="4368" w:type="dxa"/>
          </w:tcPr>
          <w:p>
            <w:pPr>
              <w:pStyle w:val="CeldaAPA"/>
              <w:jc w:val="left"/>
            </w:pPr>
            <w:r>
              <w:rPr/>
              <w:t xml:space="preserve">Cantidad, tipo y longitud según el plano de montaje del proveedor; piezas sin fisuras, oquedades ni armadura expuesta; tolerancias dimensionales</w:t>
            </w:r>
          </w:p>
        </w:tc>
        <w:tc>
          <w:tcPr>
            <w:tcW w:w="2108" w:type="dxa"/>
          </w:tcPr>
          <w:p>
            <w:pPr>
              <w:pStyle w:val="CeldaAPA"/>
              <w:jc w:val="left"/>
            </w:pPr>
            <w:r>
              <w:rPr/>
              <w:t xml:space="preserve">Alcón Aranda (2009, pp. 115–116)</w:t>
            </w:r>
            <w:r>
              <w:rPr/>
              <w:t xml:space="preserve">; NB 997:2016; certificado del fabricante</w:t>
            </w:r>
          </w:p>
        </w:tc>
      </w:tr>
      <w:tr>
        <w:tc>
          <w:tcPr>
            <w:tcW w:w="666" w:type="dxa"/>
          </w:tcPr>
          <w:p>
            <w:pPr>
              <w:pStyle w:val="CeldaAPA"/>
              <w:jc w:val="left"/>
            </w:pPr>
            <w:r>
              <w:rPr/>
              <w:t xml:space="preserve">2</w:t>
            </w:r>
          </w:p>
        </w:tc>
        <w:tc>
          <w:tcPr>
            <w:tcW w:w="2219" w:type="dxa"/>
          </w:tcPr>
          <w:p>
            <w:pPr>
              <w:pStyle w:val="CeldaAPA"/>
              <w:jc w:val="left"/>
            </w:pPr>
            <w:r>
              <w:rPr/>
              <w:t xml:space="preserve">Recepción y acopio de complementos</w:t>
            </w:r>
          </w:p>
        </w:tc>
        <w:tc>
          <w:tcPr>
            <w:tcW w:w="4368" w:type="dxa"/>
          </w:tcPr>
          <w:p>
            <w:pPr>
              <w:pStyle w:val="CeldaAPA"/>
              <w:jc w:val="left"/>
            </w:pPr>
            <w:r>
              <w:rPr/>
              <w:t xml:space="preserve">Dimensiones y densidad del pedido; piezas enteras; acopio protegido</w:t>
            </w:r>
          </w:p>
        </w:tc>
        <w:tc>
          <w:tcPr>
            <w:tcW w:w="2108" w:type="dxa"/>
          </w:tcPr>
          <w:p>
            <w:pPr>
              <w:pStyle w:val="CeldaAPA"/>
              <w:jc w:val="left"/>
            </w:pPr>
            <w:r>
              <w:rPr/>
              <w:t xml:space="preserve">Tolerancias de la ficha técnica; certificado del proveedor</w:t>
            </w:r>
          </w:p>
        </w:tc>
      </w:tr>
      <w:tr>
        <w:tc>
          <w:tcPr>
            <w:tcW w:w="666" w:type="dxa"/>
          </w:tcPr>
          <w:p>
            <w:pPr>
              <w:pStyle w:val="CeldaAPA"/>
              <w:jc w:val="left"/>
            </w:pPr>
            <w:r>
              <w:rPr/>
              <w:t xml:space="preserve">3</w:t>
            </w:r>
          </w:p>
        </w:tc>
        <w:tc>
          <w:tcPr>
            <w:tcW w:w="2219" w:type="dxa"/>
          </w:tcPr>
          <w:p>
            <w:pPr>
              <w:pStyle w:val="CeldaAPA"/>
              <w:jc w:val="left"/>
            </w:pPr>
            <w:r>
              <w:rPr/>
              <w:t xml:space="preserve">Recepción de cemento, áridos, agua y acero</w:t>
            </w:r>
          </w:p>
        </w:tc>
        <w:tc>
          <w:tcPr>
            <w:tcW w:w="4368" w:type="dxa"/>
          </w:tcPr>
          <w:p>
            <w:pPr>
              <w:pStyle w:val="CeldaAPA"/>
              <w:jc w:val="left"/>
            </w:pPr>
            <w:r>
              <w:rPr/>
              <w:t xml:space="preserve">Cemento con sello, bajo techo y en pilas de hasta 10 bolsas; agua limpia a más de 5 </w:t>
            </w:r>
            <m:oMath>
              <m:sSup>
                <m:e>
                  <m:r>
                    <m:t>​</m:t>
                  </m:r>
                </m:e>
                <m:sup>
                  <m:r>
                    <m:rPr>
                      <m:sty m:val="p"/>
                    </m:rPr>
                    <m:t>∘</m:t>
                  </m:r>
                </m:sup>
              </m:sSup>
            </m:oMath>
            <w:r>
              <w:rPr/>
              <w:t xml:space="preserve">C; acero con certificado de fábrica, sin oxidación excesiva, barro ni aceite</w:t>
            </w:r>
          </w:p>
        </w:tc>
        <w:tc>
          <w:tcPr>
            <w:tcW w:w="2108" w:type="dxa"/>
          </w:tcPr>
          <w:p>
            <w:pPr>
              <w:pStyle w:val="CeldaAPA"/>
              <w:jc w:val="left"/>
            </w:pPr>
            <w:r>
              <w:rPr/>
              <w:t xml:space="preserve">ET, pp. 1–2; ACI 318-25, 26.6.1.2; pliego de referencia, p. 17</w:t>
            </w:r>
          </w:p>
        </w:tc>
      </w:tr>
      <w:tr>
        <w:tc>
          <w:tcPr>
            <w:tcW w:w="666" w:type="dxa"/>
          </w:tcPr>
          <w:p>
            <w:pPr>
              <w:pStyle w:val="CeldaAPA"/>
              <w:jc w:val="left"/>
            </w:pPr>
            <w:r>
              <w:rPr/>
              <w:t xml:space="preserve">4</w:t>
            </w:r>
          </w:p>
        </w:tc>
        <w:tc>
          <w:tcPr>
            <w:tcW w:w="2219" w:type="dxa"/>
          </w:tcPr>
          <w:p>
            <w:pPr>
              <w:pStyle w:val="CeldaAPA"/>
              <w:jc w:val="left"/>
            </w:pPr>
            <w:r>
              <w:rPr/>
              <w:t xml:space="preserve">Replanteo y apuntalamiento</w:t>
            </w:r>
          </w:p>
        </w:tc>
        <w:tc>
          <w:tcPr>
            <w:tcW w:w="4368" w:type="dxa"/>
          </w:tcPr>
          <w:p>
            <w:pPr>
              <w:pStyle w:val="CeldaAPA"/>
              <w:jc w:val="left"/>
            </w:pPr>
            <w:r>
              <w:rPr/>
              <w:t xml:space="preserve">Puntales colocados antes de montar los complementos; niveles de apoyo según los planos</w:t>
            </w:r>
          </w:p>
        </w:tc>
        <w:tc>
          <w:tcPr>
            <w:tcW w:w="2108" w:type="dxa"/>
          </w:tcPr>
          <w:p>
            <w:pPr>
              <w:pStyle w:val="CeldaAPA"/>
              <w:jc w:val="left"/>
            </w:pPr>
            <w:r>
              <w:rPr/>
              <w:t xml:space="preserve">Ficha técnica de los complementos</w:t>
            </w:r>
          </w:p>
        </w:tc>
      </w:tr>
      <w:tr>
        <w:tc>
          <w:tcPr>
            <w:tcW w:w="666" w:type="dxa"/>
          </w:tcPr>
          <w:p>
            <w:pPr>
              <w:pStyle w:val="CeldaAPA"/>
              <w:jc w:val="left"/>
            </w:pPr>
            <w:r>
              <w:rPr/>
              <w:t xml:space="preserve">5</w:t>
            </w:r>
          </w:p>
        </w:tc>
        <w:tc>
          <w:tcPr>
            <w:tcW w:w="2219" w:type="dxa"/>
          </w:tcPr>
          <w:p>
            <w:pPr>
              <w:pStyle w:val="CeldaAPA"/>
              <w:jc w:val="left"/>
            </w:pPr>
            <w:r>
              <w:rPr/>
              <w:t xml:space="preserve">Colocación de viguetas</w:t>
            </w:r>
          </w:p>
        </w:tc>
        <w:tc>
          <w:tcPr>
            <w:tcW w:w="4368" w:type="dxa"/>
          </w:tcPr>
          <w:p>
            <w:pPr>
              <w:pStyle w:val="CeldaAPA"/>
              <w:jc w:val="left"/>
            </w:pPr>
            <w:r>
              <w:rPr/>
              <w:t xml:space="preserve">Separación de 50 cm entre ejes; tipo correcto en cada paño; empotramiento mínimo de 100 mm en vigas de borde y de 70 mm en vigas centrales</w:t>
            </w:r>
          </w:p>
        </w:tc>
        <w:tc>
          <w:tcPr>
            <w:tcW w:w="2108" w:type="dxa"/>
          </w:tcPr>
          <w:p>
            <w:pPr>
              <w:pStyle w:val="CeldaAPA"/>
              <w:jc w:val="left"/>
            </w:pPr>
            <w:r>
              <w:rPr/>
              <w:t xml:space="preserve">Certificado del fabricante; NBDS, art. 12</w:t>
            </w:r>
          </w:p>
        </w:tc>
      </w:tr>
      <w:tr>
        <w:tc>
          <w:tcPr>
            <w:tcW w:w="666" w:type="dxa"/>
          </w:tcPr>
          <w:p>
            <w:pPr>
              <w:pStyle w:val="CeldaAPA"/>
              <w:jc w:val="left"/>
            </w:pPr>
            <w:r>
              <w:rPr/>
              <w:t xml:space="preserve">6</w:t>
            </w:r>
          </w:p>
        </w:tc>
        <w:tc>
          <w:tcPr>
            <w:tcW w:w="2219" w:type="dxa"/>
          </w:tcPr>
          <w:p>
            <w:pPr>
              <w:pStyle w:val="CeldaAPA"/>
              <w:jc w:val="left"/>
            </w:pPr>
            <w:r>
              <w:rPr/>
              <w:t xml:space="preserve">Colocación de complementos</w:t>
            </w:r>
          </w:p>
        </w:tc>
        <w:tc>
          <w:tcPr>
            <w:tcW w:w="4368" w:type="dxa"/>
          </w:tcPr>
          <w:p>
            <w:pPr>
              <w:pStyle w:val="CeldaAPA"/>
              <w:jc w:val="left"/>
            </w:pPr>
            <w:r>
              <w:rPr/>
              <w:t xml:space="preserve">Piezas enteras y bien asentadas; prohibido pisarlas</w:t>
            </w:r>
          </w:p>
        </w:tc>
        <w:tc>
          <w:tcPr>
            <w:tcW w:w="2108" w:type="dxa"/>
          </w:tcPr>
          <w:p>
            <w:pPr>
              <w:pStyle w:val="CeldaAPA"/>
              <w:jc w:val="left"/>
            </w:pPr>
            <w:r>
              <w:rPr/>
              <w:t xml:space="preserve">Ficha técnica de los complementos</w:t>
            </w:r>
          </w:p>
        </w:tc>
      </w:tr>
      <w:tr>
        <w:tc>
          <w:tcPr>
            <w:tcW w:w="666" w:type="dxa"/>
          </w:tcPr>
          <w:p>
            <w:pPr>
              <w:pStyle w:val="CeldaAPA"/>
              <w:jc w:val="left"/>
            </w:pPr>
            <w:r>
              <w:rPr/>
              <w:t xml:space="preserve">7</w:t>
            </w:r>
          </w:p>
        </w:tc>
        <w:tc>
          <w:tcPr>
            <w:tcW w:w="2219" w:type="dxa"/>
          </w:tcPr>
          <w:p>
            <w:pPr>
              <w:pStyle w:val="CeldaAPA"/>
              <w:jc w:val="left"/>
            </w:pPr>
            <w:r>
              <w:rPr/>
              <w:t xml:space="preserve">Nervios transversales y armaduras</w:t>
            </w:r>
          </w:p>
        </w:tc>
        <w:tc>
          <w:tcPr>
            <w:tcW w:w="4368" w:type="dxa"/>
          </w:tcPr>
          <w:p>
            <w:pPr>
              <w:pStyle w:val="CeldaAPA"/>
              <w:jc w:val="left"/>
            </w:pPr>
            <w:r>
              <w:rPr/>
              <w:t xml:space="preserve">Nervios rigidizadores según los planos; parrilla</w:t>
            </w:r>
            <w:r>
              <w:rPr/>
              <w:t xml:space="preserve"> </w:t>
            </w:r>
            <m:oMath>
              <m:r>
                <m:t>ϕ</m:t>
              </m:r>
            </m:oMath>
            <w:r>
              <w:rPr/>
              <w:t xml:space="preserve">6 c/20 en ambas direcciones; acero de continuidad sobre los apoyos; armadura apoyada dentro de las tolerancias</w:t>
            </w:r>
          </w:p>
        </w:tc>
        <w:tc>
          <w:tcPr>
            <w:tcW w:w="2108" w:type="dxa"/>
          </w:tcPr>
          <w:p>
            <w:pPr>
              <w:pStyle w:val="CeldaAPA"/>
              <w:jc w:val="left"/>
            </w:pPr>
            <w:r>
              <w:rPr/>
              <w:t xml:space="preserve">ET, p. 3; Plano 02; certificado del fabricante; ACI 318-25, 26.6.2</w:t>
            </w:r>
          </w:p>
        </w:tc>
      </w:tr>
      <w:tr>
        <w:tc>
          <w:tcPr>
            <w:tcW w:w="666" w:type="dxa"/>
          </w:tcPr>
          <w:p>
            <w:pPr>
              <w:pStyle w:val="CeldaAPA"/>
              <w:jc w:val="left"/>
            </w:pPr>
            <w:r>
              <w:rPr/>
              <w:t xml:space="preserve">8</w:t>
            </w:r>
          </w:p>
        </w:tc>
        <w:tc>
          <w:tcPr>
            <w:tcW w:w="2219" w:type="dxa"/>
          </w:tcPr>
          <w:p>
            <w:pPr>
              <w:pStyle w:val="CeldaAPA"/>
              <w:jc w:val="left"/>
            </w:pPr>
            <w:r>
              <w:rPr/>
              <w:t xml:space="preserve">Instalaciones embebidas</w:t>
            </w:r>
          </w:p>
        </w:tc>
        <w:tc>
          <w:tcPr>
            <w:tcW w:w="4368" w:type="dxa"/>
          </w:tcPr>
          <w:p>
            <w:pPr>
              <w:pStyle w:val="CeldaAPA"/>
              <w:jc w:val="left"/>
            </w:pPr>
            <w:r>
              <w:rPr/>
              <w:t xml:space="preserve">Ductos y cajas fijados antes del vaciado sin desplazar la armadura</w:t>
            </w:r>
          </w:p>
        </w:tc>
        <w:tc>
          <w:tcPr>
            <w:tcW w:w="2108" w:type="dxa"/>
          </w:tcPr>
          <w:p>
            <w:pPr>
              <w:pStyle w:val="CeldaAPA"/>
              <w:jc w:val="left"/>
            </w:pPr>
            <w:r>
              <w:rPr/>
              <w:t xml:space="preserve">ACI 318-25, 26.13.3.3</w:t>
            </w:r>
          </w:p>
        </w:tc>
      </w:tr>
      <w:tr>
        <w:tc>
          <w:tcPr>
            <w:tcW w:w="666" w:type="dxa"/>
          </w:tcPr>
          <w:p>
            <w:pPr>
              <w:pStyle w:val="CeldaAPA"/>
              <w:jc w:val="left"/>
            </w:pPr>
            <w:r>
              <w:rPr/>
              <w:t xml:space="preserve">9</w:t>
            </w:r>
          </w:p>
        </w:tc>
        <w:tc>
          <w:tcPr>
            <w:tcW w:w="2219" w:type="dxa"/>
          </w:tcPr>
          <w:p>
            <w:pPr>
              <w:pStyle w:val="CeldaAPA"/>
              <w:jc w:val="left"/>
            </w:pPr>
            <w:r>
              <w:rPr/>
              <w:t xml:space="preserve">Liberación para el vaciado</w:t>
            </w:r>
          </w:p>
        </w:tc>
        <w:tc>
          <w:tcPr>
            <w:tcW w:w="4368" w:type="dxa"/>
          </w:tcPr>
          <w:p>
            <w:pPr>
              <w:pStyle w:val="CeldaAPA"/>
              <w:jc w:val="left"/>
            </w:pPr>
            <w:r>
              <w:rPr/>
              <w:t xml:space="preserve">Punto de espera: verificación del armado, de las instalaciones y de la limpieza; mezcla aprobada para el elemento; autorización escrita de la Supervisión</w:t>
            </w:r>
          </w:p>
        </w:tc>
        <w:tc>
          <w:tcPr>
            <w:tcW w:w="2108" w:type="dxa"/>
          </w:tcPr>
          <w:p>
            <w:pPr>
              <w:pStyle w:val="CeldaAPA"/>
              <w:jc w:val="left"/>
            </w:pPr>
            <w:r>
              <w:rPr/>
              <w:t xml:space="preserve">ACI 318-25, 26.13.3.2 y 26.13.3.3; Supervisión</w:t>
            </w:r>
          </w:p>
        </w:tc>
      </w:tr>
      <w:tr>
        <w:tc>
          <w:tcPr>
            <w:tcW w:w="666" w:type="dxa"/>
          </w:tcPr>
          <w:p>
            <w:pPr>
              <w:pStyle w:val="CeldaAPA"/>
              <w:jc w:val="left"/>
            </w:pPr>
            <w:r>
              <w:rPr/>
              <w:t xml:space="preserve">10</w:t>
            </w:r>
          </w:p>
        </w:tc>
        <w:tc>
          <w:tcPr>
            <w:tcW w:w="2219" w:type="dxa"/>
          </w:tcPr>
          <w:p>
            <w:pPr>
              <w:pStyle w:val="CeldaAPA"/>
              <w:jc w:val="left"/>
            </w:pPr>
            <w:r>
              <w:rPr/>
              <w:t xml:space="preserve">Hormigonado</w:t>
            </w:r>
          </w:p>
        </w:tc>
        <w:tc>
          <w:tcPr>
            <w:tcW w:w="4368" w:type="dxa"/>
          </w:tcPr>
          <w:p>
            <w:pPr>
              <w:pStyle w:val="CeldaAPA"/>
              <w:jc w:val="left"/>
            </w:pPr>
            <w:r>
              <w:rPr/>
              <w:t xml:space="preserve">Vaciado monolítico con las vigas, por franjas y continuo hasta completar el paño; asentamiento controlado; compactación sin segregación; sin añadir agua más allá de lo que admite ASTM C94; muestreo aleatorio</w:t>
            </w:r>
          </w:p>
        </w:tc>
        <w:tc>
          <w:tcPr>
            <w:tcW w:w="2108" w:type="dxa"/>
          </w:tcPr>
          <w:p>
            <w:pPr>
              <w:pStyle w:val="CeldaAPA"/>
              <w:jc w:val="left"/>
            </w:pPr>
            <w:r>
              <w:rPr/>
              <w:t xml:space="preserve">ET, p. 3; ACI 318-25, 26.5.2.2 y 26.12.2.1</w:t>
            </w:r>
          </w:p>
        </w:tc>
      </w:tr>
      <w:tr>
        <w:tc>
          <w:tcPr>
            <w:tcW w:w="666" w:type="dxa"/>
            <w:tcBorders>
              <w:bottom w:val="single" w:sz="8" w:space="0" w:color="000000"/>
            </w:tcBorders>
          </w:tcPr>
          <w:p>
            <w:pPr>
              <w:pStyle w:val="CeldaAPA"/>
              <w:jc w:val="left"/>
            </w:pPr>
            <w:r>
              <w:rPr/>
              <w:t xml:space="preserve">11</w:t>
            </w:r>
          </w:p>
        </w:tc>
        <w:tc>
          <w:tcPr>
            <w:tcW w:w="2219" w:type="dxa"/>
            <w:tcBorders>
              <w:bottom w:val="single" w:sz="8" w:space="0" w:color="000000"/>
            </w:tcBorders>
          </w:tcPr>
          <w:p>
            <w:pPr>
              <w:pStyle w:val="CeldaAPA"/>
              <w:jc w:val="left"/>
            </w:pPr>
            <w:r>
              <w:rPr/>
              <w:t xml:space="preserve">Curado y desapuntalamiento</w:t>
            </w:r>
          </w:p>
        </w:tc>
        <w:tc>
          <w:tcPr>
            <w:tcW w:w="4368" w:type="dxa"/>
            <w:tcBorders>
              <w:bottom w:val="single" w:sz="8" w:space="0" w:color="000000"/>
            </w:tcBorders>
          </w:tcPr>
          <w:p>
            <w:pPr>
              <w:pStyle w:val="CeldaAPA"/>
              <w:jc w:val="left"/>
            </w:pPr>
            <w:r>
              <w:rPr/>
              <w:t xml:space="preserve">Humedad mantenida al menos 7 días con el hormigón a 10 </w:t>
            </w:r>
            <m:oMath>
              <m:sSup>
                <m:e>
                  <m:r>
                    <m:t>​</m:t>
                  </m:r>
                </m:e>
                <m:sup>
                  <m:r>
                    <m:rPr>
                      <m:sty m:val="p"/>
                    </m:rPr>
                    <m:t>∘</m:t>
                  </m:r>
                </m:sup>
              </m:sSup>
            </m:oMath>
            <w:r>
              <w:rPr/>
              <w:t xml:space="preserve">C o más; protección en tiempo frío; puntales retirados solo cuando las probetas curadas en obra alcanzan la resistencia requerida</w:t>
            </w:r>
          </w:p>
        </w:tc>
        <w:tc>
          <w:tcPr>
            <w:tcW w:w="2108" w:type="dxa"/>
            <w:tcBorders>
              <w:bottom w:val="single" w:sz="8" w:space="0" w:color="000000"/>
            </w:tcBorders>
          </w:tcPr>
          <w:p>
            <w:pPr>
              <w:pStyle w:val="CeldaAPA"/>
              <w:jc w:val="left"/>
            </w:pPr>
            <w:r>
              <w:rPr/>
              <w:t xml:space="preserve">ACI 318-25, 26.5.3, 26.5.4 y 26.12.4</w:t>
            </w:r>
          </w:p>
        </w:tc>
      </w:tr>
    </w:tbl>
    <w:p>
      <w:pPr>
        <w:pStyle w:val="NotaAPA"/>
      </w:pPr>
      <w:r>
        <w:rPr>
          <w:iCs/>
          <w:i/>
        </w:rPr>
        <w:t xml:space="preserve">Nota.</w:t>
      </w:r>
      <w:r>
        <w:t xml:space="preserve"> </w:t>
      </w:r>
      <w:r>
        <w:t xml:space="preserve">Elaboración propia con base en</w:t>
      </w:r>
      <w:r>
        <w:t xml:space="preserve"> </w:t>
      </w:r>
      <w:r>
        <w:t xml:space="preserve">Alcón Aranda (2009, pp. 115–116)</w:t>
      </w:r>
      <w:r>
        <w:t xml:space="preserve">, las especificaciones técnicas del proyecto (ET)</w:t>
      </w:r>
      <w:r>
        <w:t xml:space="preserve"> </w:t>
      </w:r>
      <w:r>
        <w:t xml:space="preserve">(UATF, s. f.-a, pp. 1–3)</w:t>
      </w:r>
      <w:r>
        <w:t xml:space="preserve">, el certificado del fabricante de las viguetas</w:t>
      </w:r>
      <w:r>
        <w:t xml:space="preserve"> </w:t>
      </w:r>
      <w:r>
        <w:t xml:space="preserve">(PRETENSA, 2025)</w:t>
      </w:r>
      <w:r>
        <w:t xml:space="preserve">, las fichas técnicas</w:t>
      </w:r>
      <w:r>
        <w:t xml:space="preserve"> </w:t>
      </w:r>
      <w:r>
        <w:t xml:space="preserve">(Concretec, 2018, hoja 2)</w:t>
      </w:r>
      <w:r>
        <w:t xml:space="preserve"> </w:t>
      </w:r>
      <w:r>
        <w:t xml:space="preserve">(Concretec, 2016, hojas 1 y 3)</w:t>
      </w:r>
      <w:r>
        <w:t xml:space="preserve">, la Norma Boliviana de Diseño Sísmico (NBDS)</w:t>
      </w:r>
      <w:r>
        <w:t xml:space="preserve"> </w:t>
      </w:r>
      <w:r>
        <w:t xml:space="preserve">(Ministerio de Obras Públicas, Servicios y Vivienda [MOPSV], 2023, p. 22)</w:t>
      </w:r>
      <w:r>
        <w:t xml:space="preserve">, el código ACI 318-25</w:t>
      </w:r>
      <w:r>
        <w:t xml:space="preserve"> </w:t>
      </w:r>
      <w:r>
        <w:t xml:space="preserve">(ACI Committee 318, 2025, Sección 26.5 a 26.13, pp. 578–611)</w:t>
      </w:r>
      <w:r>
        <w:t xml:space="preserve"> </w:t>
      </w:r>
      <w:r>
        <w:t xml:space="preserve">y un pliego de especificaciones de referencia</w:t>
      </w:r>
      <w:r>
        <w:t xml:space="preserve"> </w:t>
      </w:r>
      <w:r>
        <w:t xml:space="preserve">(Fernando Aragón Ingeniería Estructural, 2025, pp. 8, 12–13, 17)</w:t>
      </w:r>
      <w:r>
        <w:t xml:space="preserve">.</w:t>
      </w:r>
    </w:p>
    <w:p>
      <w:pPr>
        <w:pStyle w:val="Heading3"/>
      </w:pPr>
      <w:bookmarkStart w:id="98" w:name="tit69"/>
      <w:r>
        <w:t xml:space="preserve">1.6.3. Consumos teóricos de materiales por metro cuadrado</w:t>
      </w:r>
      <w:bookmarkEnd w:id="98"/>
    </w:p>
    <w:p>
      <w:pPr>
        <w:pStyle w:val="FirstParagraph"/>
      </w:pPr>
      <w:r>
        <w:t xml:space="preserve">Los consumos teóricos por metro cuadrado son la cantidad de referencia del índice de desperdicio (ecuación 2). Para una losa de viguetas simples con separación entre ejes</w:t>
      </w:r>
      <w:r>
        <w:t xml:space="preserve"> </w:t>
      </w:r>
      <m:oMath>
        <m:r>
          <m:t>D</m:t>
        </m:r>
      </m:oMath>
      <w:r>
        <w:t xml:space="preserve"> </w:t>
      </w:r>
      <w:r>
        <w:t xml:space="preserve">y complementos de largo</w:t>
      </w:r>
      <w:r>
        <w:t xml:space="preserve"> </w:t>
      </w:r>
      <m:oMath>
        <m:r>
          <m:t>L</m:t>
        </m:r>
      </m:oMath>
      <w:r>
        <w:t xml:space="preserve">, la geometría da directamente la longitud de vigueta por metro cuadrado,</w:t>
      </w:r>
      <w:r>
        <w:t xml:space="preserve"> </w:t>
      </w:r>
      <m:oMath>
        <m:r>
          <m:t>1</m:t>
        </m:r>
        <m:r>
          <m:rPr>
            <m:sty m:val="p"/>
          </m:rPr>
          <m:t>/</m:t>
        </m:r>
        <m:r>
          <m:t>D</m:t>
        </m:r>
      </m:oMath>
      <w:r>
        <w:t xml:space="preserve">, y el número de complementos,</w:t>
      </w:r>
      <w:r>
        <w:t xml:space="preserve"> </w:t>
      </w:r>
      <m:oMath>
        <m:r>
          <m:t>1</m:t>
        </m:r>
        <m:r>
          <m:rPr>
            <m:sty m:val="p"/>
          </m:rPr>
          <m:t>/</m:t>
        </m:r>
        <m:d>
          <m:dPr>
            <m:begChr m:val="("/>
            <m:endChr m:val=")"/>
            <m:sepChr m:val=""/>
            <m:grow/>
          </m:dPr>
          <m:e>
            <m:r>
              <m:t>D</m:t>
            </m:r>
            <m:r>
              <m:rPr>
                <m:sty m:val="p"/>
              </m:rPr>
              <m:t>⋅</m:t>
            </m:r>
            <m:r>
              <m:t>L</m:t>
            </m:r>
          </m:e>
        </m:d>
      </m:oMath>
      <w:r>
        <w:t xml:space="preserve">; el volumen mínimo de hormigón es el de la carpeta,</w:t>
      </w:r>
      <w:r>
        <w:t xml:space="preserve"> </w:t>
      </w:r>
      <m:oMath>
        <m:sSub>
          <m:e>
            <m:r>
              <m:t>h</m:t>
            </m:r>
          </m:e>
          <m:sub>
            <m:r>
              <m:t>2</m:t>
            </m:r>
          </m:sub>
        </m:sSub>
        <m:r>
          <m:rPr>
            <m:sty m:val="p"/>
          </m:rPr>
          <m:t>×</m:t>
        </m:r>
        <m:r>
          <m:t>1</m:t>
        </m:r>
      </m:oMath>
      <w:r>
        <w:t xml:space="preserve"> m</w:t>
      </w:r>
      <w:r>
        <w:rPr>
          <w:vertAlign w:val="superscript"/>
        </w:rPr>
        <w:t xml:space="preserve">2</w:t>
      </w:r>
      <w:r>
        <w:t xml:space="preserve">. Las fichas técnicas del fabricante dan la geometría del sistema, pero no tablas de consumo por metro cuadrado, por lo que estas cantidades son un cálculo propio sin descontar apoyos, bordes ni nervios transversales</w:t>
      </w:r>
      <w:r>
        <w:t xml:space="preserve"> </w:t>
      </w:r>
      <w:r>
        <w:t xml:space="preserve">(Concretec, 2018, hoja 3)</w:t>
      </w:r>
      <w:r>
        <w:t xml:space="preserve">.</w:t>
      </w:r>
      <w:r>
        <w:t xml:space="preserve"> </w:t>
      </w:r>
      <w:r>
        <w:t xml:space="preserve">Alcón Aranda (2009, p. 103)</w:t>
      </w:r>
      <w:r>
        <w:t xml:space="preserve"> </w:t>
      </w:r>
      <w:r>
        <w:t xml:space="preserve">sí publicó consumos medidos para una losa de complemento de 15 cm, carpeta de 5 cm y ejes a 0,50 m: 2,00 piezas de complemento por metro cuadrado y 0,0666 m</w:t>
      </w:r>
      <w:r>
        <w:rPr>
          <w:vertAlign w:val="superscript"/>
        </w:rPr>
        <w:t xml:space="preserve">3</w:t>
      </w:r>
      <w:r>
        <w:t xml:space="preserve"> </w:t>
      </w:r>
      <w:r>
        <w:t xml:space="preserve">de hormigón por metro cuadrado, valores promedio de diez mediciones. La Tabla 11 compara ambas referencias.</w:t>
      </w:r>
    </w:p>
    <w:p>
      <w:pPr>
        <w:pStyle w:val="Caption"/>
      </w:pPr>
      <w:bookmarkStart w:id="1418" w:name="tab11"/>
      <w:r>
        <w:t xml:space="preserve"/>
      </w:r>
      <w:r>
        <w:rPr>
          <w:bCs/>
          <w:b/>
        </w:rPr>
        <w:t xml:space="preserve">Tabla 11</w:t>
      </w:r>
      <w:r>
        <w:br/>
      </w:r>
      <w:r>
        <w:rPr>
          <w:iCs/>
          <w:i/>
        </w:rPr>
        <w:t xml:space="preserve">Consumos teóricos de referencia por metro cuadrado de losa</w:t>
      </w:r>
      <w:bookmarkEnd w:id="1418"/>
    </w:p>
    <w:tbl>
      <w:tblPr>
        <w:tblStyle w:val="Table"/>
        <w:tblW w:w="9360" w:type="dxa"/>
        <w:jc w:val="left"/>
        <w:tblLayout w:type="fixed"/>
        <w:tblCellMar>
          <w:top w:w="0" w:type="dxa"/>
          <w:left w:w="85" w:type="dxa"/>
          <w:bottom w:w="0" w:type="dxa"/>
          <w:right w:w="85" w:type="dxa"/>
        </w:tblCellMar>
        <w:tblLook w:firstRow="1" w:lastRow="0" w:firstColumn="0" w:lastColumn="0" w:noHBand="0" w:noVBand="0" w:val="0020"/>
      </w:tblPr>
      <w:tblGrid>
        <w:gridCol w:w="2060"/>
        <w:gridCol w:w="2116"/>
        <w:gridCol w:w="2116"/>
        <w:gridCol w:w="3068"/>
      </w:tblGrid>
      <w:tr>
        <w:trPr>
          <w:cantSplit/>
          <w:tblHeader w:val="true"/>
        </w:trPr>
        <w:tc>
          <w:tcPr>
            <w:tcW w:w="2060" w:type="dxa"/>
            <w:tcBorders>
              <w:top w:val="single" w:sz="8" w:space="0" w:color="000000"/>
              <w:bottom w:val="single" w:sz="4" w:space="0" w:color="000000"/>
            </w:tcBorders>
          </w:tcPr>
          <w:p>
            <w:pPr>
              <w:pStyle w:val="CeldaAPA"/>
              <w:jc w:val="center"/>
            </w:pPr>
            <w:r>
              <w:rPr>
                <w:bCs/>
                <w:b/>
              </w:rPr>
              <w:t xml:space="preserve">Concepto</w:t>
            </w:r>
          </w:p>
        </w:tc>
        <w:tc>
          <w:tcPr>
            <w:tcW w:w="2116" w:type="dxa"/>
            <w:tcBorders>
              <w:top w:val="single" w:sz="8" w:space="0" w:color="000000"/>
              <w:bottom w:val="single" w:sz="4" w:space="0" w:color="000000"/>
            </w:tcBorders>
          </w:tcPr>
          <w:p>
            <w:pPr>
              <w:pStyle w:val="CeldaAPA"/>
              <w:jc w:val="center"/>
            </w:pPr>
            <w:r>
              <w:rPr>
                <w:bCs/>
                <w:b/>
              </w:rPr>
              <w:t xml:space="preserve">Alcón Aranda (2009): complemento de 15 cm, carpeta de 5 cm,</w:t>
            </w:r>
            <w:r>
              <w:rPr>
                <w:bCs/>
                <w:b/>
              </w:rPr>
              <w:t xml:space="preserve"> </w:t>
            </w:r>
            <m:oMath>
              <m:r>
                <m:t>D</m:t>
              </m:r>
              <m:r>
                <m:rPr>
                  <m:sty m:val="p"/>
                </m:rPr>
                <m:t>=</m:t>
              </m:r>
              <m:r>
                <m:t>0</m:t>
              </m:r>
              <m:r>
                <m:rPr>
                  <m:sty m:val="p"/>
                </m:rPr>
                <m:t>,</m:t>
              </m:r>
              <m:r>
                <m:t>50</m:t>
              </m:r>
            </m:oMath>
            <w:r>
              <w:rPr>
                <w:bCs/>
                <w:b/>
              </w:rPr>
              <w:t xml:space="preserve"> m</w:t>
            </w:r>
          </w:p>
        </w:tc>
        <w:tc>
          <w:tcPr>
            <w:tcW w:w="2116" w:type="dxa"/>
            <w:tcBorders>
              <w:top w:val="single" w:sz="8" w:space="0" w:color="000000"/>
              <w:bottom w:val="single" w:sz="4" w:space="0" w:color="000000"/>
            </w:tcBorders>
          </w:tcPr>
          <w:p>
            <w:pPr>
              <w:pStyle w:val="CeldaAPA"/>
              <w:jc w:val="center"/>
            </w:pPr>
            <w:r>
              <w:rPr>
                <w:bCs/>
                <w:b/>
              </w:rPr>
              <w:t xml:space="preserve">Geometría con</w:t>
            </w:r>
            <w:r>
              <w:rPr>
                <w:bCs/>
                <w:b/>
              </w:rPr>
              <w:t xml:space="preserve"> </w:t>
            </w:r>
            <m:oMath>
              <m:r>
                <m:t>D</m:t>
              </m:r>
              <m:r>
                <m:rPr>
                  <m:sty m:val="p"/>
                </m:rPr>
                <m:t>=</m:t>
              </m:r>
              <m:r>
                <m:t>0</m:t>
              </m:r>
              <m:r>
                <m:rPr>
                  <m:sty m:val="p"/>
                </m:rPr>
                <m:t>,</m:t>
              </m:r>
              <m:r>
                <m:t>50</m:t>
              </m:r>
            </m:oMath>
            <w:r>
              <w:rPr>
                <w:bCs/>
                <w:b/>
              </w:rPr>
              <w:t xml:space="preserve"> m y</w:t>
            </w:r>
            <w:r>
              <w:rPr>
                <w:bCs/>
                <w:b/>
              </w:rPr>
              <w:t xml:space="preserve"> </w:t>
            </w:r>
            <m:oMath>
              <m:r>
                <m:t>L</m:t>
              </m:r>
              <m:r>
                <m:rPr>
                  <m:sty m:val="p"/>
                </m:rPr>
                <m:t>=</m:t>
              </m:r>
              <m:r>
                <m:t>1</m:t>
              </m:r>
              <m:r>
                <m:rPr>
                  <m:sty m:val="p"/>
                </m:rPr>
                <m:t>,</m:t>
              </m:r>
              <m:r>
                <m:t>00</m:t>
              </m:r>
            </m:oMath>
            <w:r>
              <w:rPr>
                <w:bCs/>
                <w:b/>
              </w:rPr>
              <w:t xml:space="preserve"> m (cálculo propio)</w:t>
            </w:r>
          </w:p>
        </w:tc>
        <w:tc>
          <w:tcPr>
            <w:tcW w:w="3068" w:type="dxa"/>
            <w:tcBorders>
              <w:top w:val="single" w:sz="8" w:space="0" w:color="000000"/>
              <w:bottom w:val="single" w:sz="4" w:space="0" w:color="000000"/>
            </w:tcBorders>
          </w:tcPr>
          <w:p>
            <w:pPr>
              <w:pStyle w:val="CeldaAPA"/>
              <w:jc w:val="center"/>
            </w:pPr>
            <w:r>
              <w:rPr>
                <w:bCs/>
                <w:b/>
              </w:rPr>
              <w:t xml:space="preserve">Observación</w:t>
            </w:r>
          </w:p>
        </w:tc>
      </w:tr>
      <w:tr>
        <w:tc>
          <w:tcPr>
            <w:tcW w:w="2060" w:type="dxa"/>
          </w:tcPr>
          <w:p>
            <w:pPr>
              <w:pStyle w:val="CeldaAPA"/>
              <w:jc w:val="left"/>
            </w:pPr>
            <w:r>
              <w:rPr/>
              <w:t xml:space="preserve">Vigueta (m/m</w:t>
            </w:r>
            <w:r>
              <w:rPr>
                <w:vertAlign w:val="superscript"/>
              </w:rPr>
              <w:t xml:space="preserve">2</w:t>
            </w:r>
            <w:r>
              <w:rPr/>
              <w:t xml:space="preserve">)</w:t>
            </w:r>
          </w:p>
        </w:tc>
        <w:tc>
          <w:tcPr>
            <w:tcW w:w="2116" w:type="dxa"/>
          </w:tcPr>
          <w:p>
            <w:pPr>
              <w:pStyle w:val="CeldaAPA"/>
              <w:jc w:val="left"/>
            </w:pPr>
            <w:r>
              <w:rPr/>
              <w:t xml:space="preserve">2,00 (35,00 kg/m</w:t>
            </w:r>
            <w:r>
              <w:rPr>
                <w:vertAlign w:val="superscript"/>
              </w:rPr>
              <w:t xml:space="preserve">2</w:t>
            </w:r>
            <w:r>
              <w:rPr/>
              <w:t xml:space="preserve"> </w:t>
            </w:r>
            <w:r>
              <w:rPr/>
              <w:t xml:space="preserve">con 17,50 kg/m)</w:t>
            </w:r>
          </w:p>
        </w:tc>
        <w:tc>
          <w:tcPr>
            <w:tcW w:w="2116" w:type="dxa"/>
          </w:tcPr>
          <w:p>
            <w:pPr>
              <w:pStyle w:val="CeldaAPA"/>
              <w:jc w:val="left"/>
            </w:pPr>
            <m:oMath>
              <m:r>
                <m:t>1</m:t>
              </m:r>
              <m:r>
                <m:rPr>
                  <m:sty m:val="p"/>
                </m:rPr>
                <m:t>/</m:t>
              </m:r>
              <m:r>
                <m:t>D</m:t>
              </m:r>
              <m:r>
                <m:rPr>
                  <m:sty m:val="p"/>
                </m:rPr>
                <m:t>=</m:t>
              </m:r>
              <m:r>
                <m:t>2</m:t>
              </m:r>
              <m:r>
                <m:rPr>
                  <m:sty m:val="p"/>
                </m:rPr>
                <m:t>,</m:t>
              </m:r>
              <m:r>
                <m:t>00</m:t>
              </m:r>
            </m:oMath>
          </w:p>
        </w:tc>
        <w:tc>
          <w:tcPr>
            <w:tcW w:w="3068" w:type="dxa"/>
          </w:tcPr>
          <w:p>
            <w:pPr>
              <w:pStyle w:val="CeldaAPA"/>
              <w:jc w:val="left"/>
            </w:pPr>
            <w:r>
              <w:rPr/>
              <w:t xml:space="preserve">La longitud real depende de la luz de cada paño y de los apoyos</w:t>
            </w:r>
          </w:p>
        </w:tc>
      </w:tr>
      <w:tr>
        <w:tc>
          <w:tcPr>
            <w:tcW w:w="2060" w:type="dxa"/>
          </w:tcPr>
          <w:p>
            <w:pPr>
              <w:pStyle w:val="CeldaAPA"/>
              <w:jc w:val="left"/>
            </w:pPr>
            <w:r>
              <w:rPr/>
              <w:t xml:space="preserve">Complementos (pza/m</w:t>
            </w:r>
            <w:r>
              <w:rPr>
                <w:vertAlign w:val="superscript"/>
              </w:rPr>
              <w:t xml:space="preserve">2</w:t>
            </w:r>
            <w:r>
              <w:rPr/>
              <w:t xml:space="preserve">)</w:t>
            </w:r>
          </w:p>
        </w:tc>
        <w:tc>
          <w:tcPr>
            <w:tcW w:w="2116" w:type="dxa"/>
          </w:tcPr>
          <w:p>
            <w:pPr>
              <w:pStyle w:val="CeldaAPA"/>
              <w:jc w:val="left"/>
            </w:pPr>
            <w:r>
              <w:rPr/>
              <w:t xml:space="preserve">2,00</w:t>
            </w:r>
          </w:p>
        </w:tc>
        <w:tc>
          <w:tcPr>
            <w:tcW w:w="2116" w:type="dxa"/>
          </w:tcPr>
          <w:p>
            <w:pPr>
              <w:pStyle w:val="CeldaAPA"/>
              <w:jc w:val="left"/>
            </w:pPr>
            <m:oMath>
              <m:r>
                <m:t>1</m:t>
              </m:r>
              <m:r>
                <m:rPr>
                  <m:sty m:val="p"/>
                </m:rPr>
                <m:t>/</m:t>
              </m:r>
              <m:d>
                <m:dPr>
                  <m:begChr m:val="("/>
                  <m:endChr m:val=")"/>
                  <m:sepChr m:val=""/>
                  <m:grow/>
                </m:dPr>
                <m:e>
                  <m:r>
                    <m:t>D</m:t>
                  </m:r>
                  <m:r>
                    <m:rPr>
                      <m:sty m:val="p"/>
                    </m:rPr>
                    <m:t>⋅</m:t>
                  </m:r>
                  <m:r>
                    <m:t>L</m:t>
                  </m:r>
                </m:e>
              </m:d>
              <m:r>
                <m:rPr>
                  <m:sty m:val="p"/>
                </m:rPr>
                <m:t>=</m:t>
              </m:r>
              <m:r>
                <m:t>2</m:t>
              </m:r>
              <m:r>
                <m:rPr>
                  <m:sty m:val="p"/>
                </m:rPr>
                <m:t>,</m:t>
              </m:r>
              <m:r>
                <m:t>00</m:t>
              </m:r>
            </m:oMath>
          </w:p>
        </w:tc>
        <w:tc>
          <w:tcPr>
            <w:tcW w:w="3068" w:type="dxa"/>
          </w:tcPr>
          <w:p>
            <w:pPr>
              <w:pStyle w:val="CeldaAPA"/>
              <w:jc w:val="left"/>
            </w:pPr>
            <w:r>
              <w:rPr/>
              <w:t xml:space="preserve">Piezas de 1,00 m de largo; se descuentan nervios y bordes</w:t>
            </w:r>
          </w:p>
        </w:tc>
      </w:tr>
      <w:tr>
        <w:tc>
          <w:tcPr>
            <w:tcW w:w="2060" w:type="dxa"/>
          </w:tcPr>
          <w:p>
            <w:pPr>
              <w:pStyle w:val="CeldaAPA"/>
              <w:jc w:val="left"/>
            </w:pPr>
            <w:r>
              <w:rPr/>
              <w:t xml:space="preserve">Hormigón (m</w:t>
            </w:r>
            <w:r>
              <w:rPr>
                <w:vertAlign w:val="superscript"/>
              </w:rPr>
              <w:t xml:space="preserve">3</w:t>
            </w:r>
            <w:r>
              <w:rPr/>
              <w:t xml:space="preserve">/m</w:t>
            </w:r>
            <w:r>
              <w:rPr>
                <w:vertAlign w:val="superscript"/>
              </w:rPr>
              <w:t xml:space="preserve">2</w:t>
            </w:r>
            <w:r>
              <w:rPr/>
              <w:t xml:space="preserve">)</w:t>
            </w:r>
          </w:p>
        </w:tc>
        <w:tc>
          <w:tcPr>
            <w:tcW w:w="2116" w:type="dxa"/>
          </w:tcPr>
          <w:p>
            <w:pPr>
              <w:pStyle w:val="CeldaAPA"/>
              <w:jc w:val="left"/>
            </w:pPr>
            <w:r>
              <w:rPr/>
              <w:t xml:space="preserve">0,0666 (333 cm</w:t>
            </w:r>
            <w:r>
              <w:rPr>
                <w:vertAlign w:val="superscript"/>
              </w:rPr>
              <w:t xml:space="preserve">2</w:t>
            </w:r>
            <w:r>
              <w:rPr/>
              <w:t xml:space="preserve"> </w:t>
            </w:r>
            <w:r>
              <w:rPr/>
              <w:t xml:space="preserve">de sección por cada eje)</w:t>
            </w:r>
          </w:p>
        </w:tc>
        <w:tc>
          <w:tcPr>
            <w:tcW w:w="2116" w:type="dxa"/>
          </w:tcPr>
          <w:p>
            <w:pPr>
              <w:pStyle w:val="CeldaAPA"/>
              <w:jc w:val="left"/>
            </w:pPr>
            <m:oMath>
              <m:r>
                <m:rPr>
                  <m:sty m:val="p"/>
                </m:rPr>
                <m:t>≥</m:t>
              </m:r>
              <m:r>
                <m:t>0</m:t>
              </m:r>
              <m:r>
                <m:rPr>
                  <m:sty m:val="p"/>
                </m:rPr>
                <m:t>,</m:t>
              </m:r>
              <m:r>
                <m:t>05</m:t>
              </m:r>
            </m:oMath>
            <w:r>
              <w:rPr/>
              <w:t xml:space="preserve"> </w:t>
            </w:r>
            <w:r>
              <w:rPr/>
              <w:t xml:space="preserve">(solo la carpeta de 5 cm)</w:t>
            </w:r>
          </w:p>
        </w:tc>
        <w:tc>
          <w:tcPr>
            <w:tcW w:w="3068" w:type="dxa"/>
          </w:tcPr>
          <w:p>
            <w:pPr>
              <w:pStyle w:val="CeldaAPA"/>
              <w:jc w:val="left"/>
            </w:pPr>
            <w:r>
              <w:rPr/>
              <w:t xml:space="preserve">El volumen de los nervios depende de la sección de la vigueta y del perfil del complemento</w:t>
            </w:r>
          </w:p>
        </w:tc>
      </w:tr>
      <w:tr>
        <w:tc>
          <w:tcPr>
            <w:tcW w:w="2060" w:type="dxa"/>
            <w:tcBorders>
              <w:bottom w:val="single" w:sz="8" w:space="0" w:color="000000"/>
            </w:tcBorders>
          </w:tcPr>
          <w:p>
            <w:pPr>
              <w:pStyle w:val="CeldaAPA"/>
              <w:jc w:val="left"/>
            </w:pPr>
            <w:r>
              <w:rPr/>
              <w:t xml:space="preserve">Peso propio (kg/m</w:t>
            </w:r>
            <w:r>
              <w:rPr>
                <w:vertAlign w:val="superscript"/>
              </w:rPr>
              <w:t xml:space="preserve">2</w:t>
            </w:r>
            <w:r>
              <w:rPr/>
              <w:t xml:space="preserve">)</w:t>
            </w:r>
          </w:p>
        </w:tc>
        <w:tc>
          <w:tcPr>
            <w:tcW w:w="2116" w:type="dxa"/>
            <w:tcBorders>
              <w:bottom w:val="single" w:sz="8" w:space="0" w:color="000000"/>
            </w:tcBorders>
          </w:tcPr>
          <w:p>
            <w:pPr>
              <w:pStyle w:val="CeldaAPA"/>
              <w:jc w:val="left"/>
            </w:pPr>
            <w:r>
              <w:rPr/>
              <w:t xml:space="preserve">196,13 (hormigón 159,84; vigueta 35,00; complemento 1,29)</w:t>
            </w:r>
          </w:p>
        </w:tc>
        <w:tc>
          <w:tcPr>
            <w:tcW w:w="2116" w:type="dxa"/>
            <w:tcBorders>
              <w:bottom w:val="single" w:sz="8" w:space="0" w:color="000000"/>
            </w:tcBorders>
          </w:tcPr>
          <w:p>
            <w:pPr>
              <w:pStyle w:val="CeldaAPA"/>
              <w:jc w:val="left"/>
            </w:pPr>
            <w:r>
              <w:rPr/>
              <w:t xml:space="preserve">—</w:t>
            </w:r>
          </w:p>
        </w:tc>
        <w:tc>
          <w:tcPr>
            <w:tcW w:w="3068" w:type="dxa"/>
            <w:tcBorders>
              <w:bottom w:val="single" w:sz="8" w:space="0" w:color="000000"/>
            </w:tcBorders>
          </w:tcPr>
          <w:p>
            <w:pPr>
              <w:pStyle w:val="CeldaAPA"/>
              <w:jc w:val="left"/>
            </w:pPr>
            <w:r>
              <w:rPr/>
              <w:t xml:space="preserve">Valor para la losa de 15 + 5 cm</w:t>
            </w:r>
          </w:p>
        </w:tc>
      </w:tr>
    </w:tbl>
    <w:p>
      <w:pPr>
        <w:pStyle w:val="NotaAPA"/>
      </w:pPr>
      <w:r>
        <w:rPr>
          <w:iCs/>
          <w:i/>
        </w:rPr>
        <w:t xml:space="preserve">Nota.</w:t>
      </w:r>
      <w:r>
        <w:t xml:space="preserve"> </w:t>
      </w:r>
      <w:r>
        <w:t xml:space="preserve">Elaborado con base en</w:t>
      </w:r>
      <w:r>
        <w:t xml:space="preserve"> </w:t>
      </w:r>
      <w:r>
        <w:t xml:space="preserve">Alcón Aranda (2009, p. 103)</w:t>
      </w:r>
      <w:r>
        <w:t xml:space="preserve"> </w:t>
      </w:r>
      <w:r>
        <w:t xml:space="preserve">y en la geometría de las fichas técnicas</w:t>
      </w:r>
      <w:r>
        <w:t xml:space="preserve"> </w:t>
      </w:r>
      <w:r>
        <w:t xml:space="preserve">(Concretec, 2018, hoja 3)</w:t>
      </w:r>
      <w:r>
        <w:t xml:space="preserve">. Los valores de la tercera columna son cálculo propio, sin desperdicio y sin descontar apoyos, bordes ni nervios transversales.</w:t>
      </w:r>
    </w:p>
    <w:p>
      <w:pPr>
        <w:pStyle w:val="BodyText"/>
      </w:pPr>
      <w:r>
        <w:t xml:space="preserve">Para la losa del Edificio de Posgrado, con ejes a 0,50 m y piezas de 1,00 m de largo, la geometría da 2,00 complementos por metro cuadrado, es decir, unas 2.220 piezas teóricas brutas para los 1.109,84 m</w:t>
      </w:r>
      <w:r>
        <w:rPr>
          <w:vertAlign w:val="superscript"/>
        </w:rPr>
        <w:t xml:space="preserve">2</w:t>
      </w:r>
      <w:r>
        <w:t xml:space="preserve"> </w:t>
      </w:r>
      <w:r>
        <w:t xml:space="preserve">de la primera losa (cálculo propio), frente a las 2.350 piezas certificadas por el proveedor</w:t>
      </w:r>
      <w:r>
        <w:t xml:space="preserve"> </w:t>
      </w:r>
      <w:r>
        <w:t xml:space="preserve">(UNICON, 2025)</w:t>
      </w:r>
      <w:r>
        <w:t xml:space="preserve">: una diferencia preliminar de unas 130 piezas (</w:t>
      </w:r>
      <m:oMath>
        <m:r>
          <m:rPr>
            <m:sty m:val="p"/>
          </m:rPr>
          <m:t>≈</m:t>
        </m:r>
      </m:oMath>
      <w:r>
        <w:t xml:space="preserve"> 6 %) antes de descontar nervios y bordes. En el acero, el cómputo de la planilla N.</w:t>
      </w:r>
      <w:r>
        <w:rPr>
          <w:vertAlign w:val="superscript"/>
        </w:rPr>
        <w:t xml:space="preserve">o</w:t>
      </w:r>
      <w:r>
        <w:t xml:space="preserve"> 2 asigna a la losa 4.171,18 kg</w:t>
      </w:r>
      <w:r>
        <w:t xml:space="preserve"> </w:t>
      </w:r>
      <w:r>
        <w:t xml:space="preserve">(UATF, 2025, pp. 19–20)</w:t>
      </w:r>
      <w:r>
        <w:t xml:space="preserve">, equivalentes a 3,76 kg/m</w:t>
      </w:r>
      <w:r>
        <w:rPr>
          <w:vertAlign w:val="superscript"/>
        </w:rPr>
        <w:t xml:space="preserve">2</w:t>
      </w:r>
      <w:r>
        <w:t xml:space="preserve"> </w:t>
      </w:r>
      <w:r>
        <w:t xml:space="preserve">(cálculo propio). Ambas cifras son preliminares: el capítulo 2 las precisa con el Plano 03 y las concilia con los demás documentos de la obra (sección 2.5.2).</w:t>
      </w:r>
    </w:p>
    <w:p>
      <w:pPr>
        <w:pStyle w:val="Heading3"/>
      </w:pPr>
      <w:bookmarkStart w:id="99" w:name="tit70"/>
      <w:r>
        <w:t xml:space="preserve">1.6.4. Defectos frecuentes y su prevención</w:t>
      </w:r>
      <w:bookmarkEnd w:id="99"/>
    </w:p>
    <w:p>
      <w:pPr>
        <w:pStyle w:val="FirstParagraph"/>
      </w:pPr>
      <w:r>
        <w:t xml:space="preserve">Los defectos de la losa tienen tres orígenes: el producto prefabricado, el montaje y el hormigonado. En las viguetas,</w:t>
      </w:r>
      <w:r>
        <w:t xml:space="preserve"> </w:t>
      </w:r>
      <w:r>
        <w:t xml:space="preserve">Alcón Aranda (2009, p. 116)</w:t>
      </w:r>
      <w:r>
        <w:t xml:space="preserve"> </w:t>
      </w:r>
      <w:r>
        <w:t xml:space="preserve">distingue los defectos leves, que no implican riesgo estructural pero dificultan el montaje y cuya aceptación queda a criterio del supervisor, de los graves, que implican riesgo para la estructura o impiden el montaje y obligan a devolver el material al proveedor. La NB 997, en la versión que recoge</w:t>
      </w:r>
      <w:r>
        <w:t xml:space="preserve"> </w:t>
      </w:r>
      <w:r>
        <w:t xml:space="preserve">Capcha Canaza (2016, pp. 89–92)</w:t>
      </w:r>
      <w:r>
        <w:t xml:space="preserve">, exige viguetas sin discontinuidades de hormigonado visibles, oquedades, armaduras expuestas ni fisuras, y rechaza el lote cuando los defectos principales o secundarios superan los límites; esa versión es anterior a la NB 997:2016, con la que debe contrastarse. En el hormigonado, los defectos más frecuentes son la segregación y las cangrejeras, que representaron el 42,7 % de las no conformidades en la estructura estudiada por</w:t>
      </w:r>
      <w:r>
        <w:t xml:space="preserve"> </w:t>
      </w:r>
      <w:r>
        <w:t xml:space="preserve">Muro Núñez (2020, pp. 16–17)</w:t>
      </w:r>
      <w:r>
        <w:t xml:space="preserve">; el vibrado fue la actividad con más no conformidades en la obra estudiada por</w:t>
      </w:r>
      <w:r>
        <w:t xml:space="preserve"> </w:t>
      </w:r>
      <w:r>
        <w:t xml:space="preserve">Ferrer Lavado (2018, p. 86)</w:t>
      </w:r>
      <w:r>
        <w:t xml:space="preserve">, por falta de capacitación, ausencia del encargado y equipos inadecuados. La Tabla 12 resume los defectos frecuentes de la losa, sus causas y su prevención.</w:t>
      </w:r>
    </w:p>
    <w:p>
      <w:pPr>
        <w:pStyle w:val="Caption"/>
      </w:pPr>
      <w:bookmarkStart w:id="1419" w:name="tab12"/>
      <w:r>
        <w:t xml:space="preserve"/>
      </w:r>
      <w:r>
        <w:rPr>
          <w:bCs/>
          <w:b/>
        </w:rPr>
        <w:t xml:space="preserve">Tabla 12</w:t>
      </w:r>
      <w:r>
        <w:br/>
      </w:r>
      <w:r>
        <w:rPr>
          <w:iCs/>
          <w:i/>
        </w:rPr>
        <w:t xml:space="preserve">Defectos frecuentes de la losa alivianada, causas y prevención</w:t>
      </w:r>
      <w:bookmarkEnd w:id="1419"/>
    </w:p>
    <w:tbl>
      <w:tblPr>
        <w:tblStyle w:val="Table"/>
        <w:tblW w:w="9360" w:type="dxa"/>
        <w:jc w:val="left"/>
        <w:tblLayout w:type="fixed"/>
        <w:tblCellMar>
          <w:top w:w="0" w:type="dxa"/>
          <w:left w:w="85" w:type="dxa"/>
          <w:bottom w:w="0" w:type="dxa"/>
          <w:right w:w="85" w:type="dxa"/>
        </w:tblCellMar>
        <w:tblLook w:firstRow="1" w:lastRow="0" w:firstColumn="0" w:lastColumn="0" w:noHBand="0" w:noVBand="0" w:val="0020"/>
      </w:tblPr>
      <w:tblGrid>
        <w:gridCol w:w="1839"/>
        <w:gridCol w:w="2269"/>
        <w:gridCol w:w="2712"/>
        <w:gridCol w:w="2540"/>
      </w:tblGrid>
      <w:tr>
        <w:trPr>
          <w:cantSplit/>
          <w:tblHeader w:val="true"/>
        </w:trPr>
        <w:tc>
          <w:tcPr>
            <w:tcW w:w="1839" w:type="dxa"/>
            <w:tcBorders>
              <w:top w:val="single" w:sz="8" w:space="0" w:color="000000"/>
              <w:bottom w:val="single" w:sz="4" w:space="0" w:color="000000"/>
            </w:tcBorders>
          </w:tcPr>
          <w:p>
            <w:pPr>
              <w:pStyle w:val="CeldaAPA"/>
              <w:jc w:val="center"/>
            </w:pPr>
            <w:r>
              <w:rPr>
                <w:bCs/>
                <w:b/>
              </w:rPr>
              <w:t xml:space="preserve">Defecto</w:t>
            </w:r>
          </w:p>
        </w:tc>
        <w:tc>
          <w:tcPr>
            <w:tcW w:w="2269" w:type="dxa"/>
            <w:tcBorders>
              <w:top w:val="single" w:sz="8" w:space="0" w:color="000000"/>
              <w:bottom w:val="single" w:sz="4" w:space="0" w:color="000000"/>
            </w:tcBorders>
          </w:tcPr>
          <w:p>
            <w:pPr>
              <w:pStyle w:val="CeldaAPA"/>
              <w:jc w:val="center"/>
            </w:pPr>
            <w:r>
              <w:rPr>
                <w:bCs/>
                <w:b/>
              </w:rPr>
              <w:t xml:space="preserve">Causa probable</w:t>
            </w:r>
          </w:p>
        </w:tc>
        <w:tc>
          <w:tcPr>
            <w:tcW w:w="2712" w:type="dxa"/>
            <w:tcBorders>
              <w:top w:val="single" w:sz="8" w:space="0" w:color="000000"/>
              <w:bottom w:val="single" w:sz="4" w:space="0" w:color="000000"/>
            </w:tcBorders>
          </w:tcPr>
          <w:p>
            <w:pPr>
              <w:pStyle w:val="CeldaAPA"/>
              <w:jc w:val="center"/>
            </w:pPr>
            <w:r>
              <w:rPr>
                <w:bCs/>
                <w:b/>
              </w:rPr>
              <w:t xml:space="preserve">Prevención y control</w:t>
            </w:r>
          </w:p>
        </w:tc>
        <w:tc>
          <w:tcPr>
            <w:tcW w:w="2540" w:type="dxa"/>
            <w:tcBorders>
              <w:top w:val="single" w:sz="8" w:space="0" w:color="000000"/>
              <w:bottom w:val="single" w:sz="4" w:space="0" w:color="000000"/>
            </w:tcBorders>
          </w:tcPr>
          <w:p>
            <w:pPr>
              <w:pStyle w:val="CeldaAPA"/>
              <w:jc w:val="center"/>
            </w:pPr>
            <w:r>
              <w:rPr>
                <w:bCs/>
                <w:b/>
              </w:rPr>
              <w:t xml:space="preserve">Referencia</w:t>
            </w:r>
          </w:p>
        </w:tc>
      </w:tr>
      <w:tr>
        <w:tc>
          <w:tcPr>
            <w:tcW w:w="1839" w:type="dxa"/>
          </w:tcPr>
          <w:p>
            <w:pPr>
              <w:pStyle w:val="CeldaAPA"/>
              <w:jc w:val="left"/>
            </w:pPr>
            <w:r>
              <w:rPr/>
              <w:t xml:space="preserve">Viguetas fisuradas, rotas o con armadura expuesta</w:t>
            </w:r>
          </w:p>
        </w:tc>
        <w:tc>
          <w:tcPr>
            <w:tcW w:w="2269" w:type="dxa"/>
          </w:tcPr>
          <w:p>
            <w:pPr>
              <w:pStyle w:val="CeldaAPA"/>
              <w:jc w:val="left"/>
            </w:pPr>
            <w:r>
              <w:rPr/>
              <w:t xml:space="preserve">Fabricación deficiente; golpes en el transporte, la descarga o el montaje</w:t>
            </w:r>
          </w:p>
        </w:tc>
        <w:tc>
          <w:tcPr>
            <w:tcW w:w="2712" w:type="dxa"/>
          </w:tcPr>
          <w:p>
            <w:pPr>
              <w:pStyle w:val="CeldaAPA"/>
              <w:jc w:val="left"/>
            </w:pPr>
            <w:r>
              <w:rPr/>
              <w:t xml:space="preserve">Inspección en la descarga; devolución de las piezas con defectos graves</w:t>
            </w:r>
          </w:p>
        </w:tc>
        <w:tc>
          <w:tcPr>
            <w:tcW w:w="2540" w:type="dxa"/>
          </w:tcPr>
          <w:p>
            <w:pPr>
              <w:pStyle w:val="CeldaAPA"/>
              <w:jc w:val="left"/>
            </w:pPr>
            <w:r>
              <w:rPr/>
              <w:t xml:space="preserve">Alcón Aranda (2009, p. 116)</w:t>
            </w:r>
            <w:r>
              <w:rPr/>
              <w:t xml:space="preserve">; NB 997</w:t>
            </w:r>
          </w:p>
        </w:tc>
      </w:tr>
      <w:tr>
        <w:tc>
          <w:tcPr>
            <w:tcW w:w="1839" w:type="dxa"/>
          </w:tcPr>
          <w:p>
            <w:pPr>
              <w:pStyle w:val="CeldaAPA"/>
              <w:jc w:val="left"/>
            </w:pPr>
            <w:r>
              <w:rPr/>
              <w:t xml:space="preserve">Vigueta de tipo o longitud equivocados</w:t>
            </w:r>
          </w:p>
        </w:tc>
        <w:tc>
          <w:tcPr>
            <w:tcW w:w="2269" w:type="dxa"/>
          </w:tcPr>
          <w:p>
            <w:pPr>
              <w:pStyle w:val="CeldaAPA"/>
              <w:jc w:val="left"/>
            </w:pPr>
            <w:r>
              <w:rPr/>
              <w:t xml:space="preserve">Pedido sin el plano de montaje del proveedor</w:t>
            </w:r>
          </w:p>
        </w:tc>
        <w:tc>
          <w:tcPr>
            <w:tcW w:w="2712" w:type="dxa"/>
          </w:tcPr>
          <w:p>
            <w:pPr>
              <w:pStyle w:val="CeldaAPA"/>
              <w:jc w:val="left"/>
            </w:pPr>
            <w:r>
              <w:rPr/>
              <w:t xml:space="preserve">Verificar tipo y cantidad contra el plano de montaje</w:t>
            </w:r>
          </w:p>
        </w:tc>
        <w:tc>
          <w:tcPr>
            <w:tcW w:w="2540" w:type="dxa"/>
          </w:tcPr>
          <w:p>
            <w:pPr>
              <w:pStyle w:val="CeldaAPA"/>
              <w:jc w:val="left"/>
            </w:pPr>
            <w:r>
              <w:rPr/>
              <w:t xml:space="preserve">Alcón Aranda (2009, p. 116)</w:t>
            </w:r>
          </w:p>
        </w:tc>
      </w:tr>
      <w:tr>
        <w:tc>
          <w:tcPr>
            <w:tcW w:w="1839" w:type="dxa"/>
          </w:tcPr>
          <w:p>
            <w:pPr>
              <w:pStyle w:val="CeldaAPA"/>
              <w:jc w:val="left"/>
            </w:pPr>
            <w:r>
              <w:rPr/>
              <w:t xml:space="preserve">Deformación o caída de la losa durante el montaje</w:t>
            </w:r>
          </w:p>
        </w:tc>
        <w:tc>
          <w:tcPr>
            <w:tcW w:w="2269" w:type="dxa"/>
          </w:tcPr>
          <w:p>
            <w:pPr>
              <w:pStyle w:val="CeldaAPA"/>
              <w:jc w:val="left"/>
            </w:pPr>
            <w:r>
              <w:rPr/>
              <w:t xml:space="preserve">Complementos colocados sobre viguetas sin apuntalar</w:t>
            </w:r>
          </w:p>
        </w:tc>
        <w:tc>
          <w:tcPr>
            <w:tcW w:w="2712" w:type="dxa"/>
          </w:tcPr>
          <w:p>
            <w:pPr>
              <w:pStyle w:val="CeldaAPA"/>
              <w:jc w:val="left"/>
            </w:pPr>
            <w:r>
              <w:rPr/>
              <w:t xml:space="preserve">Apuntalar las viguetas antes de colocar los complementos</w:t>
            </w:r>
          </w:p>
        </w:tc>
        <w:tc>
          <w:tcPr>
            <w:tcW w:w="2540" w:type="dxa"/>
          </w:tcPr>
          <w:p>
            <w:pPr>
              <w:pStyle w:val="CeldaAPA"/>
              <w:jc w:val="left"/>
            </w:pPr>
            <w:r>
              <w:rPr/>
              <w:t xml:space="preserve">Concretec (2016, hoja 3)</w:t>
            </w:r>
          </w:p>
        </w:tc>
      </w:tr>
      <w:tr>
        <w:tc>
          <w:tcPr>
            <w:tcW w:w="1839" w:type="dxa"/>
          </w:tcPr>
          <w:p>
            <w:pPr>
              <w:pStyle w:val="CeldaAPA"/>
              <w:jc w:val="left"/>
            </w:pPr>
            <w:r>
              <w:rPr/>
              <w:t xml:space="preserve">Mayor consumo de hormigón en la carpeta</w:t>
            </w:r>
          </w:p>
        </w:tc>
        <w:tc>
          <w:tcPr>
            <w:tcW w:w="2269" w:type="dxa"/>
          </w:tcPr>
          <w:p>
            <w:pPr>
              <w:pStyle w:val="CeldaAPA"/>
              <w:jc w:val="left"/>
            </w:pPr>
            <w:r>
              <w:rPr/>
              <w:t xml:space="preserve">Complementos pisados y deformados</w:t>
            </w:r>
          </w:p>
        </w:tc>
        <w:tc>
          <w:tcPr>
            <w:tcW w:w="2712" w:type="dxa"/>
          </w:tcPr>
          <w:p>
            <w:pPr>
              <w:pStyle w:val="CeldaAPA"/>
              <w:jc w:val="left"/>
            </w:pPr>
            <w:r>
              <w:rPr/>
              <w:t xml:space="preserve">No pisar las piezas colocadas</w:t>
            </w:r>
          </w:p>
        </w:tc>
        <w:tc>
          <w:tcPr>
            <w:tcW w:w="2540" w:type="dxa"/>
          </w:tcPr>
          <w:p>
            <w:pPr>
              <w:pStyle w:val="CeldaAPA"/>
              <w:jc w:val="left"/>
            </w:pPr>
            <w:r>
              <w:rPr/>
              <w:t xml:space="preserve">Concretec (2016, hoja 3)</w:t>
            </w:r>
          </w:p>
        </w:tc>
      </w:tr>
      <w:tr>
        <w:tc>
          <w:tcPr>
            <w:tcW w:w="1839" w:type="dxa"/>
          </w:tcPr>
          <w:p>
            <w:pPr>
              <w:pStyle w:val="CeldaAPA"/>
              <w:jc w:val="left"/>
            </w:pPr>
            <w:r>
              <w:rPr/>
              <w:t xml:space="preserve">Segregación y cangrejeras</w:t>
            </w:r>
          </w:p>
        </w:tc>
        <w:tc>
          <w:tcPr>
            <w:tcW w:w="2269" w:type="dxa"/>
          </w:tcPr>
          <w:p>
            <w:pPr>
              <w:pStyle w:val="CeldaAPA"/>
              <w:jc w:val="left"/>
            </w:pPr>
            <w:r>
              <w:rPr/>
              <w:t xml:space="preserve">Vibrado deficiente; incumplimiento del procedimiento de vaciado; personal sin capacitación</w:t>
            </w:r>
          </w:p>
        </w:tc>
        <w:tc>
          <w:tcPr>
            <w:tcW w:w="2712" w:type="dxa"/>
          </w:tcPr>
          <w:p>
            <w:pPr>
              <w:pStyle w:val="CeldaAPA"/>
              <w:jc w:val="left"/>
            </w:pPr>
            <w:r>
              <w:rPr/>
              <w:t xml:space="preserve">Procedimiento de vaciado y vibrado; capacitación; inspección continua del vaciado</w:t>
            </w:r>
          </w:p>
        </w:tc>
        <w:tc>
          <w:tcPr>
            <w:tcW w:w="2540" w:type="dxa"/>
          </w:tcPr>
          <w:p>
            <w:pPr>
              <w:pStyle w:val="CeldaAPA"/>
              <w:jc w:val="left"/>
            </w:pPr>
            <w:r>
              <w:rPr/>
              <w:t xml:space="preserve">Muro Núñez (2020, pp. 16–17)</w:t>
            </w:r>
            <w:r>
              <w:rPr/>
              <w:t xml:space="preserve">; ACI 318-25, 26.5.2.2</w:t>
            </w:r>
          </w:p>
        </w:tc>
      </w:tr>
      <w:tr>
        <w:tc>
          <w:tcPr>
            <w:tcW w:w="1839" w:type="dxa"/>
          </w:tcPr>
          <w:p>
            <w:pPr>
              <w:pStyle w:val="CeldaAPA"/>
              <w:jc w:val="left"/>
            </w:pPr>
            <w:r>
              <w:rPr/>
              <w:t xml:space="preserve">Juntas frías</w:t>
            </w:r>
          </w:p>
        </w:tc>
        <w:tc>
          <w:tcPr>
            <w:tcW w:w="2269" w:type="dxa"/>
          </w:tcPr>
          <w:p>
            <w:pPr>
              <w:pStyle w:val="CeldaAPA"/>
              <w:jc w:val="left"/>
            </w:pPr>
            <w:r>
              <w:rPr/>
              <w:t xml:space="preserve">Interrupciones del vaciado</w:t>
            </w:r>
          </w:p>
        </w:tc>
        <w:tc>
          <w:tcPr>
            <w:tcW w:w="2712" w:type="dxa"/>
          </w:tcPr>
          <w:p>
            <w:pPr>
              <w:pStyle w:val="CeldaAPA"/>
              <w:jc w:val="left"/>
            </w:pPr>
            <w:r>
              <w:rPr/>
              <w:t xml:space="preserve">Vaciado continuo hasta completar el paño o una junta prevista; vaciado por franjas</w:t>
            </w:r>
          </w:p>
        </w:tc>
        <w:tc>
          <w:tcPr>
            <w:tcW w:w="2540" w:type="dxa"/>
          </w:tcPr>
          <w:p>
            <w:pPr>
              <w:pStyle w:val="CeldaAPA"/>
              <w:jc w:val="left"/>
            </w:pPr>
            <w:r>
              <w:rPr/>
              <w:t xml:space="preserve">ACI 318-25, 26.5.2.2; ET, p. 3</w:t>
            </w:r>
          </w:p>
        </w:tc>
      </w:tr>
      <w:tr>
        <w:tc>
          <w:tcPr>
            <w:tcW w:w="1839" w:type="dxa"/>
          </w:tcPr>
          <w:p>
            <w:pPr>
              <w:pStyle w:val="CeldaAPA"/>
              <w:jc w:val="left"/>
            </w:pPr>
            <w:r>
              <w:rPr/>
              <w:t xml:space="preserve">Armadura desplazada o con recubrimiento insuficiente</w:t>
            </w:r>
          </w:p>
        </w:tc>
        <w:tc>
          <w:tcPr>
            <w:tcW w:w="2269" w:type="dxa"/>
          </w:tcPr>
          <w:p>
            <w:pPr>
              <w:pStyle w:val="CeldaAPA"/>
              <w:jc w:val="left"/>
            </w:pPr>
            <w:r>
              <w:rPr/>
              <w:t xml:space="preserve">Falta de apoyos o separadores; tránsito sobre la armadura</w:t>
            </w:r>
          </w:p>
        </w:tc>
        <w:tc>
          <w:tcPr>
            <w:tcW w:w="2712" w:type="dxa"/>
          </w:tcPr>
          <w:p>
            <w:pPr>
              <w:pStyle w:val="CeldaAPA"/>
              <w:jc w:val="left"/>
            </w:pPr>
            <w:r>
              <w:rPr/>
              <w:t xml:space="preserve">Apoyar la armadura para que no se desplace durante el vaciado; verificar tolerancias</w:t>
            </w:r>
          </w:p>
        </w:tc>
        <w:tc>
          <w:tcPr>
            <w:tcW w:w="2540" w:type="dxa"/>
          </w:tcPr>
          <w:p>
            <w:pPr>
              <w:pStyle w:val="CeldaAPA"/>
              <w:jc w:val="left"/>
            </w:pPr>
            <w:r>
              <w:rPr/>
              <w:t xml:space="preserve">ACI 318-25, 26.6.2</w:t>
            </w:r>
          </w:p>
        </w:tc>
      </w:tr>
      <w:tr>
        <w:tc>
          <w:tcPr>
            <w:tcW w:w="1839" w:type="dxa"/>
          </w:tcPr>
          <w:p>
            <w:pPr>
              <w:pStyle w:val="CeldaAPA"/>
              <w:jc w:val="left"/>
            </w:pPr>
            <w:r>
              <w:rPr/>
              <w:t xml:space="preserve">Falta de continuidad sobre los apoyos</w:t>
            </w:r>
          </w:p>
        </w:tc>
        <w:tc>
          <w:tcPr>
            <w:tcW w:w="2269" w:type="dxa"/>
          </w:tcPr>
          <w:p>
            <w:pPr>
              <w:pStyle w:val="CeldaAPA"/>
              <w:jc w:val="left"/>
            </w:pPr>
            <w:r>
              <w:rPr/>
              <w:t xml:space="preserve">Omisión del acero de continuidad o de los negativos</w:t>
            </w:r>
          </w:p>
        </w:tc>
        <w:tc>
          <w:tcPr>
            <w:tcW w:w="2712" w:type="dxa"/>
          </w:tcPr>
          <w:p>
            <w:pPr>
              <w:pStyle w:val="CeldaAPA"/>
              <w:jc w:val="left"/>
            </w:pPr>
            <w:r>
              <w:rPr/>
              <w:t xml:space="preserve">Verificar el acero sobre los apoyos antes de liberar el paño</w:t>
            </w:r>
          </w:p>
        </w:tc>
        <w:tc>
          <w:tcPr>
            <w:tcW w:w="2540" w:type="dxa"/>
          </w:tcPr>
          <w:p>
            <w:pPr>
              <w:pStyle w:val="CeldaAPA"/>
              <w:jc w:val="left"/>
            </w:pPr>
            <w:r>
              <w:rPr/>
              <w:t xml:space="preserve">Certificado del fabricante; NBDS, art. 12</w:t>
            </w:r>
          </w:p>
        </w:tc>
      </w:tr>
      <w:tr>
        <w:tc>
          <w:tcPr>
            <w:tcW w:w="1839" w:type="dxa"/>
          </w:tcPr>
          <w:p>
            <w:pPr>
              <w:pStyle w:val="CeldaAPA"/>
              <w:jc w:val="left"/>
            </w:pPr>
            <w:r>
              <w:rPr/>
              <w:t xml:space="preserve">Resistencia insuficiente del hormigón</w:t>
            </w:r>
          </w:p>
        </w:tc>
        <w:tc>
          <w:tcPr>
            <w:tcW w:w="2269" w:type="dxa"/>
          </w:tcPr>
          <w:p>
            <w:pPr>
              <w:pStyle w:val="CeldaAPA"/>
              <w:jc w:val="left"/>
            </w:pPr>
            <w:r>
              <w:rPr/>
              <w:t xml:space="preserve">Dosificación sin aprobar; agua añadida; curado insuficiente; tiempo frío</w:t>
            </w:r>
          </w:p>
        </w:tc>
        <w:tc>
          <w:tcPr>
            <w:tcW w:w="2712" w:type="dxa"/>
          </w:tcPr>
          <w:p>
            <w:pPr>
              <w:pStyle w:val="CeldaAPA"/>
              <w:jc w:val="left"/>
            </w:pPr>
            <w:r>
              <w:rPr/>
              <w:t xml:space="preserve">Dosificación aprobada; no añadir agua más allá de lo que admite ASTM C94; curado de 7 días; plan de tiempo frío; aceptación con ensayos</w:t>
            </w:r>
          </w:p>
        </w:tc>
        <w:tc>
          <w:tcPr>
            <w:tcW w:w="2540" w:type="dxa"/>
          </w:tcPr>
          <w:p>
            <w:pPr>
              <w:pStyle w:val="CeldaAPA"/>
              <w:jc w:val="left"/>
            </w:pPr>
            <w:r>
              <w:rPr/>
              <w:t xml:space="preserve">ACI 318-25, 26.4.4, 26.5.2.2, 26.5.3, 26.5.4 y 26.12.3</w:t>
            </w:r>
          </w:p>
        </w:tc>
      </w:tr>
      <w:tr>
        <w:tc>
          <w:tcPr>
            <w:tcW w:w="1839" w:type="dxa"/>
            <w:tcBorders>
              <w:bottom w:val="single" w:sz="8" w:space="0" w:color="000000"/>
            </w:tcBorders>
          </w:tcPr>
          <w:p>
            <w:pPr>
              <w:pStyle w:val="CeldaAPA"/>
              <w:jc w:val="left"/>
            </w:pPr>
            <w:r>
              <w:rPr/>
              <w:t xml:space="preserve">Fisuras y flechas excesivas</w:t>
            </w:r>
          </w:p>
        </w:tc>
        <w:tc>
          <w:tcPr>
            <w:tcW w:w="2269" w:type="dxa"/>
            <w:tcBorders>
              <w:bottom w:val="single" w:sz="8" w:space="0" w:color="000000"/>
            </w:tcBorders>
          </w:tcPr>
          <w:p>
            <w:pPr>
              <w:pStyle w:val="CeldaAPA"/>
              <w:jc w:val="left"/>
            </w:pPr>
            <w:r>
              <w:rPr/>
              <w:t xml:space="preserve">Desapuntalamiento prematuro</w:t>
            </w:r>
          </w:p>
        </w:tc>
        <w:tc>
          <w:tcPr>
            <w:tcW w:w="2712" w:type="dxa"/>
            <w:tcBorders>
              <w:bottom w:val="single" w:sz="8" w:space="0" w:color="000000"/>
            </w:tcBorders>
          </w:tcPr>
          <w:p>
            <w:pPr>
              <w:pStyle w:val="CeldaAPA"/>
              <w:jc w:val="left"/>
            </w:pPr>
            <w:r>
              <w:rPr/>
              <w:t xml:space="preserve">Retirar los puntales solo con probetas curadas en obra que alcancen la resistencia requerida</w:t>
            </w:r>
          </w:p>
        </w:tc>
        <w:tc>
          <w:tcPr>
            <w:tcW w:w="2540" w:type="dxa"/>
            <w:tcBorders>
              <w:bottom w:val="single" w:sz="8" w:space="0" w:color="000000"/>
            </w:tcBorders>
          </w:tcPr>
          <w:p>
            <w:pPr>
              <w:pStyle w:val="CeldaAPA"/>
              <w:jc w:val="left"/>
            </w:pPr>
            <w:r>
              <w:rPr/>
              <w:t xml:space="preserve">ACI 318-25, 26.12.4</w:t>
            </w:r>
          </w:p>
        </w:tc>
      </w:tr>
    </w:tbl>
    <w:p>
      <w:pPr>
        <w:pStyle w:val="NotaAPA"/>
      </w:pPr>
      <w:r>
        <w:rPr>
          <w:iCs/>
          <w:i/>
        </w:rPr>
        <w:t xml:space="preserve">Nota.</w:t>
      </w:r>
      <w:r>
        <w:t xml:space="preserve"> </w:t>
      </w:r>
      <w:r>
        <w:t xml:space="preserve">Elaboración propia con base en las fuentes indicadas:</w:t>
      </w:r>
      <w:r>
        <w:t xml:space="preserve"> </w:t>
      </w:r>
      <w:r>
        <w:t xml:space="preserve">Alcón Aranda (2009, p. 116)</w:t>
      </w:r>
      <w:r>
        <w:t xml:space="preserve">,</w:t>
      </w:r>
      <w:r>
        <w:t xml:space="preserve"> </w:t>
      </w:r>
      <w:r>
        <w:t xml:space="preserve">Concretec (2016, hoja 3)</w:t>
      </w:r>
      <w:r>
        <w:t xml:space="preserve">,</w:t>
      </w:r>
      <w:r>
        <w:t xml:space="preserve"> </w:t>
      </w:r>
      <w:r>
        <w:t xml:space="preserve">Muro Núñez (2020, pp. 16–17)</w:t>
      </w:r>
      <w:r>
        <w:t xml:space="preserve">, el código ACI 318-25</w:t>
      </w:r>
      <w:r>
        <w:t xml:space="preserve"> </w:t>
      </w:r>
      <w:r>
        <w:t xml:space="preserve">(ACI Committee 318, 2025, Sección 26.4 a 26.12, pp. 577–604)</w:t>
      </w:r>
      <w:r>
        <w:t xml:space="preserve">, las especificaciones técnicas del proyecto (ET)</w:t>
      </w:r>
      <w:r>
        <w:t xml:space="preserve"> </w:t>
      </w:r>
      <w:r>
        <w:t xml:space="preserve">(UATF, s. f.-a, p. 3)</w:t>
      </w:r>
      <w:r>
        <w:t xml:space="preserve">, el certificado del fabricante</w:t>
      </w:r>
      <w:r>
        <w:t xml:space="preserve"> </w:t>
      </w:r>
      <w:r>
        <w:t xml:space="preserve">(PRETENSA, 2025)</w:t>
      </w:r>
      <w:r>
        <w:t xml:space="preserve"> </w:t>
      </w:r>
      <w:r>
        <w:t xml:space="preserve">y la NBDS</w:t>
      </w:r>
      <w:r>
        <w:t xml:space="preserve"> </w:t>
      </w:r>
      <w:r>
        <w:t xml:space="preserve">(MOPSV, 2023, p. 22)</w:t>
      </w:r>
      <w:r>
        <w:t xml:space="preserve">.</w:t>
      </w:r>
    </w:p>
    <w:p>
      <w:pPr>
        <w:pStyle w:val="Heading2"/>
      </w:pPr>
      <w:bookmarkStart w:id="104" w:name="tit71"/>
      <w:r>
        <w:t xml:space="preserve">1.7. Marco normativo</w:t>
      </w:r>
      <w:bookmarkEnd w:id="104"/>
    </w:p>
    <w:p>
      <w:pPr>
        <w:pStyle w:val="FirstParagraph"/>
      </w:pPr>
      <w:r>
        <w:t xml:space="preserve">El SGC de la losa se apoya en las normas de gestión de la calidad, que definen la estructura del sistema; en las normas técnicas, que fijan los requisitos de los materiales, de la ejecución y de los ensayos; y en la legislación de contratación pública, que define los roles, los documentos y las reglas económicas del contrato (Tabla 13).</w:t>
      </w:r>
    </w:p>
    <w:p>
      <w:pPr>
        <w:pStyle w:val="Heading3"/>
      </w:pPr>
      <w:bookmarkStart w:id="101" w:name="tit72"/>
      <w:r>
        <w:t xml:space="preserve">1.7.1. Normas de gestión de la calidad</w:t>
      </w:r>
      <w:bookmarkEnd w:id="101"/>
    </w:p>
    <w:p>
      <w:pPr>
        <w:pStyle w:val="FirstParagraph"/>
      </w:pPr>
      <w:r>
        <w:t xml:space="preserve">Las normas ISO 9000:2026 (fundamentos y vocabulario), ISO 9001:2026 (requisitos del SGC), ISO 10005:2018 (planes de la calidad) e ISO 10006:2017 (gestión de la calidad en proyectos) se describieron en la sección 1.3. Su aplicación es voluntaria, pero se vuelve obligatoria cuando se incorpora a los documentos del contrato: las especificaciones técnicas forman parte del documento base de contratación, las elabora la entidad contratante y fijan las características técnicas de la obra</w:t>
      </w:r>
      <w:r>
        <w:t xml:space="preserve"> </w:t>
      </w:r>
      <w:r>
        <w:t xml:space="preserve">(Ministerio de Economía y Finanzas Públicas [MEFP], 2025, art. 5, inc. m, p. 21)</w:t>
      </w:r>
      <w:r>
        <w:t xml:space="preserve">. Por eso, el plan de la calidad y el plan de puntos de inspección de la losa deben incluirse en las especificaciones del documento de contratación del saldo de la obra.</w:t>
      </w:r>
    </w:p>
    <w:p>
      <w:pPr>
        <w:pStyle w:val="Heading3"/>
      </w:pPr>
      <w:bookmarkStart w:id="102" w:name="tit73"/>
      <w:r>
        <w:t xml:space="preserve">1.7.2. Normas técnicas del hormigón, de las viguetas y de los ensayos</w:t>
      </w:r>
      <w:bookmarkEnd w:id="102"/>
    </w:p>
    <w:p>
      <w:pPr>
        <w:pStyle w:val="FirstParagraph"/>
      </w:pPr>
      <w:r>
        <w:t xml:space="preserve">Las especificaciones técnicas del proyecto exigen que los hormigones y la losa cumplan la Norma Boliviana del Hormigón Armado CBH-87 y normas bolivianas de cemento, áridos y agua de ediciones antiguas</w:t>
      </w:r>
      <w:r>
        <w:t xml:space="preserve"> </w:t>
      </w:r>
      <w:r>
        <w:t xml:space="preserve">(UATF, s. f.-a, pp. 1–3)</w:t>
      </w:r>
      <w:r>
        <w:t xml:space="preserve">. La norma técnica boliviana actual de hormigón estructural es la NB 1225001-1:2017</w:t>
      </w:r>
      <w:r>
        <w:t xml:space="preserve"> </w:t>
      </w:r>
      <w:r>
        <w:t xml:space="preserve">(IBNORCA, 2017)</w:t>
      </w:r>
      <w:r>
        <w:t xml:space="preserve">, basada en el código ACI 318</w:t>
      </w:r>
      <w:r>
        <w:t xml:space="preserve"> </w:t>
      </w:r>
      <w:r>
        <w:t xml:space="preserve">(Cocarico Mamani, 2022, p. 4)</w:t>
      </w:r>
      <w:r>
        <w:t xml:space="preserve">. La Norma Boliviana de Diseño Sísmico (NBDS) remite a ella como norma de diseño específica para el hormigón estructural y dispone que ambas se apliquen en conjunto, con prevalencia de la norma sísmica en caso de contradicción</w:t>
      </w:r>
      <w:r>
        <w:t xml:space="preserve"> </w:t>
      </w:r>
      <w:r>
        <w:t xml:space="preserve">(MOPSV, 2023, arts. 1 y 10, pp. 1, 19)</w:t>
      </w:r>
      <w:r>
        <w:t xml:space="preserve">; no menciona la CBH-87. La R. M. 271/2023 del Ministerio de Obras Públicas, Servicios y Vivienda, que aprueba la NBDS, la declara de aplicación obligatoria en todo el país</w:t>
      </w:r>
      <w:r>
        <w:t xml:space="preserve"> </w:t>
      </w:r>
      <w:r>
        <w:t xml:space="preserve">(MOPSV, 2023, R. M. 271/2023, resuelve tercero)</w:t>
      </w:r>
      <w:r>
        <w:t xml:space="preserve">, pero en los documentos del repositorio no consta un instrumento que declare obligatorias la NB 1225001 o la CBH-87. Por eso, esta tesis trata la CBH-87 como la norma que cita la especificación técnica del ítem y toma como marco técnico vigente la NBDS y la NB 1225001.</w:t>
      </w:r>
    </w:p>
    <w:p>
      <w:pPr>
        <w:pStyle w:val="BodyText"/>
      </w:pPr>
      <w:r>
        <w:t xml:space="preserve">Como el texto de la NB 1225001 no está disponible en el repositorio y esa norma se basa en el código ACI 318, esta tesis adopta como referencia técnica para el control y la aceptación del hormigón el capítulo 26 del ACI CODE-318-25, sin atribuirle la numeración de la norma boliviana. Un ensayo de resistencia es el promedio de al menos dos cilindros de la misma muestra, tomada en el punto de entrega según ASTM C172, curados según ASTM C31 y ensayados según ASTM C39 a los 28 días</w:t>
      </w:r>
      <w:r>
        <w:t xml:space="preserve"> </w:t>
      </w:r>
      <w:r>
        <w:t xml:space="preserve">(ACI Committee 318, 2025, Sección 26.12.1.1, p. 601)</w:t>
      </w:r>
      <w:r>
        <w:t xml:space="preserve">. Se toma al menos una muestra por día, por cada 150 yd</w:t>
      </w:r>
      <w:r>
        <w:rPr>
          <w:vertAlign w:val="superscript"/>
        </w:rPr>
        <w:t xml:space="preserve">3</w:t>
      </w:r>
      <w:r>
        <w:t xml:space="preserve"> </w:t>
      </w:r>
      <w:r>
        <w:t xml:space="preserve">(</w:t>
      </w:r>
      <m:oMath>
        <m:r>
          <m:rPr>
            <m:sty m:val="p"/>
          </m:rPr>
          <m:t>≈</m:t>
        </m:r>
      </m:oMath>
      <w:r>
        <w:t xml:space="preserve"> 114,7 m</w:t>
      </w:r>
      <w:r>
        <w:rPr>
          <w:vertAlign w:val="superscript"/>
        </w:rPr>
        <w:t xml:space="preserve">3</w:t>
      </w:r>
      <w:r>
        <w:t xml:space="preserve">) y, en losas, por cada 5.000 ft</w:t>
      </w:r>
      <w:r>
        <w:rPr>
          <w:vertAlign w:val="superscript"/>
        </w:rPr>
        <w:t xml:space="preserve">2</w:t>
      </w:r>
      <w:r>
        <w:t xml:space="preserve"> </w:t>
      </w:r>
      <w:r>
        <w:t xml:space="preserve">(</w:t>
      </w:r>
      <m:oMath>
        <m:r>
          <m:rPr>
            <m:sty m:val="p"/>
          </m:rPr>
          <m:t>≈</m:t>
        </m:r>
      </m:oMath>
      <w:r>
        <w:t xml:space="preserve"> 464,5 m</w:t>
      </w:r>
      <w:r>
        <w:rPr>
          <w:vertAlign w:val="superscript"/>
        </w:rPr>
        <w:t xml:space="preserve">2</w:t>
      </w:r>
      <w:r>
        <w:t xml:space="preserve">) de superficie; si esa frecuencia diera menos de cinco ensayos para una mezcla, las probetas se elaboran de al menos cinco pastones elegidos al azar</w:t>
      </w:r>
      <w:r>
        <w:t xml:space="preserve"> </w:t>
      </w:r>
      <w:r>
        <w:t xml:space="preserve">(ACI Committee 318, 2025, Sección 26.12.2.1, p. 603)</w:t>
      </w:r>
      <w:r>
        <w:t xml:space="preserve">. Para los 1.109,84 m</w:t>
      </w:r>
      <w:r>
        <w:rPr>
          <w:vertAlign w:val="superscript"/>
        </w:rPr>
        <w:t xml:space="preserve">2</w:t>
      </w:r>
      <w:r>
        <w:t xml:space="preserve"> </w:t>
      </w:r>
      <w:r>
        <w:t xml:space="preserve">de la primera losa, el criterio de superficie exige al menos tres muestras (cálculo propio). La resistencia se acepta si todo promedio de tres ensayos consecutivos iguala o supera</w:t>
      </w:r>
      <w:r>
        <w:t xml:space="preserve"> </w:t>
      </w:r>
      <m:oMath>
        <m:r>
          <m:t>f</m:t>
        </m:r>
        <m:sSub>
          <m:e>
            <m:r>
              <m:rPr>
                <m:sty m:val="p"/>
              </m:rPr>
              <m:t>′</m:t>
            </m:r>
          </m:e>
          <m:sub>
            <m:r>
              <m:t>c</m:t>
            </m:r>
          </m:sub>
        </m:sSub>
      </m:oMath>
      <w:r>
        <w:t xml:space="preserve"> </w:t>
      </w:r>
      <w:r>
        <w:t xml:space="preserve">y ningún ensayo queda por debajo de</w:t>
      </w:r>
      <w:r>
        <w:t xml:space="preserve"> </w:t>
      </w:r>
      <m:oMath>
        <m:r>
          <m:t>f</m:t>
        </m:r>
        <m:sSub>
          <m:e>
            <m:r>
              <m:rPr>
                <m:sty m:val="p"/>
              </m:rPr>
              <m:t>′</m:t>
            </m:r>
          </m:e>
          <m:sub>
            <m:r>
              <m:t>c</m:t>
            </m:r>
          </m:sub>
        </m:sSub>
      </m:oMath>
      <w:r>
        <w:t xml:space="preserve"> </w:t>
      </w:r>
      <w:r>
        <w:t xml:space="preserve">en más de 500 psi cuando</w:t>
      </w:r>
      <w:r>
        <w:t xml:space="preserve"> </w:t>
      </w:r>
      <m:oMath>
        <m:r>
          <m:t>f</m:t>
        </m:r>
        <m:sSub>
          <m:e>
            <m:r>
              <m:rPr>
                <m:sty m:val="p"/>
              </m:rPr>
              <m:t>′</m:t>
            </m:r>
          </m:e>
          <m:sub>
            <m:r>
              <m:t>c</m:t>
            </m:r>
          </m:sub>
        </m:sSub>
        <m:r>
          <m:rPr>
            <m:sty m:val="p"/>
          </m:rPr>
          <m:t>≤</m:t>
        </m:r>
        <m:r>
          <m:t>5.000</m:t>
        </m:r>
      </m:oMath>
      <w:r>
        <w:t xml:space="preserve"> psi</w:t>
      </w:r>
      <w:r>
        <w:t xml:space="preserve"> </w:t>
      </w:r>
      <w:r>
        <w:t xml:space="preserve">(ACI Committee 318, 2025, Sección 26.12.3.1, p. 603)</w:t>
      </w:r>
      <w:r>
        <w:t xml:space="preserve">; para el H25 de la losa, ningún ensayo puede ser menor de unos 214,8 kg/cm</w:t>
      </w:r>
      <w:r>
        <w:rPr>
          <w:vertAlign w:val="superscript"/>
        </w:rPr>
        <w:t xml:space="preserve">2</w:t>
      </w:r>
      <w:r>
        <w:t xml:space="preserve"> </w:t>
      </w:r>
      <w:r>
        <w:t xml:space="preserve">(cálculo propio). Ante resultados bajos se extraen tres núcleos por ensayo deficiente, y el hormigón es adecuado si su promedio alcanza el 85 % de</w:t>
      </w:r>
      <w:r>
        <w:t xml:space="preserve"> </w:t>
      </w:r>
      <m:oMath>
        <m:r>
          <m:t>f</m:t>
        </m:r>
        <m:sSub>
          <m:e>
            <m:r>
              <m:rPr>
                <m:sty m:val="p"/>
              </m:rPr>
              <m:t>′</m:t>
            </m:r>
          </m:e>
          <m:sub>
            <m:r>
              <m:t>c</m:t>
            </m:r>
          </m:sub>
        </m:sSub>
      </m:oMath>
      <w:r>
        <w:t xml:space="preserve"> </w:t>
      </w:r>
      <w:r>
        <w:t xml:space="preserve">y ningún núcleo baja del 75 %</w:t>
      </w:r>
      <w:r>
        <w:t xml:space="preserve"> </w:t>
      </w:r>
      <w:r>
        <w:t xml:space="preserve">(ACI Committee 318, 2025, Sección 26.12.7, p. 606)</w:t>
      </w:r>
      <w:r>
        <w:t xml:space="preserve">. El código exige además mantener la humedad del hormigón durante 7 días a 10 </w:t>
      </w:r>
      <m:oMath>
        <m:sSup>
          <m:e>
            <m:r>
              <m:t>​</m:t>
            </m:r>
          </m:e>
          <m:sup>
            <m:r>
              <m:rPr>
                <m:sty m:val="p"/>
              </m:rPr>
              <m:t>∘</m:t>
            </m:r>
          </m:sup>
        </m:sSup>
      </m:oMath>
      <w:r>
        <w:t xml:space="preserve">C o más</w:t>
      </w:r>
      <w:r>
        <w:t xml:space="preserve"> </w:t>
      </w:r>
      <w:r>
        <w:t xml:space="preserve">(ACI Committee 318, 2025, Sección 26.5.3.2, p. 581)</w:t>
      </w:r>
      <w:r>
        <w:t xml:space="preserve">, presentar un plan de hormigonado en tiempo frío</w:t>
      </w:r>
      <w:r>
        <w:t xml:space="preserve"> </w:t>
      </w:r>
      <w:r>
        <w:t xml:space="preserve">(ACI Committee 318, 2025, Sección 26.5.4.2, p. 583)</w:t>
      </w:r>
      <w:r>
        <w:t xml:space="preserve"> </w:t>
      </w:r>
      <w:r>
        <w:t xml:space="preserve">e inspeccionar la conformidad con los documentos de construcción en todas las etapas, con registros conservados al menos dos años</w:t>
      </w:r>
      <w:r>
        <w:t xml:space="preserve"> </w:t>
      </w:r>
      <w:r>
        <w:t xml:space="preserve">(ACI Committee 318, 2025, Sección 26.13.1.2 y 26.13.2.1, pp. 608, 610)</w:t>
      </w:r>
      <w:r>
        <w:t xml:space="preserve">.</w:t>
      </w:r>
    </w:p>
    <w:p>
      <w:pPr>
        <w:pStyle w:val="BodyText"/>
      </w:pPr>
      <w:r>
        <w:t xml:space="preserve">Para las losas de viguetas prefabricadas que deben funcionar como diafragma rígido, la norma sísmica exige una altura mínima de 250 mm con la carpeta, una carpeta de al menos 50 mm con malla de 6 mm cada 250 mm, el empotramiento de las viguetas en las vigas, nervios rigidizadores a no más de 2,50 m, una separación entre ejes no mayor que el doble de la altura y el hormigonado simultáneo de la losa con sus vigas de apoyo</w:t>
      </w:r>
      <w:r>
        <w:t xml:space="preserve"> </w:t>
      </w:r>
      <w:r>
        <w:t xml:space="preserve">(MOPSV, 2023, art. 12, p. 22)</w:t>
      </w:r>
      <w:r>
        <w:t xml:space="preserve">; además, fija una resistencia mínima del hormigón de 21 MPa y recomienda 25 MPa</w:t>
      </w:r>
      <w:r>
        <w:t xml:space="preserve"> </w:t>
      </w:r>
      <w:r>
        <w:t xml:space="preserve">(MOPSV, 2023, art. 16, p. 28)</w:t>
      </w:r>
      <w:r>
        <w:t xml:space="preserve">. La especificación de la obra (20 + 5 cm, ejes a 50 cm, parrilla</w:t>
      </w:r>
      <w:r>
        <w:t xml:space="preserve"> </w:t>
      </w:r>
      <m:oMath>
        <m:r>
          <m:t>ϕ</m:t>
        </m:r>
      </m:oMath>
      <w:r>
        <w:t xml:space="preserve">6 c/20 y vaciado monolítico con las vigas) es coherente con esos mínimos, no así el corte del Plano 02, que acota una altura total de 0,20 m (Figura 4); la discrepancia debe resolverla la Supervisión con el proyectista.</w:t>
      </w:r>
    </w:p>
    <w:p>
      <w:pPr>
        <w:pStyle w:val="BodyText"/>
      </w:pPr>
      <w:r>
        <w:t xml:space="preserve">Las viguetas se rigen por la NB 997:2016, que establece sus requisitos y métodos de ensayo</w:t>
      </w:r>
      <w:r>
        <w:t xml:space="preserve"> </w:t>
      </w:r>
      <w:r>
        <w:t xml:space="preserve">(IBNORCA, 2016)</w:t>
      </w:r>
      <w:r>
        <w:t xml:space="preserve"> </w:t>
      </w:r>
      <w:r>
        <w:t xml:space="preserve">y cuyo cumplimiento declara el certificado del fabricante de la obra</w:t>
      </w:r>
      <w:r>
        <w:t xml:space="preserve"> </w:t>
      </w:r>
      <w:r>
        <w:t xml:space="preserve">(PRETENSA, 2025)</w:t>
      </w:r>
      <w:r>
        <w:t xml:space="preserve">. Los ensayos se basan en normas ASTM, como pide la guía del docente</w:t>
      </w:r>
      <w:r>
        <w:t xml:space="preserve"> </w:t>
      </w:r>
      <w:r>
        <w:t xml:space="preserve">(Barrios C., 2021b, diapositiva 25)</w:t>
      </w:r>
      <w:r>
        <w:t xml:space="preserve">: C172, C31 y C39 para el muestreo, las probetas y la resistencia; C143 para el asentamiento; y A615 para las barras corrugadas, que el código ACI admite como refuerzo</w:t>
      </w:r>
      <w:r>
        <w:t xml:space="preserve"> </w:t>
      </w:r>
      <w:r>
        <w:t xml:space="preserve">(ACI Committee 318, 2025, Sección 20.2.1.3, p. 409)</w:t>
      </w:r>
      <w:r>
        <w:t xml:space="preserve">.</w:t>
      </w:r>
    </w:p>
    <w:p>
      <w:pPr>
        <w:pStyle w:val="Heading3"/>
      </w:pPr>
      <w:bookmarkStart w:id="103" w:name="tit74"/>
      <w:r>
        <w:t xml:space="preserve">1.7.3. Legislación de contratación pública</w:t>
      </w:r>
      <w:bookmarkEnd w:id="103"/>
    </w:p>
    <w:p>
      <w:pPr>
        <w:pStyle w:val="FirstParagraph"/>
      </w:pPr>
      <w:r>
        <w:t xml:space="preserve">La Ley 1178 de Administración y Control Gubernamentales crea el Sistema de Administración de Bienes y Servicios, que debe identificar a los responsables de las decisiones de contratación en relación con la calidad, la oportunidad y el precio de lo contratado</w:t>
      </w:r>
      <w:r>
        <w:t xml:space="preserve"> </w:t>
      </w:r>
      <w:r>
        <w:t xml:space="preserve">(República de Bolivia, 1990, art. 10)</w:t>
      </w:r>
      <w:r>
        <w:t xml:space="preserve">. La misma ley establece el control interno previo, que se aplica antes de que las operaciones surtan efecto</w:t>
      </w:r>
      <w:r>
        <w:t xml:space="preserve"> </w:t>
      </w:r>
      <w:r>
        <w:t xml:space="preserve">(República de Bolivia, 1990, arts. 13–14)</w:t>
      </w:r>
      <w:r>
        <w:t xml:space="preserve">, lógica equivalente a la de los puntos de espera de un plan de inspección. Sus normas básicas, el D. S. 0181 (NB-SABS), regulan las modificaciones de los contratos de obra</w:t>
      </w:r>
      <w:r>
        <w:t xml:space="preserve"> </w:t>
      </w:r>
      <w:r>
        <w:t xml:space="preserve">(MEFP, 2025, art. 89, pp. 91–93)</w:t>
      </w:r>
      <w:r>
        <w:t xml:space="preserve">:</w:t>
      </w:r>
    </w:p>
    <w:p>
      <w:pPr>
        <w:numPr>
          <w:ilvl w:val="0"/>
          <w:numId w:val="1009"/>
        </w:numPr>
      </w:pPr>
      <w:r>
        <w:t xml:space="preserve">el</w:t>
      </w:r>
      <w:r>
        <w:t xml:space="preserve"> </w:t>
      </w:r>
      <w:r>
        <w:rPr>
          <w:bCs/>
          <w:b/>
        </w:rPr>
        <w:t xml:space="preserve">contrato modificatorio</w:t>
      </w:r>
      <w:r>
        <w:t xml:space="preserve"> </w:t>
      </w:r>
      <w:r>
        <w:t xml:space="preserve">procede cuando cambian el alcance, el monto o el plazo sin aumentar los precios unitarios; uno o varios, sumados, no pueden superar el 10 % del monto del contrato principal, y los precios de los ítems nuevos se negocian;</w:t>
      </w:r>
    </w:p>
    <w:p>
      <w:pPr>
        <w:numPr>
          <w:ilvl w:val="0"/>
          <w:numId w:val="1009"/>
        </w:numPr>
      </w:pPr>
      <w:r>
        <w:t xml:space="preserve">la</w:t>
      </w:r>
      <w:r>
        <w:t xml:space="preserve"> </w:t>
      </w:r>
      <w:r>
        <w:rPr>
          <w:bCs/>
          <w:b/>
        </w:rPr>
        <w:t xml:space="preserve">orden de cambio</w:t>
      </w:r>
      <w:r>
        <w:t xml:space="preserve">, exclusiva de obras, modifica el precio o el plazo sin aumentar los precios unitarios ni crear ítems nuevos, y no puede superar el 5 %;</w:t>
      </w:r>
    </w:p>
    <w:p>
      <w:pPr>
        <w:numPr>
          <w:ilvl w:val="0"/>
          <w:numId w:val="1009"/>
        </w:numPr>
      </w:pPr>
      <w:r>
        <w:t xml:space="preserve">en licitación pública, ambos instrumentos sumados no pueden exceder el 15 % del monto del contrato principal.</w:t>
      </w:r>
    </w:p>
    <w:p>
      <w:pPr>
        <w:pStyle w:val="FirstParagraph"/>
        <w:ind w:firstLine="0"/>
      </w:pPr>
      <w:r>
        <w:t xml:space="preserve"/>
      </w:r>
      <w:r>
        <w:t xml:space="preserve"/>
      </w:r>
      <w:r>
        <w:t xml:space="preserve">Las mismas normas establecen la recepción provisional y definitiva de las obras</w:t>
      </w:r>
      <w:r>
        <w:t xml:space="preserve"> </w:t>
      </w:r>
      <w:r>
        <w:t xml:space="preserve">(MEFP, 2025, art. 39, p. 54)</w:t>
      </w:r>
      <w:r>
        <w:t xml:space="preserve">. Los modelos de documento base de contratación de obras vigentes fueron aprobados por la R. M. 048/2024 del Ministerio de Economía y Finanzas Públicas, que sustituyó a los de 2022</w:t>
      </w:r>
      <w:r>
        <w:t xml:space="preserve"> </w:t>
      </w:r>
      <w:r>
        <w:t xml:space="preserve">(MEFP, 2024)</w:t>
      </w:r>
      <w:r>
        <w:t xml:space="preserve">. El modelo de 2022, disponible en el repositorio, define las figuras contractuales que el SGC debe operar: el Libro de Órdenes, en el que el Supervisor anota sus instrucciones</w:t>
      </w:r>
      <w:r>
        <w:t xml:space="preserve"> </w:t>
      </w:r>
      <w:r>
        <w:t xml:space="preserve">(MEFP, 2022, cláusula 25, p. 71)</w:t>
      </w:r>
      <w:r>
        <w:t xml:space="preserve">; la responsabilidad de la Supervisión sobre el control de calidad y los ensayos a cargo del contratista</w:t>
      </w:r>
      <w:r>
        <w:t xml:space="preserve"> </w:t>
      </w:r>
      <w:r>
        <w:t xml:space="preserve">(MEFP, 2022, cláusulas 26.3 y 26.6, p. 73)</w:t>
      </w:r>
      <w:r>
        <w:t xml:space="preserve">; y la prohibición de cubrir un trabajo sin aprobación previa</w:t>
      </w:r>
      <w:r>
        <w:t xml:space="preserve"> </w:t>
      </w:r>
      <w:r>
        <w:t xml:space="preserve">(MEFP, 2022, cláusula 26.10, p. 74)</w:t>
      </w:r>
      <w:r>
        <w:t xml:space="preserve">. Esas cláusulas deben contrastarse con el contrato real de la obra.</w:t>
      </w:r>
    </w:p>
    <w:p>
      <w:pPr>
        <w:pStyle w:val="BodyText"/>
      </w:pPr>
      <w:r>
        <w:t xml:space="preserve">Frente al alza de precios de 2025 y 2026 se dictaron decretos de ajuste excepcional. El D. S. 5321 permitió ajustar, mediante un contrato modificatorio, el precio de los materiales importados de su anexo —entre ellos el acero corrugado—, considerando solo el componente de materiales del análisis de precios unitarios y aun por encima de los porcentajes del art. 89</w:t>
      </w:r>
      <w:r>
        <w:t xml:space="preserve"> </w:t>
      </w:r>
      <w:r>
        <w:t xml:space="preserve">(Estado Plurinacional de Bolivia, 2025a, arts. 3–4 y anexo)</w:t>
      </w:r>
      <w:r>
        <w:t xml:space="preserve">; los D. S. 5406 y 5452 ampliaron su plazo y fijaron la fórmula del ajuste</w:t>
      </w:r>
      <w:r>
        <w:t xml:space="preserve"> </w:t>
      </w:r>
      <w:r>
        <w:t xml:space="preserve">(Estado Plurinacional de Bolivia, 2025b, 2025c)</w:t>
      </w:r>
      <w:r>
        <w:t xml:space="preserve">. El D. S. 5597 extendió el ajuste a todos los materiales, maquinaria y equipo hasta el 31 de diciembre de 2026 y previó la resolución del contrato por una situación ajena a las partes cuando el incremento de precios no sea viable, inviabilidad que puede considerarse caso fortuito y que no da lugar a registrar al contratista como impedido en el Sistema de Contrataciones Estatales (SICOES) ni a ejecutar su garantía de cumplimiento</w:t>
      </w:r>
      <w:r>
        <w:t xml:space="preserve"> </w:t>
      </w:r>
      <w:r>
        <w:t xml:space="preserve">(Estado Plurinacional de Bolivia, 2026, art. 4 y disposición adicional quinta)</w:t>
      </w:r>
      <w:r>
        <w:t xml:space="preserve">. Las NB-SABS definen la fuerza mayor como un obstáculo externo, imprevisto o inevitable, ajeno al hombre, como un incendio, una inundación u otro desastre natural, y el caso fortuito como un obstáculo interno atribuible al hombre, imprevisto o inevitable, como una conmoción civil, una huelga o un bloqueo</w:t>
      </w:r>
      <w:r>
        <w:t xml:space="preserve"> </w:t>
      </w:r>
      <w:r>
        <w:t xml:space="preserve">(MEFP, 2025, art. 5, incs. c y p, pp. 20, 22)</w:t>
      </w:r>
      <w:r>
        <w:t xml:space="preserve">. En la obra estudiada, el contrato excluía el reajuste de precios</w:t>
      </w:r>
      <w:r>
        <w:t xml:space="preserve"> </w:t>
      </w:r>
      <w:r>
        <w:t xml:space="preserve">(UATF, 2025, p. 95)</w:t>
      </w:r>
      <w:r>
        <w:t xml:space="preserve">, el contrato modificatorio (+7,22 %) quedó dentro del límite del 10 % (Tabla 17) y la solicitud de resolución del contratista (5 de enero de 2026), que invocó la fuerza mayor o el caso fortuito</w:t>
      </w:r>
      <w:r>
        <w:t xml:space="preserve"> </w:t>
      </w:r>
      <w:r>
        <w:t xml:space="preserve">(UATF, s. f.-b, p. 14)</w:t>
      </w:r>
      <w:r>
        <w:t xml:space="preserve">, es anterior al D. S. 5597, cuya aplicabilidad al caso corresponde valorar a la asesoría legal de la entidad. Para aislar el efecto del SGC de estas variaciones, la evaluación de la tesis se hace a precios constantes del contrato.</w:t>
      </w:r>
    </w:p>
    <w:p>
      <w:pPr>
        <w:pStyle w:val="Caption"/>
      </w:pPr>
      <w:bookmarkStart w:id="1420" w:name="tab13"/>
      <w:r>
        <w:t xml:space="preserve"/>
      </w:r>
      <w:r>
        <w:rPr>
          <w:bCs/>
          <w:b/>
        </w:rPr>
        <w:t xml:space="preserve">Tabla 13</w:t>
      </w:r>
      <w:r>
        <w:br/>
      </w:r>
      <w:r>
        <w:rPr>
          <w:iCs/>
          <w:i/>
        </w:rPr>
        <w:t xml:space="preserve">Marco normativo del SGC de la losa alivianada</w:t>
      </w:r>
      <w:bookmarkEnd w:id="1420"/>
    </w:p>
    <w:tbl>
      <w:tblPr>
        <w:tblStyle w:val="Table"/>
        <w:tblW w:w="9360" w:type="dxa"/>
        <w:jc w:val="left"/>
        <w:tblLayout w:type="fixed"/>
        <w:tblCellMar>
          <w:top w:w="0" w:type="dxa"/>
          <w:left w:w="85" w:type="dxa"/>
          <w:bottom w:w="0" w:type="dxa"/>
          <w:right w:w="85" w:type="dxa"/>
        </w:tblCellMar>
        <w:tblLook w:firstRow="1" w:lastRow="0" w:firstColumn="0" w:lastColumn="0" w:noHBand="0" w:noVBand="0" w:val="0020"/>
      </w:tblPr>
      <w:tblGrid>
        <w:gridCol w:w="1972"/>
        <w:gridCol w:w="2226"/>
        <w:gridCol w:w="2622"/>
        <w:gridCol w:w="2540"/>
      </w:tblGrid>
      <w:tr>
        <w:trPr>
          <w:cantSplit/>
          <w:tblHeader w:val="true"/>
        </w:trPr>
        <w:tc>
          <w:tcPr>
            <w:tcW w:w="1972" w:type="dxa"/>
            <w:tcBorders>
              <w:top w:val="single" w:sz="8" w:space="0" w:color="000000"/>
              <w:bottom w:val="single" w:sz="4" w:space="0" w:color="000000"/>
            </w:tcBorders>
          </w:tcPr>
          <w:p>
            <w:pPr>
              <w:pStyle w:val="CeldaAPA"/>
              <w:jc w:val="center"/>
            </w:pPr>
            <w:r>
              <w:rPr>
                <w:bCs/>
                <w:b/>
              </w:rPr>
              <w:t xml:space="preserve">Norma o instrumento</w:t>
            </w:r>
          </w:p>
        </w:tc>
        <w:tc>
          <w:tcPr>
            <w:tcW w:w="2226" w:type="dxa"/>
            <w:tcBorders>
              <w:top w:val="single" w:sz="8" w:space="0" w:color="000000"/>
              <w:bottom w:val="single" w:sz="4" w:space="0" w:color="000000"/>
            </w:tcBorders>
          </w:tcPr>
          <w:p>
            <w:pPr>
              <w:pStyle w:val="CeldaAPA"/>
              <w:jc w:val="center"/>
            </w:pPr>
            <w:r>
              <w:rPr>
                <w:bCs/>
                <w:b/>
              </w:rPr>
              <w:t xml:space="preserve">Objeto</w:t>
            </w:r>
          </w:p>
        </w:tc>
        <w:tc>
          <w:tcPr>
            <w:tcW w:w="2622" w:type="dxa"/>
            <w:tcBorders>
              <w:top w:val="single" w:sz="8" w:space="0" w:color="000000"/>
              <w:bottom w:val="single" w:sz="4" w:space="0" w:color="000000"/>
            </w:tcBorders>
          </w:tcPr>
          <w:p>
            <w:pPr>
              <w:pStyle w:val="CeldaAPA"/>
              <w:jc w:val="center"/>
            </w:pPr>
            <w:r>
              <w:rPr>
                <w:bCs/>
                <w:b/>
              </w:rPr>
              <w:t xml:space="preserve">Aplicación en esta tesis</w:t>
            </w:r>
          </w:p>
        </w:tc>
        <w:tc>
          <w:tcPr>
            <w:tcW w:w="2540" w:type="dxa"/>
            <w:tcBorders>
              <w:top w:val="single" w:sz="8" w:space="0" w:color="000000"/>
              <w:bottom w:val="single" w:sz="4" w:space="0" w:color="000000"/>
            </w:tcBorders>
          </w:tcPr>
          <w:p>
            <w:pPr>
              <w:pStyle w:val="CeldaAPA"/>
              <w:jc w:val="center"/>
            </w:pPr>
            <w:r>
              <w:rPr>
                <w:bCs/>
                <w:b/>
              </w:rPr>
              <w:t xml:space="preserve">Fuente</w:t>
            </w:r>
          </w:p>
        </w:tc>
      </w:tr>
      <w:tr>
        <w:tc>
          <w:tcPr>
            <w:tcW w:w="9360" w:type="dxa"/>
            <w:gridSpan w:val="4"/>
          </w:tcPr>
          <w:p>
            <w:pPr>
              <w:pStyle w:val="CeldaAPA"/>
              <w:jc w:val="left"/>
            </w:pPr>
            <w:r>
              <w:rPr>
                <w:iCs/>
                <w:i/>
              </w:rPr>
              <w:t xml:space="preserve">Gestión de la calidad</w:t>
            </w:r>
          </w:p>
        </w:tc>
      </w:tr>
      <w:tr>
        <w:tc>
          <w:tcPr>
            <w:tcW w:w="1972" w:type="dxa"/>
          </w:tcPr>
          <w:p>
            <w:pPr>
              <w:pStyle w:val="CeldaAPA"/>
              <w:jc w:val="left"/>
            </w:pPr>
            <w:r>
              <w:rPr/>
              <w:t xml:space="preserve">ISO 9000:2026</w:t>
            </w:r>
          </w:p>
        </w:tc>
        <w:tc>
          <w:tcPr>
            <w:tcW w:w="2226" w:type="dxa"/>
          </w:tcPr>
          <w:p>
            <w:pPr>
              <w:pStyle w:val="CeldaAPA"/>
              <w:jc w:val="left"/>
            </w:pPr>
            <w:r>
              <w:rPr/>
              <w:t xml:space="preserve">Fundamentos, principios y vocabulario</w:t>
            </w:r>
          </w:p>
        </w:tc>
        <w:tc>
          <w:tcPr>
            <w:tcW w:w="2622" w:type="dxa"/>
          </w:tcPr>
          <w:p>
            <w:pPr>
              <w:pStyle w:val="CeldaAPA"/>
              <w:jc w:val="left"/>
            </w:pPr>
            <w:r>
              <w:rPr/>
              <w:t xml:space="preserve">Definiciones de calidad, requisito, no conformidad y acción correctiva</w:t>
            </w:r>
          </w:p>
        </w:tc>
        <w:tc>
          <w:tcPr>
            <w:tcW w:w="2540" w:type="dxa"/>
          </w:tcPr>
          <w:p>
            <w:pPr>
              <w:pStyle w:val="CeldaAPA"/>
              <w:jc w:val="left"/>
            </w:pPr>
            <w:r>
              <w:rPr/>
              <w:t xml:space="preserve">ISO (2026a)</w:t>
            </w:r>
          </w:p>
        </w:tc>
      </w:tr>
      <w:tr>
        <w:tc>
          <w:tcPr>
            <w:tcW w:w="1972" w:type="dxa"/>
          </w:tcPr>
          <w:p>
            <w:pPr>
              <w:pStyle w:val="CeldaAPA"/>
              <w:jc w:val="left"/>
            </w:pPr>
            <w:r>
              <w:rPr/>
              <w:t xml:space="preserve">ISO 9001:2026; NB/ISO 9001:2026</w:t>
            </w:r>
          </w:p>
        </w:tc>
        <w:tc>
          <w:tcPr>
            <w:tcW w:w="2226" w:type="dxa"/>
          </w:tcPr>
          <w:p>
            <w:pPr>
              <w:pStyle w:val="CeldaAPA"/>
              <w:jc w:val="left"/>
            </w:pPr>
            <w:r>
              <w:rPr/>
              <w:t xml:space="preserve">Requisitos de un SGC (cláusulas 4 a 10)</w:t>
            </w:r>
          </w:p>
        </w:tc>
        <w:tc>
          <w:tcPr>
            <w:tcW w:w="2622" w:type="dxa"/>
          </w:tcPr>
          <w:p>
            <w:pPr>
              <w:pStyle w:val="CeldaAPA"/>
              <w:jc w:val="left"/>
            </w:pPr>
            <w:r>
              <w:rPr/>
              <w:t xml:space="preserve">Estructura del SGC propuesto</w:t>
            </w:r>
          </w:p>
        </w:tc>
        <w:tc>
          <w:tcPr>
            <w:tcW w:w="2540" w:type="dxa"/>
          </w:tcPr>
          <w:p>
            <w:pPr>
              <w:pStyle w:val="CeldaAPA"/>
              <w:jc w:val="left"/>
            </w:pPr>
            <w:r>
              <w:rPr/>
              <w:t xml:space="preserve">ISO (2026b)</w:t>
            </w:r>
            <w:r>
              <w:rPr/>
              <w:t xml:space="preserve">;</w:t>
            </w:r>
            <w:r>
              <w:rPr/>
              <w:t xml:space="preserve"> </w:t>
            </w:r>
            <w:r>
              <w:rPr/>
              <w:t xml:space="preserve">IBNORCA (2026)</w:t>
            </w:r>
          </w:p>
        </w:tc>
      </w:tr>
      <w:tr>
        <w:tc>
          <w:tcPr>
            <w:tcW w:w="1972" w:type="dxa"/>
          </w:tcPr>
          <w:p>
            <w:pPr>
              <w:pStyle w:val="CeldaAPA"/>
              <w:jc w:val="left"/>
            </w:pPr>
            <w:r>
              <w:rPr/>
              <w:t xml:space="preserve">ISO 10005:2018</w:t>
            </w:r>
          </w:p>
        </w:tc>
        <w:tc>
          <w:tcPr>
            <w:tcW w:w="2226" w:type="dxa"/>
          </w:tcPr>
          <w:p>
            <w:pPr>
              <w:pStyle w:val="CeldaAPA"/>
              <w:jc w:val="left"/>
            </w:pPr>
            <w:r>
              <w:rPr/>
              <w:t xml:space="preserve">Directrices para los planes de la calidad</w:t>
            </w:r>
          </w:p>
        </w:tc>
        <w:tc>
          <w:tcPr>
            <w:tcW w:w="2622" w:type="dxa"/>
          </w:tcPr>
          <w:p>
            <w:pPr>
              <w:pStyle w:val="CeldaAPA"/>
              <w:jc w:val="left"/>
            </w:pPr>
            <w:r>
              <w:rPr/>
              <w:t xml:space="preserve">Plan de la calidad de la losa</w:t>
            </w:r>
          </w:p>
        </w:tc>
        <w:tc>
          <w:tcPr>
            <w:tcW w:w="2540" w:type="dxa"/>
          </w:tcPr>
          <w:p>
            <w:pPr>
              <w:pStyle w:val="CeldaAPA"/>
              <w:jc w:val="left"/>
            </w:pPr>
            <w:r>
              <w:rPr/>
              <w:t xml:space="preserve">ISO (2018)</w:t>
            </w:r>
          </w:p>
        </w:tc>
      </w:tr>
      <w:tr>
        <w:tc>
          <w:tcPr>
            <w:tcW w:w="1972" w:type="dxa"/>
          </w:tcPr>
          <w:p>
            <w:pPr>
              <w:pStyle w:val="CeldaAPA"/>
              <w:jc w:val="left"/>
            </w:pPr>
            <w:r>
              <w:rPr/>
              <w:t xml:space="preserve">ISO 10006:2017</w:t>
            </w:r>
          </w:p>
        </w:tc>
        <w:tc>
          <w:tcPr>
            <w:tcW w:w="2226" w:type="dxa"/>
          </w:tcPr>
          <w:p>
            <w:pPr>
              <w:pStyle w:val="CeldaAPA"/>
              <w:jc w:val="left"/>
            </w:pPr>
            <w:r>
              <w:rPr/>
              <w:t xml:space="preserve">Directrices para la gestión de la calidad en los proyectos</w:t>
            </w:r>
          </w:p>
        </w:tc>
        <w:tc>
          <w:tcPr>
            <w:tcW w:w="2622" w:type="dxa"/>
          </w:tcPr>
          <w:p>
            <w:pPr>
              <w:pStyle w:val="CeldaAPA"/>
              <w:jc w:val="left"/>
            </w:pPr>
            <w:r>
              <w:rPr/>
              <w:t xml:space="preserve">Responsabilidades de las organizaciones del proyecto y control de los cambios</w:t>
            </w:r>
          </w:p>
        </w:tc>
        <w:tc>
          <w:tcPr>
            <w:tcW w:w="2540" w:type="dxa"/>
          </w:tcPr>
          <w:p>
            <w:pPr>
              <w:pStyle w:val="CeldaAPA"/>
              <w:jc w:val="left"/>
            </w:pPr>
            <w:r>
              <w:rPr/>
              <w:t xml:space="preserve">ISO (2017)</w:t>
            </w:r>
          </w:p>
        </w:tc>
      </w:tr>
      <w:tr>
        <w:tc>
          <w:tcPr>
            <w:tcW w:w="9360" w:type="dxa"/>
            <w:gridSpan w:val="4"/>
          </w:tcPr>
          <w:p>
            <w:pPr>
              <w:pStyle w:val="CeldaAPA"/>
              <w:jc w:val="left"/>
            </w:pPr>
            <w:r>
              <w:rPr>
                <w:iCs/>
                <w:i/>
              </w:rPr>
              <w:t xml:space="preserve">Normas técnicas</w:t>
            </w:r>
          </w:p>
        </w:tc>
      </w:tr>
      <w:tr>
        <w:tc>
          <w:tcPr>
            <w:tcW w:w="1972" w:type="dxa"/>
          </w:tcPr>
          <w:p>
            <w:pPr>
              <w:pStyle w:val="CeldaAPA"/>
              <w:jc w:val="left"/>
            </w:pPr>
            <w:r>
              <w:rPr/>
              <w:t xml:space="preserve">CBH-87</w:t>
            </w:r>
          </w:p>
        </w:tc>
        <w:tc>
          <w:tcPr>
            <w:tcW w:w="2226" w:type="dxa"/>
          </w:tcPr>
          <w:p>
            <w:pPr>
              <w:pStyle w:val="CeldaAPA"/>
              <w:jc w:val="left"/>
            </w:pPr>
            <w:r>
              <w:rPr/>
              <w:t xml:space="preserve">Norma boliviana de hormigón armado citada en las especificaciones del proyecto</w:t>
            </w:r>
          </w:p>
        </w:tc>
        <w:tc>
          <w:tcPr>
            <w:tcW w:w="2622" w:type="dxa"/>
          </w:tcPr>
          <w:p>
            <w:pPr>
              <w:pStyle w:val="CeldaAPA"/>
              <w:jc w:val="left"/>
            </w:pPr>
            <w:r>
              <w:rPr/>
              <w:t xml:space="preserve">Requisitos contractuales de materiales y ejecución</w:t>
            </w:r>
          </w:p>
        </w:tc>
        <w:tc>
          <w:tcPr>
            <w:tcW w:w="2540" w:type="dxa"/>
          </w:tcPr>
          <w:p>
            <w:pPr>
              <w:pStyle w:val="CeldaAPA"/>
              <w:jc w:val="left"/>
            </w:pPr>
            <w:r>
              <w:rPr/>
              <w:t xml:space="preserve">UATF (s. f.-a, pp. 1–3)</w:t>
            </w:r>
          </w:p>
        </w:tc>
      </w:tr>
      <w:tr>
        <w:tc>
          <w:tcPr>
            <w:tcW w:w="1972" w:type="dxa"/>
          </w:tcPr>
          <w:p>
            <w:pPr>
              <w:pStyle w:val="CeldaAPA"/>
              <w:jc w:val="left"/>
            </w:pPr>
            <w:r>
              <w:rPr/>
              <w:t xml:space="preserve">NB 1225001-1:2017</w:t>
            </w:r>
          </w:p>
        </w:tc>
        <w:tc>
          <w:tcPr>
            <w:tcW w:w="2226" w:type="dxa"/>
          </w:tcPr>
          <w:p>
            <w:pPr>
              <w:pStyle w:val="CeldaAPA"/>
              <w:jc w:val="left"/>
            </w:pPr>
            <w:r>
              <w:rPr/>
              <w:t xml:space="preserve">Hormigón estructural, basada en el código ACI 318</w:t>
            </w:r>
          </w:p>
        </w:tc>
        <w:tc>
          <w:tcPr>
            <w:tcW w:w="2622" w:type="dxa"/>
          </w:tcPr>
          <w:p>
            <w:pPr>
              <w:pStyle w:val="CeldaAPA"/>
              <w:jc w:val="left"/>
            </w:pPr>
            <w:r>
              <w:rPr/>
              <w:t xml:space="preserve">Norma técnica boliviana de referencia, a la que remite la NBDS</w:t>
            </w:r>
          </w:p>
        </w:tc>
        <w:tc>
          <w:tcPr>
            <w:tcW w:w="2540" w:type="dxa"/>
          </w:tcPr>
          <w:p>
            <w:pPr>
              <w:pStyle w:val="CeldaAPA"/>
              <w:jc w:val="left"/>
            </w:pPr>
            <w:r>
              <w:rPr/>
              <w:t xml:space="preserve">IBNORCA (2017)</w:t>
            </w:r>
            <w:r>
              <w:rPr/>
              <w:t xml:space="preserve">;</w:t>
            </w:r>
            <w:r>
              <w:rPr/>
              <w:t xml:space="preserve"> </w:t>
            </w:r>
            <w:r>
              <w:rPr/>
              <w:t xml:space="preserve">Cocarico Mamani (2022, p. 4)</w:t>
            </w:r>
            <w:r>
              <w:rPr/>
              <w:t xml:space="preserve">;</w:t>
            </w:r>
            <w:r>
              <w:rPr/>
              <w:t xml:space="preserve"> </w:t>
            </w:r>
            <w:r>
              <w:rPr/>
              <w:t xml:space="preserve">MOPSV (2023, arts. 1 y 10)</w:t>
            </w:r>
          </w:p>
        </w:tc>
      </w:tr>
      <w:tr>
        <w:tc>
          <w:tcPr>
            <w:tcW w:w="1972" w:type="dxa"/>
          </w:tcPr>
          <w:p>
            <w:pPr>
              <w:pStyle w:val="CeldaAPA"/>
              <w:jc w:val="left"/>
            </w:pPr>
            <w:r>
              <w:rPr/>
              <w:t xml:space="preserve">ACI CODE-318-25, capítulo 26</w:t>
            </w:r>
          </w:p>
        </w:tc>
        <w:tc>
          <w:tcPr>
            <w:tcW w:w="2226" w:type="dxa"/>
          </w:tcPr>
          <w:p>
            <w:pPr>
              <w:pStyle w:val="CeldaAPA"/>
              <w:jc w:val="left"/>
            </w:pPr>
            <w:r>
              <w:rPr/>
              <w:t xml:space="preserve">Producción, colocación, curado, evaluación, aceptación e inspección del hormigón</w:t>
            </w:r>
          </w:p>
        </w:tc>
        <w:tc>
          <w:tcPr>
            <w:tcW w:w="2622" w:type="dxa"/>
          </w:tcPr>
          <w:p>
            <w:pPr>
              <w:pStyle w:val="CeldaAPA"/>
              <w:jc w:val="left"/>
            </w:pPr>
            <w:r>
              <w:rPr/>
              <w:t xml:space="preserve">Muestreo (26.12.2.1), aceptación (26.12.3.1), curado (26.5.3), tiempo frío (26.5.4), armaduras (26.6) e inspección (26.13)</w:t>
            </w:r>
          </w:p>
        </w:tc>
        <w:tc>
          <w:tcPr>
            <w:tcW w:w="2540" w:type="dxa"/>
          </w:tcPr>
          <w:p>
            <w:pPr>
              <w:pStyle w:val="CeldaAPA"/>
              <w:jc w:val="left"/>
            </w:pPr>
            <w:r>
              <w:rPr/>
              <w:t xml:space="preserve">ACI Committee 318 (2025)</w:t>
            </w:r>
          </w:p>
        </w:tc>
      </w:tr>
      <w:tr>
        <w:tc>
          <w:tcPr>
            <w:tcW w:w="1972" w:type="dxa"/>
          </w:tcPr>
          <w:p>
            <w:pPr>
              <w:pStyle w:val="CeldaAPA"/>
              <w:jc w:val="left"/>
            </w:pPr>
            <w:r>
              <w:rPr/>
              <w:t xml:space="preserve">NBDS 2023 (R. M. 271/2023), art. 12</w:t>
            </w:r>
          </w:p>
        </w:tc>
        <w:tc>
          <w:tcPr>
            <w:tcW w:w="2226" w:type="dxa"/>
          </w:tcPr>
          <w:p>
            <w:pPr>
              <w:pStyle w:val="CeldaAPA"/>
              <w:jc w:val="left"/>
            </w:pPr>
            <w:r>
              <w:rPr/>
              <w:t xml:space="preserve">Norma sísmica de aplicación obligatoria; losas de viguetas prefabricadas como diafragma rígido</w:t>
            </w:r>
          </w:p>
        </w:tc>
        <w:tc>
          <w:tcPr>
            <w:tcW w:w="2622" w:type="dxa"/>
          </w:tcPr>
          <w:p>
            <w:pPr>
              <w:pStyle w:val="CeldaAPA"/>
              <w:jc w:val="left"/>
            </w:pPr>
            <w:r>
              <w:rPr/>
              <w:t xml:space="preserve">Verificación de la altura, la carpeta, los apoyos y el hormigonado de la losa</w:t>
            </w:r>
          </w:p>
        </w:tc>
        <w:tc>
          <w:tcPr>
            <w:tcW w:w="2540" w:type="dxa"/>
          </w:tcPr>
          <w:p>
            <w:pPr>
              <w:pStyle w:val="CeldaAPA"/>
              <w:jc w:val="left"/>
            </w:pPr>
            <w:r>
              <w:rPr/>
              <w:t xml:space="preserve">MOPSV (2023, resuelve tercero; art. 12, p. 22)</w:t>
            </w:r>
          </w:p>
        </w:tc>
      </w:tr>
      <w:tr>
        <w:tc>
          <w:tcPr>
            <w:tcW w:w="1972" w:type="dxa"/>
          </w:tcPr>
          <w:p>
            <w:pPr>
              <w:pStyle w:val="CeldaAPA"/>
              <w:jc w:val="left"/>
            </w:pPr>
            <w:r>
              <w:rPr/>
              <w:t xml:space="preserve">NB 997:2016</w:t>
            </w:r>
          </w:p>
        </w:tc>
        <w:tc>
          <w:tcPr>
            <w:tcW w:w="2226" w:type="dxa"/>
          </w:tcPr>
          <w:p>
            <w:pPr>
              <w:pStyle w:val="CeldaAPA"/>
              <w:jc w:val="left"/>
            </w:pPr>
            <w:r>
              <w:rPr/>
              <w:t xml:space="preserve">Viguetas prefabricadas de hormigón pretensado: requisitos y métodos de ensayo</w:t>
            </w:r>
          </w:p>
        </w:tc>
        <w:tc>
          <w:tcPr>
            <w:tcW w:w="2622" w:type="dxa"/>
          </w:tcPr>
          <w:p>
            <w:pPr>
              <w:pStyle w:val="CeldaAPA"/>
              <w:jc w:val="left"/>
            </w:pPr>
            <w:r>
              <w:rPr/>
              <w:t xml:space="preserve">Recepción y liberación de viguetas por lote</w:t>
            </w:r>
          </w:p>
        </w:tc>
        <w:tc>
          <w:tcPr>
            <w:tcW w:w="2540" w:type="dxa"/>
          </w:tcPr>
          <w:p>
            <w:pPr>
              <w:pStyle w:val="CeldaAPA"/>
              <w:jc w:val="left"/>
            </w:pPr>
            <w:r>
              <w:rPr/>
              <w:t xml:space="preserve">IBNORCA (2016)</w:t>
            </w:r>
            <w:r>
              <w:rPr/>
              <w:t xml:space="preserve">;</w:t>
            </w:r>
            <w:r>
              <w:rPr/>
              <w:t xml:space="preserve"> </w:t>
            </w:r>
            <w:r>
              <w:rPr/>
              <w:t xml:space="preserve">PRETENSA (2025)</w:t>
            </w:r>
          </w:p>
        </w:tc>
      </w:tr>
      <w:tr>
        <w:tc>
          <w:tcPr>
            <w:tcW w:w="1972" w:type="dxa"/>
          </w:tcPr>
          <w:p>
            <w:pPr>
              <w:pStyle w:val="CeldaAPA"/>
              <w:jc w:val="left"/>
            </w:pPr>
            <w:r>
              <w:rPr/>
              <w:t xml:space="preserve">ASTM C172, C31 y C39</w:t>
            </w:r>
          </w:p>
        </w:tc>
        <w:tc>
          <w:tcPr>
            <w:tcW w:w="2226" w:type="dxa"/>
          </w:tcPr>
          <w:p>
            <w:pPr>
              <w:pStyle w:val="CeldaAPA"/>
              <w:jc w:val="left"/>
            </w:pPr>
            <w:r>
              <w:rPr/>
              <w:t xml:space="preserve">Muestreo del hormigón fresco, elaboración y curado de probetas, y ensayo de compresión</w:t>
            </w:r>
          </w:p>
        </w:tc>
        <w:tc>
          <w:tcPr>
            <w:tcW w:w="2622" w:type="dxa"/>
          </w:tcPr>
          <w:p>
            <w:pPr>
              <w:pStyle w:val="CeldaAPA"/>
              <w:jc w:val="left"/>
            </w:pPr>
            <w:r>
              <w:rPr/>
              <w:t xml:space="preserve">Plan de muestreo y ensayos de aceptación del hormigón</w:t>
            </w:r>
          </w:p>
        </w:tc>
        <w:tc>
          <w:tcPr>
            <w:tcW w:w="2540" w:type="dxa"/>
          </w:tcPr>
          <w:p>
            <w:pPr>
              <w:pStyle w:val="CeldaAPA"/>
              <w:jc w:val="left"/>
            </w:pPr>
            <w:r>
              <w:rPr/>
              <w:t xml:space="preserve">ACI Committee 318 (2025, Sección 26.12.1.1, p. 601)</w:t>
            </w:r>
          </w:p>
        </w:tc>
      </w:tr>
      <w:tr>
        <w:tc>
          <w:tcPr>
            <w:tcW w:w="1972" w:type="dxa"/>
          </w:tcPr>
          <w:p>
            <w:pPr>
              <w:pStyle w:val="CeldaAPA"/>
              <w:jc w:val="left"/>
            </w:pPr>
            <w:r>
              <w:rPr/>
              <w:t xml:space="preserve">ASTM C143</w:t>
            </w:r>
          </w:p>
        </w:tc>
        <w:tc>
          <w:tcPr>
            <w:tcW w:w="2226" w:type="dxa"/>
          </w:tcPr>
          <w:p>
            <w:pPr>
              <w:pStyle w:val="CeldaAPA"/>
              <w:jc w:val="left"/>
            </w:pPr>
            <w:r>
              <w:rPr/>
              <w:t xml:space="preserve">Asentamiento del hormigón fresco con el cono de Abrams</w:t>
            </w:r>
          </w:p>
        </w:tc>
        <w:tc>
          <w:tcPr>
            <w:tcW w:w="2622" w:type="dxa"/>
          </w:tcPr>
          <w:p>
            <w:pPr>
              <w:pStyle w:val="CeldaAPA"/>
              <w:jc w:val="left"/>
            </w:pPr>
            <w:r>
              <w:rPr/>
              <w:t xml:space="preserve">Control de la consistencia de cada pastón muestreado</w:t>
            </w:r>
          </w:p>
        </w:tc>
        <w:tc>
          <w:tcPr>
            <w:tcW w:w="2540" w:type="dxa"/>
          </w:tcPr>
          <w:p>
            <w:pPr>
              <w:pStyle w:val="CeldaAPA"/>
              <w:jc w:val="left"/>
            </w:pPr>
            <w:r>
              <w:rPr/>
              <w:t xml:space="preserve">Barrios C. (2021b, diapositiva 25)</w:t>
            </w:r>
            <w:r>
              <w:rPr/>
              <w:t xml:space="preserve">;</w:t>
            </w:r>
            <w:r>
              <w:rPr/>
              <w:t xml:space="preserve"> </w:t>
            </w:r>
            <w:r>
              <w:rPr/>
              <w:t xml:space="preserve">Fernando Aragón Ingeniería Estructural (2025, p. 9)</w:t>
            </w:r>
          </w:p>
        </w:tc>
      </w:tr>
      <w:tr>
        <w:tc>
          <w:tcPr>
            <w:tcW w:w="1972" w:type="dxa"/>
          </w:tcPr>
          <w:p>
            <w:pPr>
              <w:pStyle w:val="CeldaAPA"/>
              <w:jc w:val="left"/>
            </w:pPr>
            <w:r>
              <w:rPr/>
              <w:t xml:space="preserve">ASTM A615</w:t>
            </w:r>
          </w:p>
        </w:tc>
        <w:tc>
          <w:tcPr>
            <w:tcW w:w="2226" w:type="dxa"/>
          </w:tcPr>
          <w:p>
            <w:pPr>
              <w:pStyle w:val="CeldaAPA"/>
              <w:jc w:val="left"/>
            </w:pPr>
            <w:r>
              <w:rPr/>
              <w:t xml:space="preserve">Barras corrugadas de acero al carbono</w:t>
            </w:r>
          </w:p>
        </w:tc>
        <w:tc>
          <w:tcPr>
            <w:tcW w:w="2622" w:type="dxa"/>
          </w:tcPr>
          <w:p>
            <w:pPr>
              <w:pStyle w:val="CeldaAPA"/>
              <w:jc w:val="left"/>
            </w:pPr>
            <w:r>
              <w:rPr/>
              <w:t xml:space="preserve">Recepción del acero con certificado de fábrica</w:t>
            </w:r>
          </w:p>
        </w:tc>
        <w:tc>
          <w:tcPr>
            <w:tcW w:w="2540" w:type="dxa"/>
          </w:tcPr>
          <w:p>
            <w:pPr>
              <w:pStyle w:val="CeldaAPA"/>
              <w:jc w:val="left"/>
            </w:pPr>
            <w:r>
              <w:rPr/>
              <w:t xml:space="preserve">ACI Committee 318 (2025, Sección 20.2.1.3 y 26.6.1.2, pp. 409, 587)</w:t>
            </w:r>
          </w:p>
        </w:tc>
      </w:tr>
      <w:tr>
        <w:tc>
          <w:tcPr>
            <w:tcW w:w="9360" w:type="dxa"/>
            <w:gridSpan w:val="4"/>
          </w:tcPr>
          <w:p>
            <w:pPr>
              <w:pStyle w:val="CeldaAPA"/>
              <w:jc w:val="left"/>
            </w:pPr>
            <w:r>
              <w:rPr>
                <w:iCs/>
                <w:i/>
              </w:rPr>
              <w:t xml:space="preserve">Legislación de contratación pública</w:t>
            </w:r>
          </w:p>
        </w:tc>
      </w:tr>
      <w:tr>
        <w:tc>
          <w:tcPr>
            <w:tcW w:w="1972" w:type="dxa"/>
          </w:tcPr>
          <w:p>
            <w:pPr>
              <w:pStyle w:val="CeldaAPA"/>
              <w:jc w:val="left"/>
            </w:pPr>
            <w:r>
              <w:rPr/>
              <w:t xml:space="preserve">Ley 1178 (SAFCO)</w:t>
            </w:r>
          </w:p>
        </w:tc>
        <w:tc>
          <w:tcPr>
            <w:tcW w:w="2226" w:type="dxa"/>
          </w:tcPr>
          <w:p>
            <w:pPr>
              <w:pStyle w:val="CeldaAPA"/>
              <w:jc w:val="left"/>
            </w:pPr>
            <w:r>
              <w:rPr/>
              <w:t xml:space="preserve">Administración y control gubernamentales</w:t>
            </w:r>
          </w:p>
        </w:tc>
        <w:tc>
          <w:tcPr>
            <w:tcW w:w="2622" w:type="dxa"/>
          </w:tcPr>
          <w:p>
            <w:pPr>
              <w:pStyle w:val="CeldaAPA"/>
              <w:jc w:val="left"/>
            </w:pPr>
            <w:r>
              <w:rPr/>
              <w:t xml:space="preserve">Responsabilidad por la calidad de lo contratado; control interno previo</w:t>
            </w:r>
          </w:p>
        </w:tc>
        <w:tc>
          <w:tcPr>
            <w:tcW w:w="2540" w:type="dxa"/>
          </w:tcPr>
          <w:p>
            <w:pPr>
              <w:pStyle w:val="CeldaAPA"/>
              <w:jc w:val="left"/>
            </w:pPr>
            <w:r>
              <w:rPr/>
              <w:t xml:space="preserve">República de Bolivia (1990, arts. 10, 13 y 14)</w:t>
            </w:r>
          </w:p>
        </w:tc>
      </w:tr>
      <w:tr>
        <w:tc>
          <w:tcPr>
            <w:tcW w:w="1972" w:type="dxa"/>
          </w:tcPr>
          <w:p>
            <w:pPr>
              <w:pStyle w:val="CeldaAPA"/>
              <w:jc w:val="left"/>
            </w:pPr>
            <w:r>
              <w:rPr/>
              <w:t xml:space="preserve">D. S. 0181 (NB-SABS)</w:t>
            </w:r>
          </w:p>
        </w:tc>
        <w:tc>
          <w:tcPr>
            <w:tcW w:w="2226" w:type="dxa"/>
          </w:tcPr>
          <w:p>
            <w:pPr>
              <w:pStyle w:val="CeldaAPA"/>
              <w:jc w:val="left"/>
            </w:pPr>
            <w:r>
              <w:rPr/>
              <w:t xml:space="preserve">Normas básicas de contratación de bienes, obras y servicios</w:t>
            </w:r>
          </w:p>
        </w:tc>
        <w:tc>
          <w:tcPr>
            <w:tcW w:w="2622" w:type="dxa"/>
          </w:tcPr>
          <w:p>
            <w:pPr>
              <w:pStyle w:val="CeldaAPA"/>
              <w:jc w:val="left"/>
            </w:pPr>
            <w:r>
              <w:rPr/>
              <w:t xml:space="preserve">Contrato modificatorio</w:t>
            </w:r>
            <w:r>
              <w:rPr/>
              <w:t xml:space="preserve"> </w:t>
            </w:r>
            <m:oMath>
              <m:r>
                <m:rPr>
                  <m:sty m:val="p"/>
                </m:rPr>
                <m:t>≤</m:t>
              </m:r>
            </m:oMath>
            <w:r>
              <w:rPr/>
              <w:t xml:space="preserve"> </w:t>
            </w:r>
            <w:r>
              <w:rPr/>
              <w:t xml:space="preserve">10 %; orden de cambio</w:t>
            </w:r>
            <w:r>
              <w:rPr/>
              <w:t xml:space="preserve"> </w:t>
            </w:r>
            <m:oMath>
              <m:r>
                <m:rPr>
                  <m:sty m:val="p"/>
                </m:rPr>
                <m:t>≤</m:t>
              </m:r>
            </m:oMath>
            <w:r>
              <w:rPr/>
              <w:t xml:space="preserve"> </w:t>
            </w:r>
            <w:r>
              <w:rPr/>
              <w:t xml:space="preserve">5 %; ambos</w:t>
            </w:r>
            <w:r>
              <w:rPr/>
              <w:t xml:space="preserve"> </w:t>
            </w:r>
            <m:oMath>
              <m:r>
                <m:rPr>
                  <m:sty m:val="p"/>
                </m:rPr>
                <m:t>≤</m:t>
              </m:r>
            </m:oMath>
            <w:r>
              <w:rPr/>
              <w:t xml:space="preserve"> </w:t>
            </w:r>
            <w:r>
              <w:rPr/>
              <w:t xml:space="preserve">15 % en licitación pública (art. 89); recepción provisional y definitiva (art. 39)</w:t>
            </w:r>
          </w:p>
        </w:tc>
        <w:tc>
          <w:tcPr>
            <w:tcW w:w="2540" w:type="dxa"/>
          </w:tcPr>
          <w:p>
            <w:pPr>
              <w:pStyle w:val="CeldaAPA"/>
              <w:jc w:val="left"/>
            </w:pPr>
            <w:r>
              <w:rPr/>
              <w:t xml:space="preserve">MEFP (2025, pp. 54, 91–93)</w:t>
            </w:r>
          </w:p>
        </w:tc>
      </w:tr>
      <w:tr>
        <w:tc>
          <w:tcPr>
            <w:tcW w:w="1972" w:type="dxa"/>
          </w:tcPr>
          <w:p>
            <w:pPr>
              <w:pStyle w:val="CeldaAPA"/>
              <w:jc w:val="left"/>
            </w:pPr>
            <w:r>
              <w:rPr/>
              <w:t xml:space="preserve">R. M. 048/2024; modelo de DBC de 2022 (sustituido)</w:t>
            </w:r>
          </w:p>
        </w:tc>
        <w:tc>
          <w:tcPr>
            <w:tcW w:w="2226" w:type="dxa"/>
          </w:tcPr>
          <w:p>
            <w:pPr>
              <w:pStyle w:val="CeldaAPA"/>
              <w:jc w:val="left"/>
            </w:pPr>
            <w:r>
              <w:rPr/>
              <w:t xml:space="preserve">Modelos de documento base de contratación de obras</w:t>
            </w:r>
          </w:p>
        </w:tc>
        <w:tc>
          <w:tcPr>
            <w:tcW w:w="2622" w:type="dxa"/>
          </w:tcPr>
          <w:p>
            <w:pPr>
              <w:pStyle w:val="CeldaAPA"/>
              <w:jc w:val="left"/>
            </w:pPr>
            <w:r>
              <w:rPr/>
              <w:t xml:space="preserve">Supervisor y Fiscal, Libro de Órdenes, ensayos a cargo del contratista, medición neta y planillas</w:t>
            </w:r>
          </w:p>
        </w:tc>
        <w:tc>
          <w:tcPr>
            <w:tcW w:w="2540" w:type="dxa"/>
          </w:tcPr>
          <w:p>
            <w:pPr>
              <w:pStyle w:val="CeldaAPA"/>
              <w:jc w:val="left"/>
            </w:pPr>
            <w:r>
              <w:rPr/>
              <w:t xml:space="preserve">MEFP (2024)</w:t>
            </w:r>
            <w:r>
              <w:rPr/>
              <w:t xml:space="preserve">;</w:t>
            </w:r>
            <w:r>
              <w:rPr/>
              <w:t xml:space="preserve"> </w:t>
            </w:r>
            <w:r>
              <w:rPr/>
              <w:t xml:space="preserve">MEFP (2022, pp. 71–75)</w:t>
            </w:r>
          </w:p>
        </w:tc>
      </w:tr>
      <w:tr>
        <w:tc>
          <w:tcPr>
            <w:tcW w:w="1972" w:type="dxa"/>
          </w:tcPr>
          <w:p>
            <w:pPr>
              <w:pStyle w:val="CeldaAPA"/>
              <w:jc w:val="left"/>
            </w:pPr>
            <w:r>
              <w:rPr/>
              <w:t xml:space="preserve">D. S. 5321, 5406 y 5452 (2025)</w:t>
            </w:r>
          </w:p>
        </w:tc>
        <w:tc>
          <w:tcPr>
            <w:tcW w:w="2226" w:type="dxa"/>
          </w:tcPr>
          <w:p>
            <w:pPr>
              <w:pStyle w:val="CeldaAPA"/>
              <w:jc w:val="left"/>
            </w:pPr>
            <w:r>
              <w:rPr/>
              <w:t xml:space="preserve">Ajuste excepcional de precios de materiales importados</w:t>
            </w:r>
          </w:p>
        </w:tc>
        <w:tc>
          <w:tcPr>
            <w:tcW w:w="2622" w:type="dxa"/>
          </w:tcPr>
          <w:p>
            <w:pPr>
              <w:pStyle w:val="CeldaAPA"/>
              <w:jc w:val="left"/>
            </w:pPr>
            <w:r>
              <w:rPr/>
              <w:t xml:space="preserve">Contexto de precios; el modelo de la tesis usa precios constantes</w:t>
            </w:r>
          </w:p>
        </w:tc>
        <w:tc>
          <w:tcPr>
            <w:tcW w:w="2540" w:type="dxa"/>
          </w:tcPr>
          <w:p>
            <w:pPr>
              <w:pStyle w:val="CeldaAPA"/>
              <w:jc w:val="left"/>
            </w:pPr>
            <w:r>
              <w:rPr/>
              <w:t xml:space="preserve">Estado Plurinacional de Bolivia (2025a)</w:t>
            </w:r>
            <w:r>
              <w:rPr/>
              <w:t xml:space="preserve">;</w:t>
            </w:r>
            <w:r>
              <w:rPr/>
              <w:t xml:space="preserve"> </w:t>
            </w:r>
            <w:r>
              <w:rPr/>
              <w:t xml:space="preserve">Estado Plurinacional de Bolivia (2025b)</w:t>
            </w:r>
            <w:r>
              <w:rPr/>
              <w:t xml:space="preserve">;</w:t>
            </w:r>
            <w:r>
              <w:rPr/>
              <w:t xml:space="preserve"> </w:t>
            </w:r>
            <w:r>
              <w:rPr/>
              <w:t xml:space="preserve">Estado Plurinacional de Bolivia (2025c)</w:t>
            </w:r>
          </w:p>
        </w:tc>
      </w:tr>
      <w:tr>
        <w:tc>
          <w:tcPr>
            <w:tcW w:w="1972" w:type="dxa"/>
            <w:tcBorders>
              <w:bottom w:val="single" w:sz="8" w:space="0" w:color="000000"/>
            </w:tcBorders>
          </w:tcPr>
          <w:p>
            <w:pPr>
              <w:pStyle w:val="CeldaAPA"/>
              <w:jc w:val="left"/>
            </w:pPr>
            <w:r>
              <w:rPr/>
              <w:t xml:space="preserve">D. S. 5597 (2026)</w:t>
            </w:r>
          </w:p>
        </w:tc>
        <w:tc>
          <w:tcPr>
            <w:tcW w:w="2226" w:type="dxa"/>
            <w:tcBorders>
              <w:bottom w:val="single" w:sz="8" w:space="0" w:color="000000"/>
            </w:tcBorders>
          </w:tcPr>
          <w:p>
            <w:pPr>
              <w:pStyle w:val="CeldaAPA"/>
              <w:jc w:val="left"/>
            </w:pPr>
            <w:r>
              <w:rPr/>
              <w:t xml:space="preserve">Ajuste excepcional de precios de materiales, maquinaria y equipo; resolución por situación ajena a las partes</w:t>
            </w:r>
          </w:p>
        </w:tc>
        <w:tc>
          <w:tcPr>
            <w:tcW w:w="2622" w:type="dxa"/>
            <w:tcBorders>
              <w:bottom w:val="single" w:sz="8" w:space="0" w:color="000000"/>
            </w:tcBorders>
          </w:tcPr>
          <w:p>
            <w:pPr>
              <w:pStyle w:val="CeldaAPA"/>
              <w:jc w:val="left"/>
            </w:pPr>
            <w:r>
              <w:rPr/>
              <w:t xml:space="preserve">Contexto de la paralización y de la contratación del saldo de la obra</w:t>
            </w:r>
          </w:p>
        </w:tc>
        <w:tc>
          <w:tcPr>
            <w:tcW w:w="2540" w:type="dxa"/>
            <w:tcBorders>
              <w:bottom w:val="single" w:sz="8" w:space="0" w:color="000000"/>
            </w:tcBorders>
          </w:tcPr>
          <w:p>
            <w:pPr>
              <w:pStyle w:val="CeldaAPA"/>
              <w:jc w:val="left"/>
            </w:pPr>
            <w:r>
              <w:rPr/>
              <w:t xml:space="preserve">Estado Plurinacional de Bolivia (2026)</w:t>
            </w:r>
          </w:p>
        </w:tc>
      </w:tr>
    </w:tbl>
    <w:p>
      <w:pPr>
        <w:pStyle w:val="NotaAPA"/>
      </w:pPr>
      <w:r>
        <w:rPr>
          <w:iCs/>
          <w:i/>
        </w:rPr>
        <w:t xml:space="preserve">Nota.</w:t>
      </w:r>
      <w:r>
        <w:t xml:space="preserve"> </w:t>
      </w:r>
      <w:r>
        <w:t xml:space="preserve">Elaborado con base en las fuentes citadas. DBC: documento base de contratación; NBDS: Norma Boliviana de Diseño Sísmico; NB-SABS: Normas Básicas del Sistema de Administración de Bienes y Servicios.</w:t>
      </w:r>
    </w:p>
    <w:p>
      <w:pPr>
        <w:pStyle w:val="Heading2"/>
      </w:pPr>
      <w:bookmarkStart w:id="107" w:name="tit75"/>
      <w:r>
        <w:t xml:space="preserve">1.8. Control de costos en obras públicas</w:t>
      </w:r>
      <w:bookmarkEnd w:id="107"/>
    </w:p>
    <w:p>
      <w:pPr>
        <w:pStyle w:val="Heading3"/>
      </w:pPr>
      <w:bookmarkStart w:id="105" w:name="tit76"/>
      <w:r>
        <w:t xml:space="preserve">1.8.1. Análisis de precios unitarios</w:t>
      </w:r>
      <w:bookmarkEnd w:id="105"/>
    </w:p>
    <w:p>
      <w:pPr>
        <w:pStyle w:val="FirstParagraph"/>
      </w:pPr>
      <w:r>
        <w:t xml:space="preserve">En las obras públicas bolivianas, el costo de cada ítem se expresa en un análisis de precios unitarios (APU) con el formulario B-2 del modelo de documento base de contratación</w:t>
      </w:r>
      <w:r>
        <w:t xml:space="preserve"> </w:t>
      </w:r>
      <w:r>
        <w:t xml:space="preserve">(Cocarico Mamani, 2022, p. 257)</w:t>
      </w:r>
      <w:r>
        <w:t xml:space="preserve">, que suma a los costos directos —materiales, mano de obra y equipo— las incidencias de beneficios sociales, herramientas, gastos generales, utilidad e impuestos</w:t>
      </w:r>
      <w:r>
        <w:t xml:space="preserve"> </w:t>
      </w:r>
      <w:r>
        <w:t xml:space="preserve">(Cocarico Mamani, 2022, p. 254)</w:t>
      </w:r>
      <w:r>
        <w:t xml:space="preserve">. Como cada incidencia se aplica sobre una base distinta</w:t>
      </w:r>
      <w:r>
        <w:t xml:space="preserve"> </w:t>
      </w:r>
      <w:r>
        <w:t xml:space="preserve">(Cocarico Mamani, 2022, pp. 256–257)</w:t>
      </w:r>
      <w:r>
        <w:t xml:space="preserve">, el precio unitario resulta</w:t>
      </w:r>
    </w:p>
    <w:tbl>
      <w:tblPr>
        <w:tblW w:w="9360" w:type="dxa"/>
        <w:tblLayout w:type="fixed"/>
        <w:tblCellMar>
          <w:left w:w="0" w:type="dxa"/>
          <w:right w:w="0" w:type="dxa"/>
        </w:tblCellMar>
        <w:tblLook w:val="0000" w:firstRow="0" w:lastRow="0" w:firstColumn="0" w:lastColumn="0" w:noHBand="1" w:noVBand="1"/>
        <w:tblCaption w:val="Ecuación"/>
      </w:tblPr>
      <w:tblGrid>
        <w:gridCol w:w="1134"/>
        <w:gridCol w:w="7092"/>
        <w:gridCol w:w="1134"/>
      </w:tblGrid>
      <w:tr>
        <w:trPr>
          <w:cantSplit/>
        </w:trPr>
        <w:tc>
          <w:tcPr>
            <w:tcW w:w="1134" w:type="dxa"/>
            <w:vAlign w:val="center"/>
          </w:tcPr>
          <w:p>
            <w:pPr>
              <w:pStyle w:val="EcuacionAPA"/>
            </w:pPr>
          </w:p>
        </w:tc>
        <w:tc>
          <w:tcPr>
            <w:tcW w:w="7092" w:type="dxa"/>
            <w:vAlign w:val="center"/>
          </w:tcPr>
          <w:p>
            <w:pPr>
              <w:pStyle w:val="EcuacionAPA"/>
            </w:pPr>
            <m:oMathPara>
              <m:oMathParaPr>
                <m:jc m:val="center"/>
              </m:oMathParaPr>
              <m:oMath>
                <m:r>
                  <m:t>P</m:t>
                </m:r>
                <m:r>
                  <m:t>U</m:t>
                </m:r>
                <m:r>
                  <m:rPr>
                    <m:sty m:val="p"/>
                  </m:rPr>
                  <m:t>=</m:t>
                </m:r>
                <m:limLow>
                  <m:e>
                    <m:limLow>
                      <m:e>
                        <m:d>
                          <m:dPr>
                            <m:begChr m:val="["/>
                            <m:endChr m:val="]"/>
                            <m:sepChr m:val=""/>
                            <m:grow/>
                          </m:dPr>
                          <m:e>
                            <m:r>
                              <m:t>M</m:t>
                            </m:r>
                            <m:r>
                              <m:rPr>
                                <m:sty m:val="p"/>
                              </m:rPr>
                              <m:t>+</m:t>
                            </m:r>
                            <m:r>
                              <m:t>M</m:t>
                            </m:r>
                            <m:r>
                              <m:t>O</m:t>
                            </m:r>
                            <m:r>
                              <m:t> </m:t>
                            </m:r>
                            <m:d>
                              <m:dPr>
                                <m:begChr m:val="("/>
                                <m:endChr m:val=")"/>
                                <m:sepChr m:val=""/>
                                <m:grow/>
                              </m:dPr>
                              <m:e>
                                <m:r>
                                  <m:t>1</m:t>
                                </m:r>
                                <m:r>
                                  <m:rPr>
                                    <m:sty m:val="p"/>
                                  </m:rPr>
                                  <m:t>+</m:t>
                                </m:r>
                                <m:r>
                                  <m:t>b</m:t>
                                </m:r>
                              </m:e>
                            </m:d>
                            <m:d>
                              <m:dPr>
                                <m:begChr m:val="("/>
                                <m:endChr m:val=")"/>
                                <m:sepChr m:val=""/>
                                <m:grow/>
                              </m:dPr>
                              <m:e>
                                <m:r>
                                  <m:t>1</m:t>
                                </m:r>
                                <m:r>
                                  <m:rPr>
                                    <m:sty m:val="p"/>
                                  </m:rPr>
                                  <m:t>+</m:t>
                                </m:r>
                                <m:sSub>
                                  <m:e>
                                    <m:r>
                                      <m:t>i</m:t>
                                    </m:r>
                                  </m:e>
                                  <m:sub>
                                    <m:r>
                                      <m:t>v</m:t>
                                    </m:r>
                                  </m:sub>
                                </m:sSub>
                              </m:e>
                            </m:d>
                            <m:d>
                              <m:dPr>
                                <m:begChr m:val="("/>
                                <m:endChr m:val=")"/>
                                <m:sepChr m:val=""/>
                                <m:grow/>
                              </m:dPr>
                              <m:e>
                                <m:r>
                                  <m:t>1</m:t>
                                </m:r>
                                <m:r>
                                  <m:rPr>
                                    <m:sty m:val="p"/>
                                  </m:rPr>
                                  <m:t>+</m:t>
                                </m:r>
                                <m:r>
                                  <m:t>h</m:t>
                                </m:r>
                              </m:e>
                            </m:d>
                            <m:r>
                              <m:rPr>
                                <m:sty m:val="p"/>
                              </m:rPr>
                              <m:t>+</m:t>
                            </m:r>
                            <m:r>
                              <m:t>E</m:t>
                            </m:r>
                          </m:e>
                        </m:d>
                      </m:e>
                      <m:lim>
                        <m:r>
                          <m:rPr>
                            <m:sty m:val="p"/>
                          </m:rPr>
                          <m:t>⏟</m:t>
                        </m:r>
                      </m:lim>
                    </m:limLow>
                  </m:e>
                  <m:lim>
                    <m:r>
                      <m:t>C</m:t>
                    </m:r>
                    <m:r>
                      <m:t>D</m:t>
                    </m:r>
                  </m:lim>
                </m:limLow>
                <m:r>
                  <m:t> </m:t>
                </m:r>
                <m:d>
                  <m:dPr>
                    <m:begChr m:val="("/>
                    <m:endChr m:val=")"/>
                    <m:sepChr m:val=""/>
                    <m:grow/>
                  </m:dPr>
                  <m:e>
                    <m:r>
                      <m:t>1</m:t>
                    </m:r>
                    <m:r>
                      <m:rPr>
                        <m:sty m:val="p"/>
                      </m:rPr>
                      <m:t>+</m:t>
                    </m:r>
                    <m:r>
                      <m:t>g</m:t>
                    </m:r>
                  </m:e>
                </m:d>
                <m:r>
                  <m:t> </m:t>
                </m:r>
                <m:d>
                  <m:dPr>
                    <m:begChr m:val="("/>
                    <m:endChr m:val=")"/>
                    <m:sepChr m:val=""/>
                    <m:grow/>
                  </m:dPr>
                  <m:e>
                    <m:r>
                      <m:t>1</m:t>
                    </m:r>
                    <m:r>
                      <m:rPr>
                        <m:sty m:val="p"/>
                      </m:rPr>
                      <m:t>+</m:t>
                    </m:r>
                    <m:r>
                      <m:t>u</m:t>
                    </m:r>
                  </m:e>
                </m:d>
                <m:r>
                  <m:t> </m:t>
                </m:r>
                <m:d>
                  <m:dPr>
                    <m:begChr m:val="("/>
                    <m:endChr m:val=")"/>
                    <m:sepChr m:val=""/>
                    <m:grow/>
                  </m:dPr>
                  <m:e>
                    <m:r>
                      <m:t>1</m:t>
                    </m:r>
                    <m:r>
                      <m:rPr>
                        <m:sty m:val="p"/>
                      </m:rPr>
                      <m:t>+</m:t>
                    </m:r>
                    <m:r>
                      <m:t>t</m:t>
                    </m:r>
                  </m:e>
                </m:d>
              </m:oMath>
            </m:oMathPara>
          </w:p>
        </w:tc>
        <w:tc>
          <w:tcPr>
            <w:tcW w:w="1134" w:type="dxa"/>
            <w:vAlign w:val="center"/>
          </w:tcPr>
          <w:p>
            <w:pPr>
              <w:pStyle w:val="EcuacionAPA"/>
              <w:jc w:val="right"/>
            </w:pPr>
            <w:r>
              <w:t>(4)</w:t>
            </w:r>
          </w:p>
        </w:tc>
      </w:tr>
    </w:tbl>
    <w:p>
      <w:pPr>
        <w:pStyle w:val="FirstParagraph"/>
        <w:ind w:firstLine="0"/>
      </w:pPr>
      <w:r>
        <w:t xml:space="preserve"/>
      </w:r>
      <w:r>
        <w:t xml:space="preserve"/>
      </w:r>
      <w:r>
        <w:t xml:space="preserve">donde</w:t>
      </w:r>
      <w:r>
        <w:t xml:space="preserve"> </w:t>
      </w:r>
      <m:oMath>
        <m:r>
          <m:t>M</m:t>
        </m:r>
      </m:oMath>
      <w:r>
        <w:t xml:space="preserve"> </w:t>
      </w:r>
      <w:r>
        <w:t xml:space="preserve">es el costo de los materiales,</w:t>
      </w:r>
      <w:r>
        <w:t xml:space="preserve"> </w:t>
      </w:r>
      <m:oMath>
        <m:r>
          <m:t>M</m:t>
        </m:r>
        <m:r>
          <m:t>O</m:t>
        </m:r>
      </m:oMath>
      <w:r>
        <w:t xml:space="preserve"> </w:t>
      </w:r>
      <w:r>
        <w:t xml:space="preserve">el de la mano de obra,</w:t>
      </w:r>
      <w:r>
        <w:t xml:space="preserve"> </w:t>
      </w:r>
      <m:oMath>
        <m:r>
          <m:t>E</m:t>
        </m:r>
      </m:oMath>
      <w:r>
        <w:t xml:space="preserve"> </w:t>
      </w:r>
      <w:r>
        <w:t xml:space="preserve">el del equipo y la maquinaria,</w:t>
      </w:r>
      <w:r>
        <w:t xml:space="preserve"> </w:t>
      </w:r>
      <m:oMath>
        <m:r>
          <m:t>C</m:t>
        </m:r>
        <m:r>
          <m:t>D</m:t>
        </m:r>
      </m:oMath>
      <w:r>
        <w:t xml:space="preserve"> </w:t>
      </w:r>
      <w:r>
        <w:t xml:space="preserve">el costo directo, y</w:t>
      </w:r>
      <w:r>
        <w:t xml:space="preserve"> </w:t>
      </w:r>
      <m:oMath>
        <m:r>
          <m:t>b</m:t>
        </m:r>
      </m:oMath>
      <w:r>
        <w:t xml:space="preserve">,</w:t>
      </w:r>
      <w:r>
        <w:t xml:space="preserve"> </w:t>
      </w:r>
      <m:oMath>
        <m:sSub>
          <m:e>
            <m:r>
              <m:t>i</m:t>
            </m:r>
          </m:e>
          <m:sub>
            <m:r>
              <m:t>v</m:t>
            </m:r>
          </m:sub>
        </m:sSub>
      </m:oMath>
      <w:r>
        <w:t xml:space="preserve">,</w:t>
      </w:r>
      <w:r>
        <w:t xml:space="preserve"> </w:t>
      </w:r>
      <m:oMath>
        <m:r>
          <m:t>h</m:t>
        </m:r>
      </m:oMath>
      <w:r>
        <w:t xml:space="preserve">,</w:t>
      </w:r>
      <w:r>
        <w:t xml:space="preserve"> </w:t>
      </w:r>
      <m:oMath>
        <m:r>
          <m:t>g</m:t>
        </m:r>
      </m:oMath>
      <w:r>
        <w:t xml:space="preserve">,</w:t>
      </w:r>
      <w:r>
        <w:t xml:space="preserve"> </w:t>
      </w:r>
      <m:oMath>
        <m:r>
          <m:t>u</m:t>
        </m:r>
      </m:oMath>
      <w:r>
        <w:t xml:space="preserve"> </w:t>
      </w:r>
      <w:r>
        <w:t xml:space="preserve">y</w:t>
      </w:r>
      <w:r>
        <w:t xml:space="preserve"> </w:t>
      </w:r>
      <m:oMath>
        <m:r>
          <m:t>t</m:t>
        </m:r>
      </m:oMath>
      <w:r>
        <w:t xml:space="preserve"> </w:t>
      </w:r>
      <w:r>
        <w:t xml:space="preserve">las incidencias de beneficios sociales, impuesto al valor agregado, herramientas, gastos generales, utilidad e impuesto a las transacciones. En un APU boliviano documentado se adoptaron</w:t>
      </w:r>
      <w:r>
        <w:t xml:space="preserve"> </w:t>
      </w:r>
      <m:oMath>
        <m:r>
          <m:t>b</m:t>
        </m:r>
        <m:r>
          <m:rPr>
            <m:sty m:val="p"/>
          </m:rPr>
          <m:t>=</m:t>
        </m:r>
        <m:r>
          <m:t>71</m:t>
        </m:r>
        <m:r>
          <m:t> </m:t>
        </m:r>
        <m:r>
          <m:rPr>
            <m:sty m:val="p"/>
          </m:rPr>
          <m:t>%</m:t>
        </m:r>
      </m:oMath>
      <w:r>
        <w:t xml:space="preserve">,</w:t>
      </w:r>
      <w:r>
        <w:t xml:space="preserve"> </w:t>
      </w:r>
      <m:oMath>
        <m:r>
          <m:t>h</m:t>
        </m:r>
        <m:r>
          <m:rPr>
            <m:sty m:val="p"/>
          </m:rPr>
          <m:t>=</m:t>
        </m:r>
        <m:r>
          <m:t>5</m:t>
        </m:r>
        <m:r>
          <m:t> </m:t>
        </m:r>
        <m:r>
          <m:rPr>
            <m:sty m:val="p"/>
          </m:rPr>
          <m:t>%</m:t>
        </m:r>
      </m:oMath>
      <w:r>
        <w:t xml:space="preserve">,</w:t>
      </w:r>
      <w:r>
        <w:t xml:space="preserve"> </w:t>
      </w:r>
      <m:oMath>
        <m:r>
          <m:t>g</m:t>
        </m:r>
        <m:r>
          <m:rPr>
            <m:sty m:val="p"/>
          </m:rPr>
          <m:t>=</m:t>
        </m:r>
        <m:r>
          <m:t>13</m:t>
        </m:r>
        <m:r>
          <m:t> </m:t>
        </m:r>
        <m:r>
          <m:rPr>
            <m:sty m:val="p"/>
          </m:rPr>
          <m:t>%</m:t>
        </m:r>
      </m:oMath>
      <w:r>
        <w:t xml:space="preserve">,</w:t>
      </w:r>
      <w:r>
        <w:t xml:space="preserve"> </w:t>
      </w:r>
      <m:oMath>
        <m:r>
          <m:t>u</m:t>
        </m:r>
        <m:r>
          <m:rPr>
            <m:sty m:val="p"/>
          </m:rPr>
          <m:t>=</m:t>
        </m:r>
        <m:r>
          <m:t>10</m:t>
        </m:r>
        <m:r>
          <m:t> </m:t>
        </m:r>
        <m:r>
          <m:rPr>
            <m:sty m:val="p"/>
          </m:rPr>
          <m:t>%</m:t>
        </m:r>
      </m:oMath>
      <w:r>
        <w:t xml:space="preserve">,</w:t>
      </w:r>
      <w:r>
        <w:t xml:space="preserve"> </w:t>
      </w:r>
      <m:oMath>
        <m:sSub>
          <m:e>
            <m:r>
              <m:t>i</m:t>
            </m:r>
          </m:e>
          <m:sub>
            <m:r>
              <m:t>v</m:t>
            </m:r>
          </m:sub>
        </m:sSub>
        <m:r>
          <m:rPr>
            <m:sty m:val="p"/>
          </m:rPr>
          <m:t>=</m:t>
        </m:r>
        <m:r>
          <m:t>14</m:t>
        </m:r>
        <m:r>
          <m:rPr>
            <m:sty m:val="p"/>
          </m:rPr>
          <m:t>,</m:t>
        </m:r>
        <m:r>
          <m:t>94</m:t>
        </m:r>
        <m:r>
          <m:t> </m:t>
        </m:r>
        <m:r>
          <m:rPr>
            <m:sty m:val="p"/>
          </m:rPr>
          <m:t>%</m:t>
        </m:r>
      </m:oMath>
      <w:r>
        <w:t xml:space="preserve"> </w:t>
      </w:r>
      <w:r>
        <w:t xml:space="preserve">y</w:t>
      </w:r>
      <w:r>
        <w:t xml:space="preserve"> </w:t>
      </w:r>
      <m:oMath>
        <m:r>
          <m:t>t</m:t>
        </m:r>
        <m:r>
          <m:rPr>
            <m:sty m:val="p"/>
          </m:rPr>
          <m:t>=</m:t>
        </m:r>
        <m:r>
          <m:t>3</m:t>
        </m:r>
        <m:r>
          <m:rPr>
            <m:sty m:val="p"/>
          </m:rPr>
          <m:t>,</m:t>
        </m:r>
        <m:r>
          <m:t>09</m:t>
        </m:r>
        <m:r>
          <m:t> </m:t>
        </m:r>
        <m:r>
          <m:rPr>
            <m:sty m:val="p"/>
          </m:rPr>
          <m:t>%</m:t>
        </m:r>
      </m:oMath>
      <w:r>
        <w:t xml:space="preserve"> </w:t>
      </w:r>
      <w:r>
        <w:t xml:space="preserve">(Cocarico Mamani, 2022, p. 256)</w:t>
      </w:r>
      <w:r>
        <w:t xml:space="preserve">. Con esos valores, cada boliviano de costo directo se convierte en unos 1,28 bolivianos de precio unitario (cálculo propio:</w:t>
      </w:r>
      <w:r>
        <w:t xml:space="preserve"> </w:t>
      </w:r>
      <m:oMath>
        <m:r>
          <m:t>1</m:t>
        </m:r>
        <m:r>
          <m:rPr>
            <m:sty m:val="p"/>
          </m:rPr>
          <m:t>,</m:t>
        </m:r>
        <m:r>
          <m:t>13</m:t>
        </m:r>
        <m:r>
          <m:rPr>
            <m:sty m:val="p"/>
          </m:rPr>
          <m:t>×</m:t>
        </m:r>
        <m:r>
          <m:t>1</m:t>
        </m:r>
        <m:r>
          <m:rPr>
            <m:sty m:val="p"/>
          </m:rPr>
          <m:t>,</m:t>
        </m:r>
        <m:r>
          <m:t>10</m:t>
        </m:r>
        <m:r>
          <m:rPr>
            <m:sty m:val="p"/>
          </m:rPr>
          <m:t>×</m:t>
        </m:r>
        <m:r>
          <m:t>1</m:t>
        </m:r>
        <m:r>
          <m:rPr>
            <m:sty m:val="p"/>
          </m:rPr>
          <m:t>,</m:t>
        </m:r>
        <m:r>
          <m:t>0309</m:t>
        </m:r>
        <m:r>
          <m:rPr>
            <m:sty m:val="p"/>
          </m:rPr>
          <m:t>≈</m:t>
        </m:r>
        <m:r>
          <m:t>1</m:t>
        </m:r>
        <m:r>
          <m:rPr>
            <m:sty m:val="p"/>
          </m:rPr>
          <m:t>,</m:t>
        </m:r>
        <m:r>
          <m:t>281</m:t>
        </m:r>
      </m:oMath>
      <w:r>
        <w:t xml:space="preserve">). La ecuación muestra también que el desperdicio de materiales no solo aumenta</w:t>
      </w:r>
      <w:r>
        <w:t xml:space="preserve"> </w:t>
      </w:r>
      <m:oMath>
        <m:r>
          <m:t>M</m:t>
        </m:r>
      </m:oMath>
      <w:r>
        <w:t xml:space="preserve">: arrastra los gastos generales, la utilidad y los impuestos calculados sobre él.</w:t>
      </w:r>
    </w:p>
    <w:p>
      <w:pPr>
        <w:pStyle w:val="BodyText"/>
      </w:pPr>
      <w:r>
        <w:t xml:space="preserve">El efecto económico del desperdicio depende de quién lo absorbe. El porcentaje de pérdidas que el proponente incluye en las cantidades de su APU lo paga la entidad dentro del precio unitario; el desperdicio que excede ese porcentaje y el retrabajo los absorbe el contratista, porque el precio unitario es fijo. Si los costos de producción suben de forma imprevista, el constructor solo puede trasladarlos al cliente o reducir su margen</w:t>
      </w:r>
      <w:r>
        <w:t xml:space="preserve"> </w:t>
      </w:r>
      <w:r>
        <w:t xml:space="preserve">(Pons Achell, 2014, p. 24)</w:t>
      </w:r>
      <w:r>
        <w:t xml:space="preserve">; en un contrato público sin reajuste de precios, como el de la obra estudiada</w:t>
      </w:r>
      <w:r>
        <w:t xml:space="preserve"> </w:t>
      </w:r>
      <w:r>
        <w:t xml:space="preserve">(UATF, 2025, p. 95)</w:t>
      </w:r>
      <w:r>
        <w:t xml:space="preserve">, solo queda la segunda opción. Para la entidad, en cambio, el riesgo es pagar cantidades no ejecutadas o mal medidas.</w:t>
      </w:r>
    </w:p>
    <w:p>
      <w:pPr>
        <w:pStyle w:val="Heading3"/>
      </w:pPr>
      <w:bookmarkStart w:id="106" w:name="tit77"/>
      <w:r>
        <w:t xml:space="preserve">1.8.2. Cómputos métricos, planillas de avance y modificaciones</w:t>
      </w:r>
      <w:bookmarkEnd w:id="106"/>
    </w:p>
    <w:p>
      <w:pPr>
        <w:pStyle w:val="FirstParagraph"/>
      </w:pPr>
      <w:r>
        <w:t xml:space="preserve">Los cómputos métricos determinan las cantidades de cada ítem a partir de los planos, por elemento y por nivel</w:t>
      </w:r>
      <w:r>
        <w:t xml:space="preserve"> </w:t>
      </w:r>
      <w:r>
        <w:t xml:space="preserve">(Cocarico Mamani, 2022, p. 254)</w:t>
      </w:r>
      <w:r>
        <w:t xml:space="preserve">. Su criterio de medición debe estar definido de antemano: un pliego de especificaciones de referencia mide las losas con viguetas prefabricadas por metro cuadrado entre ejes de las vigas, y el volumen de hormigón como un ítem distinto</w:t>
      </w:r>
      <w:r>
        <w:t xml:space="preserve"> </w:t>
      </w:r>
      <w:r>
        <w:t xml:space="preserve">(Fernando Aragón Ingeniería Estructural, 2025, p. 19)</w:t>
      </w:r>
      <w:r>
        <w:t xml:space="preserve">, mientras que en la obra estudiada el ítem de la losa se paga por metro cuadrado</w:t>
      </w:r>
      <w:r>
        <w:t xml:space="preserve"> </w:t>
      </w:r>
      <w:r>
        <w:t xml:space="preserve">(UATF, 2025, p. 16)</w:t>
      </w:r>
      <w:r>
        <w:t xml:space="preserve"> </w:t>
      </w:r>
      <w:r>
        <w:t xml:space="preserve">e incluye el hormigón</w:t>
      </w:r>
      <w:r>
        <w:t xml:space="preserve"> </w:t>
      </w:r>
      <w:r>
        <w:t xml:space="preserve">(UATF, s. f.-a, p. 3)</w:t>
      </w:r>
      <w:r>
        <w:t xml:space="preserve">. El cómputo de la cantidad teórica es, además, la referencia del índice de desperdicio (ecuación 2).</w:t>
      </w:r>
    </w:p>
    <w:p>
      <w:pPr>
        <w:pStyle w:val="BodyText"/>
      </w:pPr>
      <w:r>
        <w:t xml:space="preserve">El pago sigue el avance de la obra: el contratista presenta cada mes una planilla o certificado de pago, que el Supervisor revisa y aprueba</w:t>
      </w:r>
      <w:r>
        <w:t xml:space="preserve"> </w:t>
      </w:r>
      <w:r>
        <w:t xml:space="preserve">(MEFP, 2022, cláusula 28, p. 75)</w:t>
      </w:r>
      <w:r>
        <w:t xml:space="preserve"> </w:t>
      </w:r>
      <w:r>
        <w:t xml:space="preserve">después de medir la obra junto con el contratista</w:t>
      </w:r>
      <w:r>
        <w:t xml:space="preserve"> </w:t>
      </w:r>
      <w:r>
        <w:t xml:space="preserve">(MEFP, 2022, cláusula 26.3, p. 72)</w:t>
      </w:r>
      <w:r>
        <w:t xml:space="preserve">. Las obras se miden netas, sin pagar volúmenes excedentes no aprobados por escrito</w:t>
      </w:r>
      <w:r>
        <w:t xml:space="preserve"> </w:t>
      </w:r>
      <w:r>
        <w:t xml:space="preserve">(MEFP, 2022, cláusula 27, p. 75)</w:t>
      </w:r>
      <w:r>
        <w:t xml:space="preserve">, y la planilla de cantidades finales debe basarse en la obra realmente ejecutada</w:t>
      </w:r>
      <w:r>
        <w:t xml:space="preserve"> </w:t>
      </w:r>
      <w:r>
        <w:t xml:space="preserve">(MEFP, 2022, cláusula 38.1, p. 86)</w:t>
      </w:r>
      <w:r>
        <w:t xml:space="preserve">; el Supervisor certifica los volúmenes y la calidad de los ítems ejecutados</w:t>
      </w:r>
      <w:r>
        <w:t xml:space="preserve"> </w:t>
      </w:r>
      <w:r>
        <w:t xml:space="preserve">(Cajías Luna, 2023, p. 14)</w:t>
      </w:r>
      <w:r>
        <w:t xml:space="preserve">.</w:t>
      </w:r>
    </w:p>
    <w:p>
      <w:pPr>
        <w:pStyle w:val="BodyText"/>
      </w:pPr>
      <w:r>
        <w:t xml:space="preserve">Los cambios de cantidades se formalizan con tres instrumentos. La orden de trabajo redistribuye cantidades sin cambiar el precio ni el plazo y sin crear ítems</w:t>
      </w:r>
      <w:r>
        <w:t xml:space="preserve"> </w:t>
      </w:r>
      <w:r>
        <w:t xml:space="preserve">(MEFP, 2022, p. 20)</w:t>
      </w:r>
      <w:r>
        <w:t xml:space="preserve">; la orden de cambio y el contrato modificatorio modifican el precio, el plazo o el alcance dentro de los límites del art. 89 de las NB-SABS (sección 1.7). Todos deben emitirse antes de ejecutar los trabajos y no sirven para regularizar lo ya ejecutado</w:t>
      </w:r>
      <w:r>
        <w:t xml:space="preserve"> </w:t>
      </w:r>
      <w:r>
        <w:t xml:space="preserve">(MEFP, 2022, cláusula 30.5, p. 78)</w:t>
      </w:r>
      <w:r>
        <w:t xml:space="preserve">. En el reajuste excepcional de precios, la variación de cada material es la diferencia entre su precio actual y el precio inicial del contrato, y el monto del ajuste es la suma de esas variaciones multiplicadas por las cantidades pendientes</w:t>
      </w:r>
      <w:r>
        <w:t xml:space="preserve"> </w:t>
      </w:r>
      <w:r>
        <w:t xml:space="preserve">(Estado Plurinacional de Bolivia, 2025c, art. 2)</w:t>
      </w:r>
      <w:r>
        <w:t xml:space="preserve">.</w:t>
      </w:r>
    </w:p>
    <w:p>
      <w:pPr>
        <w:pStyle w:val="BodyText"/>
      </w:pPr>
      <w:r>
        <w:t xml:space="preserve">Desde la gestión de la calidad, estos instrumentos tienen dos lecturas. La conciliación entre el cómputo teórico, la cantidad consumida y la cantidad pagada es un control de la calidad de la información, porque una diferencia no explicada revela desperdicio, sobremedición o un error de cómputo. Y las sobremediciones corregidas en planillas posteriores son fallas externas en el sentido del modelo PEF: se detectan después de que el producto —la planilla— fue entregado al cliente.</w:t>
      </w:r>
    </w:p>
    <w:p>
      <w:pPr>
        <w:pStyle w:val="Heading2"/>
      </w:pPr>
      <w:bookmarkStart w:id="108" w:name="tit78"/>
      <w:r>
        <w:t xml:space="preserve">1.9. Herramientas de la calidad</w:t>
      </w:r>
      <w:bookmarkEnd w:id="108"/>
    </w:p>
    <w:p>
      <w:pPr>
        <w:pStyle w:val="FirstParagraph"/>
      </w:pPr>
      <w:r>
        <w:t xml:space="preserve">Según la clasificación que recoge</w:t>
      </w:r>
      <w:r>
        <w:t xml:space="preserve"> </w:t>
      </w:r>
      <w:r>
        <w:t xml:space="preserve">Zurita Ferrel (2024, p. 26)</w:t>
      </w:r>
      <w:r>
        <w:t xml:space="preserve">, las herramientas básicas de la calidad son siete: la hoja de recogida de datos, el histograma, el diagrama de Pareto, el diagrama de causa y efecto, la estratificación, el diagrama de dispersión y el gráfico de control, a las que se suma el diagrama de flujo. Su valor está en su uso encadenado: la hoja de verificación produce los datos, el diagrama de Pareto prioriza los problemas, el diagrama de Ishikawa busca sus causas, y el histograma y la carta de control muestran si el proceso mejora. A ellas se agregan el plan de puntos de inspección, que organiza los controles de la obra, y la técnica 5W2H, que estructura las acciones de mejora (Tabla 14).</w:t>
      </w:r>
    </w:p>
    <w:p>
      <w:pPr>
        <w:pStyle w:val="Caption"/>
      </w:pPr>
      <w:bookmarkStart w:id="1421" w:name="tab14"/>
      <w:r>
        <w:t xml:space="preserve"/>
      </w:r>
      <w:r>
        <w:rPr>
          <w:bCs/>
          <w:b/>
        </w:rPr>
        <w:t xml:space="preserve">Tabla 14</w:t>
      </w:r>
      <w:r>
        <w:br/>
      </w:r>
      <w:r>
        <w:rPr>
          <w:iCs/>
          <w:i/>
        </w:rPr>
        <w:t xml:space="preserve">Herramientas de la calidad y su uso en esta tesis</w:t>
      </w:r>
      <w:bookmarkEnd w:id="1421"/>
    </w:p>
    <w:tbl>
      <w:tblPr>
        <w:tblStyle w:val="Table"/>
        <w:tblW w:w="9359" w:type="dxa"/>
        <w:jc w:val="left"/>
        <w:tblLayout w:type="fixed"/>
        <w:tblCellMar>
          <w:top w:w="0" w:type="dxa"/>
          <w:left w:w="85" w:type="dxa"/>
          <w:bottom w:w="0" w:type="dxa"/>
          <w:right w:w="85" w:type="dxa"/>
        </w:tblCellMar>
        <w:tblLook w:firstRow="1" w:lastRow="0" w:firstColumn="0" w:lastColumn="0" w:noHBand="0" w:noVBand="0" w:val="0020"/>
      </w:tblPr>
      <w:tblGrid>
        <w:gridCol w:w="1671"/>
        <w:gridCol w:w="2815"/>
        <w:gridCol w:w="3081"/>
        <w:gridCol w:w="1792"/>
      </w:tblGrid>
      <w:tr>
        <w:trPr>
          <w:cantSplit/>
          <w:tblHeader w:val="true"/>
        </w:trPr>
        <w:tc>
          <w:tcPr>
            <w:tcW w:w="1671" w:type="dxa"/>
            <w:tcBorders>
              <w:top w:val="single" w:sz="8" w:space="0" w:color="000000"/>
              <w:bottom w:val="single" w:sz="4" w:space="0" w:color="000000"/>
            </w:tcBorders>
          </w:tcPr>
          <w:p>
            <w:pPr>
              <w:pStyle w:val="CeldaAPA"/>
              <w:jc w:val="center"/>
            </w:pPr>
            <w:r>
              <w:rPr>
                <w:bCs/>
                <w:b/>
              </w:rPr>
              <w:t xml:space="preserve">Herramienta</w:t>
            </w:r>
          </w:p>
        </w:tc>
        <w:tc>
          <w:tcPr>
            <w:tcW w:w="2815" w:type="dxa"/>
            <w:tcBorders>
              <w:top w:val="single" w:sz="8" w:space="0" w:color="000000"/>
              <w:bottom w:val="single" w:sz="4" w:space="0" w:color="000000"/>
            </w:tcBorders>
          </w:tcPr>
          <w:p>
            <w:pPr>
              <w:pStyle w:val="CeldaAPA"/>
              <w:jc w:val="center"/>
            </w:pPr>
            <w:r>
              <w:rPr>
                <w:bCs/>
                <w:b/>
              </w:rPr>
              <w:t xml:space="preserve">Para qué sirve</w:t>
            </w:r>
          </w:p>
        </w:tc>
        <w:tc>
          <w:tcPr>
            <w:tcW w:w="3081" w:type="dxa"/>
            <w:tcBorders>
              <w:top w:val="single" w:sz="8" w:space="0" w:color="000000"/>
              <w:bottom w:val="single" w:sz="4" w:space="0" w:color="000000"/>
            </w:tcBorders>
          </w:tcPr>
          <w:p>
            <w:pPr>
              <w:pStyle w:val="CeldaAPA"/>
              <w:jc w:val="center"/>
            </w:pPr>
            <w:r>
              <w:rPr>
                <w:bCs/>
                <w:b/>
              </w:rPr>
              <w:t xml:space="preserve">Uso en esta tesis</w:t>
            </w:r>
          </w:p>
        </w:tc>
        <w:tc>
          <w:tcPr>
            <w:tcW w:w="1792" w:type="dxa"/>
            <w:tcBorders>
              <w:top w:val="single" w:sz="8" w:space="0" w:color="000000"/>
              <w:bottom w:val="single" w:sz="4" w:space="0" w:color="000000"/>
            </w:tcBorders>
          </w:tcPr>
          <w:p>
            <w:pPr>
              <w:pStyle w:val="CeldaAPA"/>
              <w:jc w:val="center"/>
            </w:pPr>
            <w:r>
              <w:rPr>
                <w:bCs/>
                <w:b/>
              </w:rPr>
              <w:t xml:space="preserve">Fuente</w:t>
            </w:r>
          </w:p>
        </w:tc>
      </w:tr>
      <w:tr>
        <w:tc>
          <w:tcPr>
            <w:tcW w:w="1671" w:type="dxa"/>
          </w:tcPr>
          <w:p>
            <w:pPr>
              <w:pStyle w:val="CeldaAPA"/>
              <w:jc w:val="left"/>
            </w:pPr>
            <w:r>
              <w:rPr/>
              <w:t xml:space="preserve">Hoja de verificación</w:t>
            </w:r>
          </w:p>
        </w:tc>
        <w:tc>
          <w:tcPr>
            <w:tcW w:w="2815" w:type="dxa"/>
          </w:tcPr>
          <w:p>
            <w:pPr>
              <w:pStyle w:val="CeldaAPA"/>
              <w:jc w:val="left"/>
            </w:pPr>
            <w:r>
              <w:rPr/>
              <w:t xml:space="preserve">Registrar datos de forma ordenada para distinguir hechos de opiniones y comprobar la repetición de un problema o defecto</w:t>
            </w:r>
          </w:p>
        </w:tc>
        <w:tc>
          <w:tcPr>
            <w:tcW w:w="3081" w:type="dxa"/>
          </w:tcPr>
          <w:p>
            <w:pPr>
              <w:pStyle w:val="CeldaAPA"/>
              <w:jc w:val="left"/>
            </w:pPr>
            <w:r>
              <w:rPr/>
              <w:t xml:space="preserve">Fichas de recepción de materiales, de consumo por paño y de inspección del PPI; lista de verificación de los requisitos de la ISO 9001</w:t>
            </w:r>
          </w:p>
        </w:tc>
        <w:tc>
          <w:tcPr>
            <w:tcW w:w="1792" w:type="dxa"/>
          </w:tcPr>
          <w:p>
            <w:pPr>
              <w:pStyle w:val="CeldaAPA"/>
              <w:jc w:val="left"/>
            </w:pPr>
            <w:r>
              <w:rPr/>
              <w:t xml:space="preserve">Gudiel Cairampoma y Solis Puente (2020, p. 27)</w:t>
            </w:r>
          </w:p>
        </w:tc>
      </w:tr>
      <w:tr>
        <w:tc>
          <w:tcPr>
            <w:tcW w:w="1671" w:type="dxa"/>
          </w:tcPr>
          <w:p>
            <w:pPr>
              <w:pStyle w:val="CeldaAPA"/>
              <w:jc w:val="left"/>
            </w:pPr>
            <w:r>
              <w:rPr/>
              <w:t xml:space="preserve">Diagrama de Pareto</w:t>
            </w:r>
          </w:p>
        </w:tc>
        <w:tc>
          <w:tcPr>
            <w:tcW w:w="2815" w:type="dxa"/>
          </w:tcPr>
          <w:p>
            <w:pPr>
              <w:pStyle w:val="CeldaAPA"/>
              <w:jc w:val="left"/>
            </w:pPr>
            <w:r>
              <w:rPr/>
              <w:t xml:space="preserve">Ordenar las causas o los defectos de mayor a menor frecuencia o costo para atender primero los pocos que explican la mayor parte del problema (regla 80/20)</w:t>
            </w:r>
          </w:p>
        </w:tc>
        <w:tc>
          <w:tcPr>
            <w:tcW w:w="3081" w:type="dxa"/>
          </w:tcPr>
          <w:p>
            <w:pPr>
              <w:pStyle w:val="CeldaAPA"/>
              <w:jc w:val="left"/>
            </w:pPr>
            <w:r>
              <w:rPr/>
              <w:t xml:space="preserve">Priorizar las no conformidades y las pérdidas de la línea base por su costo; elegir las partidas de control</w:t>
            </w:r>
          </w:p>
        </w:tc>
        <w:tc>
          <w:tcPr>
            <w:tcW w:w="1792" w:type="dxa"/>
          </w:tcPr>
          <w:p>
            <w:pPr>
              <w:pStyle w:val="CeldaAPA"/>
              <w:jc w:val="left"/>
            </w:pPr>
            <w:r>
              <w:rPr/>
              <w:t xml:space="preserve">Gudiel Cairampoma y Solis Puente (2020, pp. 32–35)</w:t>
            </w:r>
            <w:r>
              <w:rPr/>
              <w:t xml:space="preserve">;</w:t>
            </w:r>
            <w:r>
              <w:rPr/>
              <w:t xml:space="preserve"> </w:t>
            </w:r>
            <w:r>
              <w:rPr/>
              <w:t xml:space="preserve">Alfaro Félix (2011, p. 70)</w:t>
            </w:r>
          </w:p>
        </w:tc>
      </w:tr>
      <w:tr>
        <w:tc>
          <w:tcPr>
            <w:tcW w:w="1671" w:type="dxa"/>
          </w:tcPr>
          <w:p>
            <w:pPr>
              <w:pStyle w:val="CeldaAPA"/>
              <w:jc w:val="left"/>
            </w:pPr>
            <w:r>
              <w:rPr/>
              <w:t xml:space="preserve">Diagrama de Ishikawa</w:t>
            </w:r>
          </w:p>
        </w:tc>
        <w:tc>
          <w:tcPr>
            <w:tcW w:w="2815" w:type="dxa"/>
          </w:tcPr>
          <w:p>
            <w:pPr>
              <w:pStyle w:val="CeldaAPA"/>
              <w:jc w:val="left"/>
            </w:pPr>
            <w:r>
              <w:rPr/>
              <w:t xml:space="preserve">Representar las posibles causas de un problema agrupadas por categorías (materiales, personal, métodos, maquinaria)</w:t>
            </w:r>
          </w:p>
        </w:tc>
        <w:tc>
          <w:tcPr>
            <w:tcW w:w="3081" w:type="dxa"/>
          </w:tcPr>
          <w:p>
            <w:pPr>
              <w:pStyle w:val="CeldaAPA"/>
              <w:jc w:val="left"/>
            </w:pPr>
            <w:r>
              <w:rPr/>
              <w:t xml:space="preserve">Analizar las causas del desperdicio y de las no conformidades de la primera losa</w:t>
            </w:r>
          </w:p>
        </w:tc>
        <w:tc>
          <w:tcPr>
            <w:tcW w:w="1792" w:type="dxa"/>
          </w:tcPr>
          <w:p>
            <w:pPr>
              <w:pStyle w:val="CeldaAPA"/>
              <w:jc w:val="left"/>
            </w:pPr>
            <w:r>
              <w:rPr/>
              <w:t xml:space="preserve">Gudiel Cairampoma y Solis Puente (2020, pp. 29–31)</w:t>
            </w:r>
          </w:p>
        </w:tc>
      </w:tr>
      <w:tr>
        <w:tc>
          <w:tcPr>
            <w:tcW w:w="1671" w:type="dxa"/>
          </w:tcPr>
          <w:p>
            <w:pPr>
              <w:pStyle w:val="CeldaAPA"/>
              <w:jc w:val="left"/>
            </w:pPr>
            <w:r>
              <w:rPr/>
              <w:t xml:space="preserve">Histograma</w:t>
            </w:r>
          </w:p>
        </w:tc>
        <w:tc>
          <w:tcPr>
            <w:tcW w:w="2815" w:type="dxa"/>
          </w:tcPr>
          <w:p>
            <w:pPr>
              <w:pStyle w:val="CeldaAPA"/>
              <w:jc w:val="left"/>
            </w:pPr>
            <w:r>
              <w:rPr/>
              <w:t xml:space="preserve">Mostrar la distribución, la dispersión y la tendencia de un conjunto de mediciones</w:t>
            </w:r>
          </w:p>
        </w:tc>
        <w:tc>
          <w:tcPr>
            <w:tcW w:w="3081" w:type="dxa"/>
          </w:tcPr>
          <w:p>
            <w:pPr>
              <w:pStyle w:val="CeldaAPA"/>
              <w:jc w:val="left"/>
            </w:pPr>
            <w:r>
              <w:rPr/>
              <w:t xml:space="preserve">Distribución de las resistencias del hormigón y de la reducción del costo simulada</w:t>
            </w:r>
          </w:p>
        </w:tc>
        <w:tc>
          <w:tcPr>
            <w:tcW w:w="1792" w:type="dxa"/>
          </w:tcPr>
          <w:p>
            <w:pPr>
              <w:pStyle w:val="CeldaAPA"/>
              <w:jc w:val="left"/>
            </w:pPr>
            <w:r>
              <w:rPr/>
              <w:t xml:space="preserve">Gudiel Cairampoma y Solis Puente (2020, pp. 36–38)</w:t>
            </w:r>
          </w:p>
        </w:tc>
      </w:tr>
      <w:tr>
        <w:tc>
          <w:tcPr>
            <w:tcW w:w="1671" w:type="dxa"/>
          </w:tcPr>
          <w:p>
            <w:pPr>
              <w:pStyle w:val="CeldaAPA"/>
              <w:jc w:val="left"/>
            </w:pPr>
            <w:r>
              <w:rPr/>
              <w:t xml:space="preserve">Carta de control</w:t>
            </w:r>
          </w:p>
        </w:tc>
        <w:tc>
          <w:tcPr>
            <w:tcW w:w="2815" w:type="dxa"/>
          </w:tcPr>
          <w:p>
            <w:pPr>
              <w:pStyle w:val="CeldaAPA"/>
              <w:jc w:val="left"/>
            </w:pPr>
            <w:r>
              <w:rPr/>
              <w:t xml:space="preserve">Seguir en el tiempo la variabilidad de un proceso y distinguir las causas comunes de las especiales</w:t>
            </w:r>
          </w:p>
        </w:tc>
        <w:tc>
          <w:tcPr>
            <w:tcW w:w="3081" w:type="dxa"/>
          </w:tcPr>
          <w:p>
            <w:pPr>
              <w:pStyle w:val="CeldaAPA"/>
              <w:jc w:val="left"/>
            </w:pPr>
            <w:r>
              <w:rPr/>
              <w:t xml:space="preserve">Seguimiento del índice de desperdicio por vaciado y de las resistencias por losa</w:t>
            </w:r>
          </w:p>
        </w:tc>
        <w:tc>
          <w:tcPr>
            <w:tcW w:w="1792" w:type="dxa"/>
          </w:tcPr>
          <w:p>
            <w:pPr>
              <w:pStyle w:val="CeldaAPA"/>
              <w:jc w:val="left"/>
            </w:pPr>
            <w:r>
              <w:rPr/>
              <w:t xml:space="preserve">Aguilar Caseux y Torres Benites (2016, pp. 11–12)</w:t>
            </w:r>
            <w:r>
              <w:rPr/>
              <w:t xml:space="preserve">;</w:t>
            </w:r>
            <w:r>
              <w:rPr/>
              <w:t xml:space="preserve"> </w:t>
            </w:r>
            <w:r>
              <w:rPr/>
              <w:t xml:space="preserve">Formoso et al. (1999, p. 331)</w:t>
            </w:r>
          </w:p>
        </w:tc>
      </w:tr>
      <w:tr>
        <w:tc>
          <w:tcPr>
            <w:tcW w:w="1671" w:type="dxa"/>
          </w:tcPr>
          <w:p>
            <w:pPr>
              <w:pStyle w:val="CeldaAPA"/>
              <w:jc w:val="left"/>
            </w:pPr>
            <w:r>
              <w:rPr/>
              <w:t xml:space="preserve">Plan de puntos de inspección (PPI)</w:t>
            </w:r>
          </w:p>
        </w:tc>
        <w:tc>
          <w:tcPr>
            <w:tcW w:w="2815" w:type="dxa"/>
          </w:tcPr>
          <w:p>
            <w:pPr>
              <w:pStyle w:val="CeldaAPA"/>
              <w:jc w:val="left"/>
            </w:pPr>
            <w:r>
              <w:rPr/>
              <w:t xml:space="preserve">Definir para cada inspección el criterio de aprobación, el lote, la frecuencia, el responsable y los puntos de parada</w:t>
            </w:r>
          </w:p>
        </w:tc>
        <w:tc>
          <w:tcPr>
            <w:tcW w:w="3081" w:type="dxa"/>
          </w:tcPr>
          <w:p>
            <w:pPr>
              <w:pStyle w:val="CeldaAPA"/>
              <w:jc w:val="left"/>
            </w:pPr>
            <w:r>
              <w:rPr/>
              <w:t xml:space="preserve">PPI de la losa, con puntos de espera antes del vaciado y en la recepción de materiales (capítulo 2)</w:t>
            </w:r>
          </w:p>
        </w:tc>
        <w:tc>
          <w:tcPr>
            <w:tcW w:w="1792" w:type="dxa"/>
          </w:tcPr>
          <w:p>
            <w:pPr>
              <w:pStyle w:val="CeldaAPA"/>
              <w:jc w:val="left"/>
            </w:pPr>
            <w:r>
              <w:rPr/>
              <w:t xml:space="preserve">Muro Núñez (2020, anexo 4)</w:t>
            </w:r>
            <w:r>
              <w:rPr/>
              <w:t xml:space="preserve">;</w:t>
            </w:r>
            <w:r>
              <w:rPr/>
              <w:t xml:space="preserve"> </w:t>
            </w:r>
            <w:r>
              <w:rPr/>
              <w:t xml:space="preserve">Ferrer Lavado (2018, p. 64)</w:t>
            </w:r>
          </w:p>
        </w:tc>
      </w:tr>
      <w:tr>
        <w:tc>
          <w:tcPr>
            <w:tcW w:w="1671" w:type="dxa"/>
            <w:tcBorders>
              <w:bottom w:val="single" w:sz="8" w:space="0" w:color="000000"/>
            </w:tcBorders>
          </w:tcPr>
          <w:p>
            <w:pPr>
              <w:pStyle w:val="CeldaAPA"/>
              <w:jc w:val="left"/>
            </w:pPr>
            <w:r>
              <w:rPr/>
              <w:t xml:space="preserve">5W2H</w:t>
            </w:r>
          </w:p>
        </w:tc>
        <w:tc>
          <w:tcPr>
            <w:tcW w:w="2815" w:type="dxa"/>
            <w:tcBorders>
              <w:bottom w:val="single" w:sz="8" w:space="0" w:color="000000"/>
            </w:tcBorders>
          </w:tcPr>
          <w:p>
            <w:pPr>
              <w:pStyle w:val="CeldaAPA"/>
              <w:jc w:val="left"/>
            </w:pPr>
            <w:r>
              <w:rPr/>
              <w:t xml:space="preserve">Planificar una acción respondiendo qué, por qué, dónde, cuándo, quién, cómo y cuánto cuesta</w:t>
            </w:r>
          </w:p>
        </w:tc>
        <w:tc>
          <w:tcPr>
            <w:tcW w:w="3081" w:type="dxa"/>
            <w:tcBorders>
              <w:bottom w:val="single" w:sz="8" w:space="0" w:color="000000"/>
            </w:tcBorders>
          </w:tcPr>
          <w:p>
            <w:pPr>
              <w:pStyle w:val="CeldaAPA"/>
              <w:jc w:val="left"/>
            </w:pPr>
            <w:r>
              <w:rPr/>
              <w:t xml:space="preserve">Planes de acción correctiva de las no conformidades y del plan de implantación del SGC</w:t>
            </w:r>
          </w:p>
        </w:tc>
        <w:tc>
          <w:tcPr>
            <w:tcW w:w="1792" w:type="dxa"/>
            <w:tcBorders>
              <w:bottom w:val="single" w:sz="8" w:space="0" w:color="000000"/>
            </w:tcBorders>
          </w:tcPr>
          <w:p>
            <w:pPr>
              <w:pStyle w:val="CeldaAPA"/>
              <w:jc w:val="left"/>
            </w:pPr>
            <w:r>
              <w:rPr/>
              <w:t xml:space="preserve">Técnica de uso general</w:t>
            </w:r>
          </w:p>
        </w:tc>
      </w:tr>
    </w:tbl>
    <w:p>
      <w:pPr>
        <w:pStyle w:val="NotaAPA"/>
      </w:pPr>
      <w:r>
        <w:rPr>
          <w:iCs/>
          <w:i/>
        </w:rPr>
        <w:t xml:space="preserve">Nota.</w:t>
      </w:r>
      <w:r>
        <w:t xml:space="preserve"> </w:t>
      </w:r>
      <w:r>
        <w:t xml:space="preserve">Elaborado con base en las fuentes citadas; la columna de uso es de elaboración propia.</w:t>
      </w:r>
    </w:p>
    <w:p>
      <w:pPr>
        <w:pStyle w:val="BodyText"/>
      </w:pPr>
      <w:r>
        <w:t xml:space="preserve">En esta tesis, la hoja de verificación es la base de los registros del SGC: sin ella no hay datos para calcular el índice de desperdicio ni el costo de no calidad. El diagrama de Ishikawa ordena las causas de las pérdidas de la losa en las categorías de</w:t>
      </w:r>
      <w:r>
        <w:t xml:space="preserve"> </w:t>
      </w:r>
      <w:r>
        <w:t xml:space="preserve">Luangcharoenrat et al. (2019, pp. 12–13)</w:t>
      </w:r>
      <w:r>
        <w:t xml:space="preserve">, y el histograma y la carta de control se aplican a las resistencias del hormigón, cuya variabilidad fundamenta los criterios estadísticos de aceptación</w:t>
      </w:r>
      <w:r>
        <w:t xml:space="preserve"> </w:t>
      </w:r>
      <w:r>
        <w:t xml:space="preserve">(Alcón Aranda, 2009, p. 58)</w:t>
      </w:r>
      <w:r>
        <w:t xml:space="preserve">, y a los índices de desperdicio de cada vaciado, para distinguir una variación normal de una causa especial que exige acción</w:t>
      </w:r>
      <w:r>
        <w:t xml:space="preserve"> </w:t>
      </w:r>
      <w:r>
        <w:t xml:space="preserve">(Cepeda Godoy, 2017, p. 27)</w:t>
      </w:r>
      <w:r>
        <w:t xml:space="preserve">. La técnica 5W2H asegura que cada acción correctiva tenga responsable, plazo y costo, de modo que la mejora pueda verificarse.</w:t>
      </w:r>
    </w:p>
    <w:p>
      <w:pPr>
        <w:pStyle w:val="Heading2"/>
      </w:pPr>
      <w:bookmarkStart w:id="113" w:name="tit79"/>
      <w:r>
        <w:t xml:space="preserve">1.10. Evaluación</w:t>
      </w:r>
      <w:r>
        <w:t xml:space="preserve"> </w:t>
      </w:r>
      <w:r>
        <w:rPr>
          <w:iCs/>
          <w:i/>
        </w:rPr>
        <w:t xml:space="preserve">ex ante</w:t>
      </w:r>
      <w:r>
        <w:t xml:space="preserve"> </w:t>
      </w:r>
      <w:r>
        <w:t xml:space="preserve">y simulación</w:t>
      </w:r>
      <w:bookmarkEnd w:id="113"/>
    </w:p>
    <w:p>
      <w:pPr>
        <w:pStyle w:val="Heading3"/>
      </w:pPr>
      <w:bookmarkStart w:id="109" w:name="tit80"/>
      <w:r>
        <w:t xml:space="preserve">1.10.1. Modelo de simulación teórica con tratamiento de control</w:t>
      </w:r>
      <w:bookmarkEnd w:id="109"/>
    </w:p>
    <w:p>
      <w:pPr>
        <w:pStyle w:val="FirstParagraph"/>
      </w:pPr>
      <w:r>
        <w:t xml:space="preserve">La guía del docente reconoce cuatro tipos de modelo de investigación: el desarrollo teórico, la modelación teórica, la modelación experimental y la modelación de simulación teórica</w:t>
      </w:r>
      <w:r>
        <w:t xml:space="preserve"> </w:t>
      </w:r>
      <w:r>
        <w:t xml:space="preserve">(Barrios C., 2021c, diapositiva 4)</w:t>
      </w:r>
      <w:r>
        <w:t xml:space="preserve">. Todo modelo debe incluir un tratamiento de control que sirva de comparación, generalmente un no tratamiento</w:t>
      </w:r>
      <w:r>
        <w:t xml:space="preserve"> </w:t>
      </w:r>
      <w:r>
        <w:t xml:space="preserve">(Barrios C., 2021c, diapositiva 8)</w:t>
      </w:r>
      <w:r>
        <w:t xml:space="preserve">, y debe permitir calcular el grado de incertidumbre, es decir, la probabilidad de obtener los resultados observados solo por efecto del azar</w:t>
      </w:r>
      <w:r>
        <w:t xml:space="preserve"> </w:t>
      </w:r>
      <w:r>
        <w:t xml:space="preserve">(Barrios C., 2021c, diapositiva 9)</w:t>
      </w:r>
      <w:r>
        <w:t xml:space="preserve">. Su estructura avanza de la conceptualización y el alcance a la definición de factores y variables, el procedimiento y la toma de observaciones, la validación de las observaciones y el contraste de hipótesis y resultados</w:t>
      </w:r>
      <w:r>
        <w:t xml:space="preserve"> </w:t>
      </w:r>
      <w:r>
        <w:t xml:space="preserve">(Barrios C., 2021c, diapositiva 12)</w:t>
      </w:r>
      <w:r>
        <w:t xml:space="preserve">, secuencia que sigue el capítulo 2. En términos experimentales, la esencia de un experimento es la manipulación intencional de una acción para analizar sus posibles resultados</w:t>
      </w:r>
      <w:r>
        <w:t xml:space="preserve"> </w:t>
      </w:r>
      <w:r>
        <w:t xml:space="preserve">(Hernández-Sampieri y Mendoza Torres, 2018, p. 151)</w:t>
      </w:r>
      <w:r>
        <w:t xml:space="preserve">, y el grupo de control es el que no recibe el tratamiento</w:t>
      </w:r>
      <w:r>
        <w:t xml:space="preserve"> </w:t>
      </w:r>
      <w:r>
        <w:t xml:space="preserve">(Hernández-Sampieri y Mendoza Torres, 2018, p. 154)</w:t>
      </w:r>
      <w:r>
        <w:t xml:space="preserve">.</w:t>
      </w:r>
    </w:p>
    <w:p>
      <w:pPr>
        <w:pStyle w:val="BodyText"/>
      </w:pPr>
      <w:r>
        <w:t xml:space="preserve">Cuando el tratamiento no puede aplicarse en el objeto real, como ocurre con un SGC cuya obra se paralizó, la comparación se hace sobre un modelo. Una evaluación</w:t>
      </w:r>
      <w:r>
        <w:t xml:space="preserve"> </w:t>
      </w:r>
      <w:r>
        <w:rPr>
          <w:iCs/>
          <w:i/>
        </w:rPr>
        <w:t xml:space="preserve">ex ante</w:t>
      </w:r>
      <w:r>
        <w:t xml:space="preserve"> </w:t>
      </w:r>
      <w:r>
        <w:t xml:space="preserve">estima el efecto de una intervención antes de aplicarla: el sistema se representa con un modelo de costos, se simula sin SGC (control) y con SGC (tratamiento), y la diferencia se atribuye al tratamiento tal como el modelo lo representa. Su validez depende de que los supuestos y los parámetros sean explícitos, trazables y verificables, exigencia que no cumplen todos los antecedentes:</w:t>
      </w:r>
      <w:r>
        <w:t xml:space="preserve"> </w:t>
      </w:r>
      <w:r>
        <w:t xml:space="preserve">Chino Quispe y Zarate Chilqquetuma (2024, p. 148)</w:t>
      </w:r>
      <w:r>
        <w:t xml:space="preserve"> </w:t>
      </w:r>
      <w:r>
        <w:t xml:space="preserve">proyectaron un método de control del acero sobre niveles ya construidos con el método convencional, y</w:t>
      </w:r>
      <w:r>
        <w:t xml:space="preserve"> </w:t>
      </w:r>
      <w:r>
        <w:t xml:space="preserve">De la Vega Sernades (2023, pp. 23–24, 51–52)</w:t>
      </w:r>
      <w:r>
        <w:t xml:space="preserve"> </w:t>
      </w:r>
      <w:r>
        <w:t xml:space="preserve">simularon patrones de corte del acero sin informar el desperdicio de la línea base, lo que impide cuantificar la reducción.</w:t>
      </w:r>
    </w:p>
    <w:p>
      <w:pPr>
        <w:pStyle w:val="Heading3"/>
      </w:pPr>
      <w:bookmarkStart w:id="110" w:name="tit81"/>
      <w:r>
        <w:t xml:space="preserve">1.10.2. Método de Monte Carlo</w:t>
      </w:r>
      <w:bookmarkEnd w:id="110"/>
    </w:p>
    <w:p>
      <w:pPr>
        <w:pStyle w:val="FirstParagraph"/>
      </w:pPr>
      <w:r>
        <w:t xml:space="preserve">Sea</w:t>
      </w:r>
      <w:r>
        <w:t xml:space="preserve"> </w:t>
      </w:r>
      <m:oMath>
        <m:r>
          <m:t>Y</m:t>
        </m:r>
        <m:r>
          <m:rPr>
            <m:sty m:val="p"/>
          </m:rPr>
          <m:t>=</m:t>
        </m:r>
        <m:r>
          <m:t>g</m:t>
        </m:r>
        <m:d>
          <m:dPr>
            <m:begChr m:val="("/>
            <m:endChr m:val=")"/>
            <m:sepChr m:val=""/>
            <m:grow/>
          </m:dPr>
          <m:e>
            <m:sSub>
              <m:e>
                <m:r>
                  <m:t>X</m:t>
                </m:r>
              </m:e>
              <m:sub>
                <m:r>
                  <m:t>1</m:t>
                </m:r>
              </m:sub>
            </m:sSub>
            <m:r>
              <m:rPr>
                <m:sty m:val="p"/>
              </m:rPr>
              <m:t>,</m:t>
            </m:r>
            <m:r>
              <m:rPr>
                <m:sty m:val="p"/>
              </m:rPr>
              <m:t>…</m:t>
            </m:r>
            <m:r>
              <m:rPr>
                <m:sty m:val="p"/>
              </m:rPr>
              <m:t>,</m:t>
            </m:r>
            <m:sSub>
              <m:e>
                <m:r>
                  <m:t>X</m:t>
                </m:r>
              </m:e>
              <m:sub>
                <m:r>
                  <m:t>k</m:t>
                </m:r>
              </m:sub>
            </m:sSub>
          </m:e>
        </m:d>
      </m:oMath>
      <w:r>
        <w:t xml:space="preserve"> </w:t>
      </w:r>
      <w:r>
        <w:t xml:space="preserve">una variable de salida cuyas entradas</w:t>
      </w:r>
      <w:r>
        <w:t xml:space="preserve"> </w:t>
      </w:r>
      <m:oMath>
        <m:sSub>
          <m:e>
            <m:r>
              <m:t>X</m:t>
            </m:r>
          </m:e>
          <m:sub>
            <m:r>
              <m:t>j</m:t>
            </m:r>
          </m:sub>
        </m:sSub>
      </m:oMath>
      <w:r>
        <w:t xml:space="preserve"> </w:t>
      </w:r>
      <w:r>
        <w:t xml:space="preserve">son inciertas y se representan con distribuciones de probabilidad; el método de Monte Carlo estima la distribución de</w:t>
      </w:r>
      <w:r>
        <w:t xml:space="preserve"> </w:t>
      </w:r>
      <m:oMath>
        <m:r>
          <m:t>Y</m:t>
        </m:r>
      </m:oMath>
      <w:r>
        <w:t xml:space="preserve"> </w:t>
      </w:r>
      <w:r>
        <w:t xml:space="preserve">por muestreo aleatorio. Consta de cinco pasos: formular el modelo determinista</w:t>
      </w:r>
      <w:r>
        <w:t xml:space="preserve"> </w:t>
      </w:r>
      <m:oMath>
        <m:r>
          <m:t>g</m:t>
        </m:r>
      </m:oMath>
      <w:r>
        <w:t xml:space="preserve">; asignar a cada entrada incierta una distribución; generar</w:t>
      </w:r>
      <w:r>
        <w:t xml:space="preserve"> </w:t>
      </w:r>
      <m:oMath>
        <m:r>
          <m:t>N</m:t>
        </m:r>
      </m:oMath>
      <w:r>
        <w:t xml:space="preserve"> </w:t>
      </w:r>
      <w:r>
        <w:t xml:space="preserve">juegos de valores aleatorios de las entradas; calcular</w:t>
      </w:r>
      <w:r>
        <w:t xml:space="preserve"> </w:t>
      </w:r>
      <m:oMath>
        <m:r>
          <m:t>Y</m:t>
        </m:r>
      </m:oMath>
      <w:r>
        <w:t xml:space="preserve"> </w:t>
      </w:r>
      <w:r>
        <w:t xml:space="preserve">para cada juego; y analizar la muestra</w:t>
      </w:r>
      <w:r>
        <w:t xml:space="preserve"> </w:t>
      </w:r>
      <m:oMath>
        <m:r>
          <m:rPr>
            <m:sty m:val="p"/>
          </m:rPr>
          <m:t>{</m:t>
        </m:r>
        <m:sSub>
          <m:e>
            <m:r>
              <m:t>Y</m:t>
            </m:r>
          </m:e>
          <m:sub>
            <m:r>
              <m:t>1</m:t>
            </m:r>
          </m:sub>
        </m:sSub>
        <m:r>
          <m:rPr>
            <m:sty m:val="p"/>
          </m:rPr>
          <m:t>,</m:t>
        </m:r>
        <m:r>
          <m:rPr>
            <m:sty m:val="p"/>
          </m:rPr>
          <m:t>…</m:t>
        </m:r>
        <m:r>
          <m:rPr>
            <m:sty m:val="p"/>
          </m:rPr>
          <m:t>,</m:t>
        </m:r>
        <m:sSub>
          <m:e>
            <m:r>
              <m:t>Y</m:t>
            </m:r>
          </m:e>
          <m:sub>
            <m:r>
              <m:t>N</m:t>
            </m:r>
          </m:sub>
        </m:sSub>
        <m:r>
          <m:rPr>
            <m:sty m:val="p"/>
          </m:rPr>
          <m:t>}</m:t>
        </m:r>
      </m:oMath>
      <w:r>
        <w:t xml:space="preserve"> </w:t>
      </w:r>
      <w:r>
        <w:t xml:space="preserve">mediante su media, su desviación estándar, sus percentiles y las probabilidades de interés. La media y una probabilidad se estiman, con sus errores estándar, como</w:t>
      </w:r>
    </w:p>
    <w:tbl>
      <w:tblPr>
        <w:tblW w:w="9360" w:type="dxa"/>
        <w:tblLayout w:type="fixed"/>
        <w:tblCellMar>
          <w:left w:w="0" w:type="dxa"/>
          <w:right w:w="0" w:type="dxa"/>
        </w:tblCellMar>
        <w:tblLook w:val="0000" w:firstRow="0" w:lastRow="0" w:firstColumn="0" w:lastColumn="0" w:noHBand="1" w:noVBand="1"/>
        <w:tblCaption w:val="Ecuación"/>
      </w:tblPr>
      <w:tblGrid>
        <w:gridCol w:w="1134"/>
        <w:gridCol w:w="7092"/>
        <w:gridCol w:w="1134"/>
      </w:tblGrid>
      <w:tr>
        <w:trPr>
          <w:cantSplit/>
        </w:trPr>
        <w:tc>
          <w:tcPr>
            <w:tcW w:w="1134" w:type="dxa"/>
            <w:vAlign w:val="center"/>
          </w:tcPr>
          <w:p>
            <w:pPr>
              <w:pStyle w:val="EcuacionAPA"/>
            </w:pPr>
          </w:p>
        </w:tc>
        <w:tc>
          <w:tcPr>
            <w:tcW w:w="7092" w:type="dxa"/>
            <w:vAlign w:val="center"/>
          </w:tcPr>
          <w:p>
            <w:pPr>
              <w:pStyle w:val="EcuacionAPA"/>
            </w:pPr>
            <m:oMathPara>
              <m:oMathParaPr>
                <m:jc m:val="center"/>
              </m:oMathParaPr>
              <m:oMath>
                <m:sSub>
                  <m:e>
                    <m:acc>
                      <m:accPr>
                        <m:chr m:val="‾"/>
                      </m:accPr>
                      <m:e>
                        <m:r>
                          <m:t>Y</m:t>
                        </m:r>
                      </m:e>
                    </m:acc>
                  </m:e>
                  <m:sub>
                    <m:r>
                      <m:t>N</m:t>
                    </m:r>
                  </m:sub>
                </m:sSub>
                <m:r>
                  <m:rPr>
                    <m:sty m:val="p"/>
                  </m:rPr>
                  <m:t>=</m:t>
                </m:r>
                <m:f>
                  <m:fPr>
                    <m:type m:val="bar"/>
                  </m:fPr>
                  <m:num>
                    <m:r>
                      <m:t>1</m:t>
                    </m:r>
                  </m:num>
                  <m:den>
                    <m:r>
                      <m:t>N</m:t>
                    </m:r>
                  </m:den>
                </m:f>
                <m:nary>
                  <m:naryPr>
                    <m:chr m:val="∑"/>
                    <m:limLoc m:val="undOvr"/>
                    <m:subHide m:val="off"/>
                    <m:supHide m:val="off"/>
                  </m:naryPr>
                  <m:sub>
                    <m:r>
                      <m:t>k</m:t>
                    </m:r>
                    <m:r>
                      <m:rPr>
                        <m:sty m:val="p"/>
                      </m:rPr>
                      <m:t>=</m:t>
                    </m:r>
                    <m:r>
                      <m:t>1</m:t>
                    </m:r>
                  </m:sub>
                  <m:sup>
                    <m:r>
                      <m:t>N</m:t>
                    </m:r>
                  </m:sup>
                  <m:e>
                    <m:sSub>
                      <m:e>
                        <m:r>
                          <m:t>Y</m:t>
                        </m:r>
                      </m:e>
                      <m:sub>
                        <m:r>
                          <m:t>k</m:t>
                        </m:r>
                      </m:sub>
                    </m:sSub>
                  </m:e>
                </m:nary>
                <m:r>
                  <m:rPr>
                    <m:sty m:val="p"/>
                  </m:rPr>
                  <m:t>,</m:t>
                </m:r>
                <m:r>
                  <m:t>  </m:t>
                </m:r>
                <m:r>
                  <m:t>E</m:t>
                </m:r>
                <m:r>
                  <m:t>E</m:t>
                </m:r>
                <m:r>
                  <m:t>​</m:t>
                </m:r>
                <m:d>
                  <m:dPr>
                    <m:begChr m:val="("/>
                    <m:endChr m:val=")"/>
                    <m:sepChr m:val=""/>
                    <m:grow/>
                  </m:dPr>
                  <m:e>
                    <m:sSub>
                      <m:e>
                        <m:acc>
                          <m:accPr>
                            <m:chr m:val="‾"/>
                          </m:accPr>
                          <m:e>
                            <m:r>
                              <m:t>Y</m:t>
                            </m:r>
                          </m:e>
                        </m:acc>
                      </m:e>
                      <m:sub>
                        <m:r>
                          <m:t>N</m:t>
                        </m:r>
                      </m:sub>
                    </m:sSub>
                  </m:e>
                </m:d>
                <m:r>
                  <m:rPr>
                    <m:sty m:val="p"/>
                  </m:rPr>
                  <m:t>=</m:t>
                </m:r>
                <m:f>
                  <m:fPr>
                    <m:type m:val="bar"/>
                  </m:fPr>
                  <m:num>
                    <m:sSub>
                      <m:e>
                        <m:r>
                          <m:t>s</m:t>
                        </m:r>
                      </m:e>
                      <m:sub>
                        <m:r>
                          <m:t>Y</m:t>
                        </m:r>
                      </m:sub>
                    </m:sSub>
                  </m:num>
                  <m:den>
                    <m:rad>
                      <m:radPr>
                        <m:degHide m:val="on"/>
                      </m:radPr>
                      <m:deg/>
                      <m:e>
                        <m:r>
                          <m:t>N</m:t>
                        </m:r>
                      </m:e>
                    </m:rad>
                  </m:den>
                </m:f>
                <m:r>
                  <m:rPr>
                    <m:sty m:val="p"/>
                  </m:rPr>
                  <m:t>,</m:t>
                </m:r>
                <m:r>
                  <m:t>  </m:t>
                </m:r>
                <m:acc>
                  <m:accPr>
                    <m:chr m:val="̂"/>
                  </m:accPr>
                  <m:e>
                    <m:r>
                      <m:t>p</m:t>
                    </m:r>
                  </m:e>
                </m:acc>
                <m:r>
                  <m:rPr>
                    <m:sty m:val="p"/>
                  </m:rPr>
                  <m:t>=</m:t>
                </m:r>
                <m:f>
                  <m:fPr>
                    <m:type m:val="bar"/>
                  </m:fPr>
                  <m:num>
                    <m:r>
                      <m:t>1</m:t>
                    </m:r>
                  </m:num>
                  <m:den>
                    <m:r>
                      <m:t>N</m:t>
                    </m:r>
                  </m:den>
                </m:f>
                <m:nary>
                  <m:naryPr>
                    <m:chr m:val="∑"/>
                    <m:limLoc m:val="undOvr"/>
                    <m:subHide m:val="off"/>
                    <m:supHide m:val="off"/>
                  </m:naryPr>
                  <m:sub>
                    <m:r>
                      <m:t>k</m:t>
                    </m:r>
                    <m:r>
                      <m:rPr>
                        <m:sty m:val="p"/>
                      </m:rPr>
                      <m:t>=</m:t>
                    </m:r>
                    <m:r>
                      <m:t>1</m:t>
                    </m:r>
                  </m:sub>
                  <m:sup>
                    <m:r>
                      <m:t>N</m:t>
                    </m:r>
                  </m:sup>
                  <m:e>
                    <m:r>
                      <m:rPr>
                        <m:sty m:val="b"/>
                      </m:rPr>
                      <m:t>1</m:t>
                    </m:r>
                  </m:e>
                </m:nary>
                <m:r>
                  <m:t>​</m:t>
                </m:r>
                <m:d>
                  <m:dPr>
                    <m:begChr m:val="("/>
                    <m:endChr m:val=")"/>
                    <m:sepChr m:val=""/>
                    <m:grow/>
                  </m:dPr>
                  <m:e>
                    <m:sSub>
                      <m:e>
                        <m:r>
                          <m:t>r</m:t>
                        </m:r>
                      </m:e>
                      <m:sub>
                        <m:r>
                          <m:t>k</m:t>
                        </m:r>
                      </m:sub>
                    </m:sSub>
                    <m:r>
                      <m:rPr>
                        <m:sty m:val="p"/>
                      </m:rPr>
                      <m:t>≥</m:t>
                    </m:r>
                    <m:sSup>
                      <m:e>
                        <m:r>
                          <m:t>r</m:t>
                        </m:r>
                      </m:e>
                      <m:sup>
                        <m:r>
                          <m:rPr>
                            <m:sty m:val="p"/>
                          </m:rPr>
                          <m:t>*</m:t>
                        </m:r>
                      </m:sup>
                    </m:sSup>
                  </m:e>
                </m:d>
                <m:r>
                  <m:rPr>
                    <m:sty m:val="p"/>
                  </m:rPr>
                  <m:t>,</m:t>
                </m:r>
                <m:r>
                  <m:t>  </m:t>
                </m:r>
                <m:r>
                  <m:t>E</m:t>
                </m:r>
                <m:r>
                  <m:t>E</m:t>
                </m:r>
                <m:r>
                  <m:t>​</m:t>
                </m:r>
                <m:d>
                  <m:dPr>
                    <m:begChr m:val="("/>
                    <m:endChr m:val=")"/>
                    <m:sepChr m:val=""/>
                    <m:grow/>
                  </m:dPr>
                  <m:e>
                    <m:acc>
                      <m:accPr>
                        <m:chr m:val="̂"/>
                      </m:accPr>
                      <m:e>
                        <m:r>
                          <m:t>p</m:t>
                        </m:r>
                      </m:e>
                    </m:acc>
                  </m:e>
                </m:d>
                <m:r>
                  <m:rPr>
                    <m:sty m:val="p"/>
                  </m:rPr>
                  <m:t>=</m:t>
                </m:r>
                <m:rad>
                  <m:radPr>
                    <m:degHide m:val="on"/>
                  </m:radPr>
                  <m:deg/>
                  <m:e>
                    <m:f>
                      <m:fPr>
                        <m:type m:val="bar"/>
                      </m:fPr>
                      <m:num>
                        <m:acc>
                          <m:accPr>
                            <m:chr m:val="̂"/>
                          </m:accPr>
                          <m:e>
                            <m:r>
                              <m:t>p</m:t>
                            </m:r>
                          </m:e>
                        </m:acc>
                        <m:r>
                          <m:t> </m:t>
                        </m:r>
                        <m:d>
                          <m:dPr>
                            <m:begChr m:val="("/>
                            <m:endChr m:val=")"/>
                            <m:sepChr m:val=""/>
                            <m:grow/>
                          </m:dPr>
                          <m:e>
                            <m:r>
                              <m:t>1</m:t>
                            </m:r>
                            <m:r>
                              <m:rPr>
                                <m:sty m:val="p"/>
                              </m:rPr>
                              <m:t>−</m:t>
                            </m:r>
                            <m:acc>
                              <m:accPr>
                                <m:chr m:val="̂"/>
                              </m:accPr>
                              <m:e>
                                <m:r>
                                  <m:t>p</m:t>
                                </m:r>
                              </m:e>
                            </m:acc>
                          </m:e>
                        </m:d>
                      </m:num>
                      <m:den>
                        <m:r>
                          <m:t>N</m:t>
                        </m:r>
                      </m:den>
                    </m:f>
                  </m:e>
                </m:rad>
              </m:oMath>
            </m:oMathPara>
          </w:p>
        </w:tc>
        <w:tc>
          <w:tcPr>
            <w:tcW w:w="1134" w:type="dxa"/>
            <w:vAlign w:val="center"/>
          </w:tcPr>
          <w:p>
            <w:pPr>
              <w:pStyle w:val="EcuacionAPA"/>
              <w:jc w:val="right"/>
            </w:pPr>
            <w:r>
              <w:t>(5)</w:t>
            </w:r>
          </w:p>
        </w:tc>
      </w:tr>
    </w:tbl>
    <w:p>
      <w:pPr>
        <w:pStyle w:val="FirstParagraph"/>
        <w:ind w:firstLine="0"/>
      </w:pPr>
      <w:r>
        <w:t xml:space="preserve"/>
      </w:r>
      <w:r>
        <w:t xml:space="preserve"/>
      </w:r>
      <w:r>
        <w:t xml:space="preserve">donde</w:t>
      </w:r>
      <w:r>
        <w:t xml:space="preserve"> </w:t>
      </w:r>
      <m:oMath>
        <m:sSub>
          <m:e>
            <m:r>
              <m:t>s</m:t>
            </m:r>
          </m:e>
          <m:sub>
            <m:r>
              <m:t>Y</m:t>
            </m:r>
          </m:sub>
        </m:sSub>
      </m:oMath>
      <w:r>
        <w:t xml:space="preserve"> </w:t>
      </w:r>
      <w:r>
        <w:t xml:space="preserve">es la desviación estándar de la muestra simulada,</w:t>
      </w:r>
      <w:r>
        <w:t xml:space="preserve"> </w:t>
      </w:r>
      <m:oMath>
        <m:r>
          <m:rPr>
            <m:sty m:val="b"/>
          </m:rPr>
          <m:t>1</m:t>
        </m:r>
        <m:d>
          <m:dPr>
            <m:begChr m:val="("/>
            <m:endChr m:val=")"/>
            <m:sepChr m:val=""/>
            <m:grow/>
          </m:dPr>
          <m:e>
            <m:r>
              <m:rPr>
                <m:sty m:val="p"/>
              </m:rPr>
              <m:t>⋅</m:t>
            </m:r>
          </m:e>
        </m:d>
      </m:oMath>
      <w:r>
        <w:t xml:space="preserve"> </w:t>
      </w:r>
      <w:r>
        <w:t xml:space="preserve">vale 1 si se cumple la condición y 0 si no,</w:t>
      </w:r>
      <w:r>
        <w:t xml:space="preserve"> </w:t>
      </w:r>
      <m:oMath>
        <m:sSub>
          <m:e>
            <m:r>
              <m:t>r</m:t>
            </m:r>
          </m:e>
          <m:sub>
            <m:r>
              <m:t>k</m:t>
            </m:r>
          </m:sub>
        </m:sSub>
      </m:oMath>
      <w:r>
        <w:t xml:space="preserve"> </w:t>
      </w:r>
      <w:r>
        <w:t xml:space="preserve">es la reducción relativa del costo unitario en la iteración</w:t>
      </w:r>
      <w:r>
        <w:t xml:space="preserve"> </w:t>
      </w:r>
      <m:oMath>
        <m:r>
          <m:t>k</m:t>
        </m:r>
      </m:oMath>
      <w:r>
        <w:t xml:space="preserve"> </w:t>
      </w:r>
      <w:r>
        <w:t xml:space="preserve">y</w:t>
      </w:r>
      <w:r>
        <w:t xml:space="preserve"> </w:t>
      </w:r>
      <m:oMath>
        <m:sSup>
          <m:e>
            <m:r>
              <m:t>r</m:t>
            </m:r>
          </m:e>
          <m:sup>
            <m:r>
              <m:rPr>
                <m:sty m:val="p"/>
              </m:rPr>
              <m:t>*</m:t>
            </m:r>
          </m:sup>
        </m:sSup>
      </m:oMath>
      <w:r>
        <w:t xml:space="preserve"> </w:t>
      </w:r>
      <w:r>
        <w:t xml:space="preserve">el umbral de la hipótesis. En un modelo con tratamiento de control, en cada iteración se calculan ambas condiciones con el mismo juego de parámetros de la línea base, de modo que su diferencia solo refleja el efecto del tratamiento. La proporción de iteraciones en que la reducción alcanza el umbral es la probabilidad de cumplir la hipótesis, que expresa el grado de incertidumbre que pide la guía del docente. Una regla de decisión de la forma</w:t>
      </w:r>
      <w:r>
        <w:t xml:space="preserve"> </w:t>
      </w:r>
      <m:oMath>
        <m:acc>
          <m:accPr>
            <m:chr m:val="̂"/>
          </m:accPr>
          <m:e>
            <m:r>
              <m:t>P</m:t>
            </m:r>
          </m:e>
        </m:acc>
        <m:d>
          <m:dPr>
            <m:begChr m:val="("/>
            <m:endChr m:val=")"/>
            <m:sepChr m:val=""/>
            <m:grow/>
          </m:dPr>
          <m:e>
            <m:r>
              <m:t>r</m:t>
            </m:r>
            <m:r>
              <m:rPr>
                <m:sty m:val="p"/>
              </m:rPr>
              <m:t>≥</m:t>
            </m:r>
            <m:sSup>
              <m:e>
                <m:r>
                  <m:t>r</m:t>
                </m:r>
              </m:e>
              <m:sup>
                <m:r>
                  <m:rPr>
                    <m:sty m:val="p"/>
                  </m:rPr>
                  <m:t>*</m:t>
                </m:r>
              </m:sup>
            </m:sSup>
          </m:e>
        </m:d>
        <m:r>
          <m:rPr>
            <m:sty m:val="p"/>
          </m:rPr>
          <m:t>≥</m:t>
        </m:r>
        <m:r>
          <m:t>0</m:t>
        </m:r>
        <m:r>
          <m:rPr>
            <m:sty m:val="p"/>
          </m:rPr>
          <m:t>,</m:t>
        </m:r>
        <m:r>
          <m:t>95</m:t>
        </m:r>
      </m:oMath>
      <w:r>
        <w:t xml:space="preserve"> </w:t>
      </w:r>
      <w:r>
        <w:t xml:space="preserve">equivale a exigir que el percentil 5 de la reducción simulada sea mayor o igual que</w:t>
      </w:r>
      <w:r>
        <w:t xml:space="preserve"> </w:t>
      </w:r>
      <m:oMath>
        <m:sSup>
          <m:e>
            <m:r>
              <m:t>r</m:t>
            </m:r>
          </m:e>
          <m:sup>
            <m:r>
              <m:rPr>
                <m:sty m:val="p"/>
              </m:rPr>
              <m:t>*</m:t>
            </m:r>
          </m:sup>
        </m:sSup>
      </m:oMath>
      <w:r>
        <w:t xml:space="preserve">, y es el análogo probabilístico de un contraste unilateral con</w:t>
      </w:r>
      <w:r>
        <w:t xml:space="preserve"> </w:t>
      </w:r>
      <m:oMath>
        <m:r>
          <m:t>α</m:t>
        </m:r>
        <m:r>
          <m:rPr>
            <m:sty m:val="p"/>
          </m:rPr>
          <m:t>=</m:t>
        </m:r>
        <m:r>
          <m:t>0</m:t>
        </m:r>
        <m:r>
          <m:rPr>
            <m:sty m:val="p"/>
          </m:rPr>
          <m:t>,</m:t>
        </m:r>
        <m:r>
          <m:t>05</m:t>
        </m:r>
      </m:oMath>
      <w:r>
        <w:t xml:space="preserve"> </w:t>
      </w:r>
      <w:r>
        <w:t xml:space="preserve">(sección 2.9).</w:t>
      </w:r>
    </w:p>
    <w:p>
      <w:pPr>
        <w:pStyle w:val="Heading3"/>
      </w:pPr>
      <w:bookmarkStart w:id="111" w:name="tit82"/>
      <w:r>
        <w:t xml:space="preserve">1.10.3. Distribución triangular</w:t>
      </w:r>
      <w:bookmarkEnd w:id="111"/>
    </w:p>
    <w:p>
      <w:pPr>
        <w:pStyle w:val="FirstParagraph"/>
      </w:pPr>
      <w:r>
        <w:t xml:space="preserve">Cuando de una variable solo se conocen el rango plausible y el valor más probable, como ocurre con los datos de una sola obra o con los rangos de la literatura, se la representa con una distribución triangular de mínimo</w:t>
      </w:r>
      <w:r>
        <w:t xml:space="preserve"> </w:t>
      </w:r>
      <m:oMath>
        <m:r>
          <m:t>a</m:t>
        </m:r>
      </m:oMath>
      <w:r>
        <w:t xml:space="preserve">, moda</w:t>
      </w:r>
      <w:r>
        <w:t xml:space="preserve"> </w:t>
      </w:r>
      <m:oMath>
        <m:r>
          <m:t>m</m:t>
        </m:r>
      </m:oMath>
      <w:r>
        <w:t xml:space="preserve"> </w:t>
      </w:r>
      <w:r>
        <w:t xml:space="preserve">y máximo</w:t>
      </w:r>
      <w:r>
        <w:t xml:space="preserve"> </w:t>
      </w:r>
      <m:oMath>
        <m:r>
          <m:t>b</m:t>
        </m:r>
      </m:oMath>
      <w:r>
        <w:t xml:space="preserve">, cuya función de densidad es</w:t>
      </w:r>
    </w:p>
    <w:tbl>
      <w:tblPr>
        <w:tblW w:w="9360" w:type="dxa"/>
        <w:tblLayout w:type="fixed"/>
        <w:tblCellMar>
          <w:left w:w="0" w:type="dxa"/>
          <w:right w:w="0" w:type="dxa"/>
        </w:tblCellMar>
        <w:tblLook w:val="0000" w:firstRow="0" w:lastRow="0" w:firstColumn="0" w:lastColumn="0" w:noHBand="1" w:noVBand="1"/>
        <w:tblCaption w:val="Ecuación"/>
      </w:tblPr>
      <w:tblGrid>
        <w:gridCol w:w="1134"/>
        <w:gridCol w:w="7092"/>
        <w:gridCol w:w="1134"/>
      </w:tblGrid>
      <w:tr>
        <w:trPr>
          <w:cantSplit/>
        </w:trPr>
        <w:tc>
          <w:tcPr>
            <w:tcW w:w="1134" w:type="dxa"/>
            <w:vAlign w:val="center"/>
          </w:tcPr>
          <w:p>
            <w:pPr>
              <w:pStyle w:val="EcuacionAPA"/>
            </w:pPr>
          </w:p>
        </w:tc>
        <w:tc>
          <w:tcPr>
            <w:tcW w:w="7092" w:type="dxa"/>
            <w:vAlign w:val="center"/>
          </w:tcPr>
          <w:p>
            <w:pPr>
              <w:pStyle w:val="EcuacionAPA"/>
            </w:pPr>
            <m:oMathPara>
              <m:oMathParaPr>
                <m:jc m:val="center"/>
              </m:oMathParaPr>
              <m:oMath>
                <m:r>
                  <m:t>f</m:t>
                </m:r>
                <m:d>
                  <m:dPr>
                    <m:begChr m:val="("/>
                    <m:endChr m:val=")"/>
                    <m:sepChr m:val=""/>
                    <m:grow/>
                  </m:dPr>
                  <m:e>
                    <m:r>
                      <m:t>x</m:t>
                    </m:r>
                  </m:e>
                </m:d>
                <m:r>
                  <m:rPr>
                    <m:sty m:val="p"/>
                  </m:rPr>
                  <m:t>=</m:t>
                </m:r>
                <m:d>
                  <m:dPr>
                    <m:begChr m:val="{"/>
                    <m:endChr m:val=""/>
                    <m:sepChr m:val=""/>
                    <m:grow/>
                  </m:dPr>
                  <m:e>
                    <m:m>
                      <m:mPr>
                        <m:baseJc m:val="center"/>
                        <m:plcHide m:val="on"/>
                        <m:mcs>
                          <m:mc>
                            <m:mcPr>
                              <m:mcJc m:val="left"/>
                              <m:count m:val="1"/>
                            </m:mcPr>
                          </m:mc>
                          <m:mc>
                            <m:mcPr>
                              <m:mcJc m:val="left"/>
                              <m:count m:val="1"/>
                            </m:mcPr>
                          </m:mc>
                        </m:mcs>
                      </m:mPr>
                      <m:mr>
                        <m:e>
                          <m:f>
                            <m:fPr>
                              <m:type m:val="bar"/>
                            </m:fPr>
                            <m:num>
                              <m:r>
                                <m:t>2</m:t>
                              </m:r>
                              <m:r>
                                <m:t> </m:t>
                              </m:r>
                              <m:d>
                                <m:dPr>
                                  <m:begChr m:val="("/>
                                  <m:endChr m:val=")"/>
                                  <m:sepChr m:val=""/>
                                  <m:grow/>
                                </m:dPr>
                                <m:e>
                                  <m:r>
                                    <m:t>x</m:t>
                                  </m:r>
                                  <m:r>
                                    <m:rPr>
                                      <m:sty m:val="p"/>
                                    </m:rPr>
                                    <m:t>−</m:t>
                                  </m:r>
                                  <m:r>
                                    <m:t>a</m:t>
                                  </m:r>
                                </m:e>
                              </m:d>
                            </m:num>
                            <m:den>
                              <m:d>
                                <m:dPr>
                                  <m:begChr m:val="("/>
                                  <m:endChr m:val=")"/>
                                  <m:sepChr m:val=""/>
                                  <m:grow/>
                                </m:dPr>
                                <m:e>
                                  <m:r>
                                    <m:t>b</m:t>
                                  </m:r>
                                  <m:r>
                                    <m:rPr>
                                      <m:sty m:val="p"/>
                                    </m:rPr>
                                    <m:t>−</m:t>
                                  </m:r>
                                  <m:r>
                                    <m:t>a</m:t>
                                  </m:r>
                                </m:e>
                              </m:d>
                              <m:d>
                                <m:dPr>
                                  <m:begChr m:val="("/>
                                  <m:endChr m:val=")"/>
                                  <m:sepChr m:val=""/>
                                  <m:grow/>
                                </m:dPr>
                                <m:e>
                                  <m:r>
                                    <m:t>m</m:t>
                                  </m:r>
                                  <m:r>
                                    <m:rPr>
                                      <m:sty m:val="p"/>
                                    </m:rPr>
                                    <m:t>−</m:t>
                                  </m:r>
                                  <m:r>
                                    <m:t>a</m:t>
                                  </m:r>
                                </m:e>
                              </m:d>
                            </m:den>
                          </m:f>
                          <m:r>
                            <m:rPr>
                              <m:sty m:val="p"/>
                            </m:rPr>
                            <m:t>,</m:t>
                          </m:r>
                        </m:e>
                        <m:e>
                          <m:r>
                            <m:t>a</m:t>
                          </m:r>
                          <m:r>
                            <m:rPr>
                              <m:sty m:val="p"/>
                            </m:rPr>
                            <m:t>≤</m:t>
                          </m:r>
                          <m:r>
                            <m:t>x</m:t>
                          </m:r>
                          <m:r>
                            <m:rPr>
                              <m:sty m:val="p"/>
                            </m:rPr>
                            <m:t>≤</m:t>
                          </m:r>
                          <m:r>
                            <m:t>m</m:t>
                          </m:r>
                        </m:e>
                      </m:mr>
                      <m:mr>
                        <m:e>
                          <m:f>
                            <m:fPr>
                              <m:type m:val="bar"/>
                            </m:fPr>
                            <m:num>
                              <m:r>
                                <m:t>2</m:t>
                              </m:r>
                              <m:r>
                                <m:t> </m:t>
                              </m:r>
                              <m:d>
                                <m:dPr>
                                  <m:begChr m:val="("/>
                                  <m:endChr m:val=")"/>
                                  <m:sepChr m:val=""/>
                                  <m:grow/>
                                </m:dPr>
                                <m:e>
                                  <m:r>
                                    <m:t>b</m:t>
                                  </m:r>
                                  <m:r>
                                    <m:rPr>
                                      <m:sty m:val="p"/>
                                    </m:rPr>
                                    <m:t>−</m:t>
                                  </m:r>
                                  <m:r>
                                    <m:t>x</m:t>
                                  </m:r>
                                </m:e>
                              </m:d>
                            </m:num>
                            <m:den>
                              <m:d>
                                <m:dPr>
                                  <m:begChr m:val="("/>
                                  <m:endChr m:val=")"/>
                                  <m:sepChr m:val=""/>
                                  <m:grow/>
                                </m:dPr>
                                <m:e>
                                  <m:r>
                                    <m:t>b</m:t>
                                  </m:r>
                                  <m:r>
                                    <m:rPr>
                                      <m:sty m:val="p"/>
                                    </m:rPr>
                                    <m:t>−</m:t>
                                  </m:r>
                                  <m:r>
                                    <m:t>a</m:t>
                                  </m:r>
                                </m:e>
                              </m:d>
                              <m:d>
                                <m:dPr>
                                  <m:begChr m:val="("/>
                                  <m:endChr m:val=")"/>
                                  <m:sepChr m:val=""/>
                                  <m:grow/>
                                </m:dPr>
                                <m:e>
                                  <m:r>
                                    <m:t>b</m:t>
                                  </m:r>
                                  <m:r>
                                    <m:rPr>
                                      <m:sty m:val="p"/>
                                    </m:rPr>
                                    <m:t>−</m:t>
                                  </m:r>
                                  <m:r>
                                    <m:t>m</m:t>
                                  </m:r>
                                </m:e>
                              </m:d>
                            </m:den>
                          </m:f>
                          <m:r>
                            <m:rPr>
                              <m:sty m:val="p"/>
                            </m:rPr>
                            <m:t>,</m:t>
                          </m:r>
                        </m:e>
                        <m:e>
                          <m:r>
                            <m:t>m</m:t>
                          </m:r>
                          <m:r>
                            <m:rPr>
                              <m:sty m:val="p"/>
                            </m:rPr>
                            <m:t>&lt;</m:t>
                          </m:r>
                          <m:r>
                            <m:t>x</m:t>
                          </m:r>
                          <m:r>
                            <m:rPr>
                              <m:sty m:val="p"/>
                            </m:rPr>
                            <m:t>≤</m:t>
                          </m:r>
                          <m:r>
                            <m:t>b</m:t>
                          </m:r>
                        </m:e>
                      </m:mr>
                    </m:m>
                  </m:e>
                </m:d>
              </m:oMath>
            </m:oMathPara>
          </w:p>
        </w:tc>
        <w:tc>
          <w:tcPr>
            <w:tcW w:w="1134" w:type="dxa"/>
            <w:vAlign w:val="center"/>
          </w:tcPr>
          <w:p>
            <w:pPr>
              <w:pStyle w:val="EcuacionAPA"/>
              <w:jc w:val="right"/>
            </w:pPr>
            <w:r>
              <w:t>(6)</w:t>
            </w:r>
          </w:p>
        </w:tc>
      </w:tr>
    </w:tbl>
    <w:p>
      <w:pPr>
        <w:pStyle w:val="FirstParagraph"/>
        <w:ind w:firstLine="0"/>
      </w:pPr>
      <w:r>
        <w:t xml:space="preserve"/>
      </w:r>
      <w:r>
        <w:t xml:space="preserve"/>
      </w:r>
      <w:r>
        <w:t xml:space="preserve">y cuyas media y varianza son</w:t>
      </w:r>
    </w:p>
    <w:tbl>
      <w:tblPr>
        <w:tblW w:w="9360" w:type="dxa"/>
        <w:tblLayout w:type="fixed"/>
        <w:tblCellMar>
          <w:left w:w="0" w:type="dxa"/>
          <w:right w:w="0" w:type="dxa"/>
        </w:tblCellMar>
        <w:tblLook w:val="0000" w:firstRow="0" w:lastRow="0" w:firstColumn="0" w:lastColumn="0" w:noHBand="1" w:noVBand="1"/>
        <w:tblCaption w:val="Ecuación"/>
      </w:tblPr>
      <w:tblGrid>
        <w:gridCol w:w="1134"/>
        <w:gridCol w:w="7092"/>
        <w:gridCol w:w="1134"/>
      </w:tblGrid>
      <w:tr>
        <w:trPr>
          <w:cantSplit/>
        </w:trPr>
        <w:tc>
          <w:tcPr>
            <w:tcW w:w="1134" w:type="dxa"/>
            <w:vAlign w:val="center"/>
          </w:tcPr>
          <w:p>
            <w:pPr>
              <w:pStyle w:val="EcuacionAPA"/>
            </w:pPr>
          </w:p>
        </w:tc>
        <w:tc>
          <w:tcPr>
            <w:tcW w:w="7092" w:type="dxa"/>
            <w:vAlign w:val="center"/>
          </w:tcPr>
          <w:p>
            <w:pPr>
              <w:pStyle w:val="EcuacionAPA"/>
            </w:pPr>
            <m:oMathPara>
              <m:oMathParaPr>
                <m:jc m:val="center"/>
              </m:oMathParaPr>
              <m:oMath>
                <m:r>
                  <m:t>E</m:t>
                </m:r>
                <m:d>
                  <m:dPr>
                    <m:begChr m:val="["/>
                    <m:endChr m:val="]"/>
                    <m:sepChr m:val=""/>
                    <m:grow/>
                  </m:dPr>
                  <m:e>
                    <m:r>
                      <m:t>X</m:t>
                    </m:r>
                  </m:e>
                </m:d>
                <m:r>
                  <m:rPr>
                    <m:sty m:val="p"/>
                  </m:rPr>
                  <m:t>=</m:t>
                </m:r>
                <m:f>
                  <m:fPr>
                    <m:type m:val="bar"/>
                  </m:fPr>
                  <m:num>
                    <m:r>
                      <m:t>a</m:t>
                    </m:r>
                    <m:r>
                      <m:rPr>
                        <m:sty m:val="p"/>
                      </m:rPr>
                      <m:t>+</m:t>
                    </m:r>
                    <m:r>
                      <m:t>m</m:t>
                    </m:r>
                    <m:r>
                      <m:rPr>
                        <m:sty m:val="p"/>
                      </m:rPr>
                      <m:t>+</m:t>
                    </m:r>
                    <m:r>
                      <m:t>b</m:t>
                    </m:r>
                  </m:num>
                  <m:den>
                    <m:r>
                      <m:t>3</m:t>
                    </m:r>
                  </m:den>
                </m:f>
                <m:r>
                  <m:rPr>
                    <m:sty m:val="p"/>
                  </m:rPr>
                  <m:t>,</m:t>
                </m:r>
                <m:r>
                  <m:t>  </m:t>
                </m:r>
                <m:r>
                  <m:rPr>
                    <m:sty m:val="p"/>
                  </m:rPr>
                  <m:t>Var</m:t>
                </m:r>
                <m:d>
                  <m:dPr>
                    <m:begChr m:val="["/>
                    <m:endChr m:val="]"/>
                    <m:sepChr m:val=""/>
                    <m:grow/>
                  </m:dPr>
                  <m:e>
                    <m:r>
                      <m:t>X</m:t>
                    </m:r>
                  </m:e>
                </m:d>
                <m:r>
                  <m:rPr>
                    <m:sty m:val="p"/>
                  </m:rPr>
                  <m:t>=</m:t>
                </m:r>
                <m:f>
                  <m:fPr>
                    <m:type m:val="bar"/>
                  </m:fPr>
                  <m:num>
                    <m:sSup>
                      <m:e>
                        <m:r>
                          <m:t>a</m:t>
                        </m:r>
                      </m:e>
                      <m:sup>
                        <m:r>
                          <m:t>2</m:t>
                        </m:r>
                      </m:sup>
                    </m:sSup>
                    <m:r>
                      <m:rPr>
                        <m:sty m:val="p"/>
                      </m:rPr>
                      <m:t>+</m:t>
                    </m:r>
                    <m:sSup>
                      <m:e>
                        <m:r>
                          <m:t>m</m:t>
                        </m:r>
                      </m:e>
                      <m:sup>
                        <m:r>
                          <m:t>2</m:t>
                        </m:r>
                      </m:sup>
                    </m:sSup>
                    <m:r>
                      <m:rPr>
                        <m:sty m:val="p"/>
                      </m:rPr>
                      <m:t>+</m:t>
                    </m:r>
                    <m:sSup>
                      <m:e>
                        <m:r>
                          <m:t>b</m:t>
                        </m:r>
                      </m:e>
                      <m:sup>
                        <m:r>
                          <m:t>2</m:t>
                        </m:r>
                      </m:sup>
                    </m:sSup>
                    <m:r>
                      <m:rPr>
                        <m:sty m:val="p"/>
                      </m:rPr>
                      <m:t>−</m:t>
                    </m:r>
                    <m:r>
                      <m:t>a</m:t>
                    </m:r>
                    <m:r>
                      <m:t>m</m:t>
                    </m:r>
                    <m:r>
                      <m:rPr>
                        <m:sty m:val="p"/>
                      </m:rPr>
                      <m:t>−</m:t>
                    </m:r>
                    <m:r>
                      <m:t>a</m:t>
                    </m:r>
                    <m:r>
                      <m:t>b</m:t>
                    </m:r>
                    <m:r>
                      <m:rPr>
                        <m:sty m:val="p"/>
                      </m:rPr>
                      <m:t>−</m:t>
                    </m:r>
                    <m:r>
                      <m:t>m</m:t>
                    </m:r>
                    <m:r>
                      <m:t>b</m:t>
                    </m:r>
                  </m:num>
                  <m:den>
                    <m:r>
                      <m:t>18</m:t>
                    </m:r>
                  </m:den>
                </m:f>
              </m:oMath>
            </m:oMathPara>
          </w:p>
        </w:tc>
        <w:tc>
          <w:tcPr>
            <w:tcW w:w="1134" w:type="dxa"/>
            <w:vAlign w:val="center"/>
          </w:tcPr>
          <w:p>
            <w:pPr>
              <w:pStyle w:val="EcuacionAPA"/>
              <w:jc w:val="right"/>
            </w:pPr>
            <w:r>
              <w:t>(7)</w:t>
            </w:r>
          </w:p>
        </w:tc>
      </w:tr>
    </w:tbl>
    <w:p>
      <w:pPr>
        <w:pStyle w:val="FirstParagraph"/>
        <w:ind w:firstLine="0"/>
      </w:pPr>
      <w:r>
        <w:t xml:space="preserve"/>
      </w:r>
      <w:r>
        <w:t xml:space="preserve"/>
      </w:r>
      <w:r>
        <w:t xml:space="preserve">Los valores se generan por transformación inversa a partir de números aleatorios uniformes. La distribución es fácil de justificar con datos limitados, pero los resultados dependen de los extremos elegidos y no admite valores fuera del rango; ambas limitaciones se controlan con el análisis de sensibilidad.</w:t>
      </w:r>
    </w:p>
    <w:p>
      <w:pPr>
        <w:pStyle w:val="Heading3"/>
      </w:pPr>
      <w:bookmarkStart w:id="112" w:name="tit83"/>
      <w:r>
        <w:t xml:space="preserve">1.10.4. Convergencia y análisis de sensibilidad</w:t>
      </w:r>
      <w:bookmarkEnd w:id="112"/>
    </w:p>
    <w:p>
      <w:pPr>
        <w:pStyle w:val="FirstParagraph"/>
      </w:pPr>
      <w:r>
        <w:t xml:space="preserve">La convergencia indica si el número de iteraciones es suficiente. Se verifica con la estimación acumulada de la media y de la probabilidad de interés a medida que crece</w:t>
      </w:r>
      <w:r>
        <w:t xml:space="preserve"> </w:t>
      </w:r>
      <m:oMath>
        <m:r>
          <m:t>N</m:t>
        </m:r>
      </m:oMath>
      <w:r>
        <w:t xml:space="preserve">: la simulación ha convergido cuando las curvas se estabilizan y la semiamplitud del intervalo de confianza al 95 % es menor que la precisión buscada. Para una probabilidad, esa semiamplitud nunca supera</w:t>
      </w:r>
      <w:r>
        <w:t xml:space="preserve"> </w:t>
      </w:r>
      <m:oMath>
        <m:r>
          <m:t>1</m:t>
        </m:r>
        <m:r>
          <m:rPr>
            <m:sty m:val="p"/>
          </m:rPr>
          <m:t>,</m:t>
        </m:r>
        <m:r>
          <m:t>96</m:t>
        </m:r>
        <m:r>
          <m:rPr>
            <m:sty m:val="p"/>
          </m:rPr>
          <m:t>×</m:t>
        </m:r>
        <m:r>
          <m:t>0</m:t>
        </m:r>
        <m:r>
          <m:rPr>
            <m:sty m:val="p"/>
          </m:rPr>
          <m:t>,</m:t>
        </m:r>
        <m:r>
          <m:t>5</m:t>
        </m:r>
        <m:r>
          <m:rPr>
            <m:sty m:val="p"/>
          </m:rPr>
          <m:t>/</m:t>
        </m:r>
        <m:rad>
          <m:radPr>
            <m:degHide m:val="on"/>
          </m:radPr>
          <m:deg/>
          <m:e>
            <m:r>
              <m:t>N</m:t>
            </m:r>
          </m:e>
        </m:rad>
      </m:oMath>
      <w:r>
        <w:t xml:space="preserve">; con 10.000 iteraciones, por ejemplo, es de 0,0098 como máximo (cálculo propio). Para que los resultados sean reproducibles, el generador de números aleatorios se inicia con una semilla fija.</w:t>
      </w:r>
    </w:p>
    <w:p>
      <w:pPr>
        <w:pStyle w:val="BodyText"/>
      </w:pPr>
      <w:r>
        <w:t xml:space="preserve">El análisis de sensibilidad identifica qué entradas explican la incertidumbre de la salida. En la técnica de un factor a la vez, cada parámetro se lleva a su mínimo y a su máximo mientras los demás quedan en su moda, y las variaciones de la salida se ordenan en un diagrama de tornado; en la correlación de rangos de Spearman, se mide la asociación monótona entre los valores simulados de cada entrada y los de la salida. Ambas señalan qué parámetros conviene medir mejor y si la conclusión se mantiene dentro de los rangos plausibles. Por último, un resultado</w:t>
      </w:r>
      <w:r>
        <w:t xml:space="preserve"> </w:t>
      </w:r>
      <w:r>
        <w:rPr>
          <w:iCs/>
          <w:i/>
        </w:rPr>
        <w:t xml:space="preserve">ex ante</w:t>
      </w:r>
      <w:r>
        <w:t xml:space="preserve"> </w:t>
      </w:r>
      <w:r>
        <w:t xml:space="preserve">es condicional a sus supuestos: debe acompañarse de la verificación del código frente a un cálculo manual y de un protocolo para contrastarlo con mediciones reales cuando la obra se ejecute (sección 2.9.1).</w:t>
      </w:r>
    </w:p>
    <w:p>
      <w:pPr>
        <w:pStyle w:val="Heading2"/>
      </w:pPr>
      <w:bookmarkStart w:id="114" w:name="tit84"/>
      <w:r>
        <w:t xml:space="preserve">1.11. Definición de términos básicos</w:t>
      </w:r>
      <w:bookmarkEnd w:id="114"/>
    </w:p>
    <w:p>
      <w:pPr>
        <w:pStyle w:val="FirstParagraph"/>
      </w:pPr>
      <w:r>
        <w:t xml:space="preserve">La Tabla 15 define los términos que se usan con un sentido preciso en esta tesis. Las definiciones de gestión de la calidad siguen el vocabulario de la familia ISO 9000 en la formulación que recogen las fuentes citadas, y las técnicas provienen de las normas y de las fichas aplicables a la losa.</w:t>
      </w:r>
    </w:p>
    <w:p>
      <w:pPr>
        <w:pStyle w:val="Caption"/>
      </w:pPr>
      <w:bookmarkStart w:id="1422" w:name="tab15"/>
      <w:r>
        <w:t xml:space="preserve"/>
      </w:r>
      <w:r>
        <w:rPr>
          <w:bCs/>
          <w:b/>
        </w:rPr>
        <w:t xml:space="preserve">Tabla 15</w:t>
      </w:r>
      <w:r>
        <w:br/>
      </w:r>
      <w:r>
        <w:rPr>
          <w:iCs/>
          <w:i/>
        </w:rPr>
        <w:t xml:space="preserve">Definición de términos básicos</w:t>
      </w:r>
      <w:bookmarkEnd w:id="1422"/>
    </w:p>
    <w:tbl>
      <w:tblPr>
        <w:tblStyle w:val="Table"/>
        <w:tblW w:w="9360" w:type="dxa"/>
        <w:jc w:val="left"/>
        <w:tblLayout w:type="fixed"/>
        <w:tblCellMar>
          <w:top w:w="0" w:type="dxa"/>
          <w:left w:w="85" w:type="dxa"/>
          <w:bottom w:w="0" w:type="dxa"/>
          <w:right w:w="85" w:type="dxa"/>
        </w:tblCellMar>
        <w:tblLook w:firstRow="1" w:lastRow="0" w:firstColumn="0" w:lastColumn="0" w:noHBand="0" w:noVBand="0" w:val="0020"/>
      </w:tblPr>
      <w:tblGrid>
        <w:gridCol w:w="1967"/>
        <w:gridCol w:w="7393"/>
      </w:tblGrid>
      <w:tr>
        <w:trPr>
          <w:cantSplit/>
          <w:tblHeader w:val="true"/>
        </w:trPr>
        <w:tc>
          <w:tcPr>
            <w:tcW w:w="1967" w:type="dxa"/>
            <w:tcBorders>
              <w:top w:val="single" w:sz="8" w:space="0" w:color="000000"/>
              <w:bottom w:val="single" w:sz="4" w:space="0" w:color="000000"/>
            </w:tcBorders>
          </w:tcPr>
          <w:p>
            <w:pPr>
              <w:pStyle w:val="CeldaAPA"/>
              <w:jc w:val="center"/>
            </w:pPr>
            <w:r>
              <w:rPr>
                <w:bCs/>
                <w:b/>
              </w:rPr>
              <w:t xml:space="preserve">Término</w:t>
            </w:r>
          </w:p>
        </w:tc>
        <w:tc>
          <w:tcPr>
            <w:tcW w:w="7393" w:type="dxa"/>
            <w:tcBorders>
              <w:top w:val="single" w:sz="8" w:space="0" w:color="000000"/>
              <w:bottom w:val="single" w:sz="4" w:space="0" w:color="000000"/>
            </w:tcBorders>
          </w:tcPr>
          <w:p>
            <w:pPr>
              <w:pStyle w:val="CeldaAPA"/>
              <w:jc w:val="center"/>
            </w:pPr>
            <w:r>
              <w:rPr>
                <w:bCs/>
                <w:b/>
              </w:rPr>
              <w:t xml:space="preserve">Definición</w:t>
            </w:r>
          </w:p>
        </w:tc>
      </w:tr>
      <w:tr>
        <w:tc>
          <w:tcPr>
            <w:tcW w:w="1967" w:type="dxa"/>
          </w:tcPr>
          <w:p>
            <w:pPr>
              <w:pStyle w:val="CeldaAPA"/>
              <w:jc w:val="left"/>
            </w:pPr>
            <w:r>
              <w:rPr/>
              <w:t xml:space="preserve">Calidad</w:t>
            </w:r>
          </w:p>
        </w:tc>
        <w:tc>
          <w:tcPr>
            <w:tcW w:w="7393" w:type="dxa"/>
          </w:tcPr>
          <w:p>
            <w:pPr>
              <w:pStyle w:val="CeldaAPA"/>
              <w:jc w:val="left"/>
            </w:pPr>
            <w:r>
              <w:rPr/>
              <w:t xml:space="preserve">Grado en que un conjunto de características inherentes de un producto, servicio o proceso cumple con los requisitos establecidos</w:t>
            </w:r>
            <w:r>
              <w:rPr/>
              <w:t xml:space="preserve"> </w:t>
            </w:r>
            <w:r>
              <w:rPr/>
              <w:t xml:space="preserve">(Mamani Calsina, 2025, p. 21)</w:t>
            </w:r>
            <w:r>
              <w:rPr/>
              <w:t xml:space="preserve">; en la losa, los de los planos, las especificaciones, las normas y el contrato.</w:t>
            </w:r>
          </w:p>
        </w:tc>
      </w:tr>
      <w:tr>
        <w:tc>
          <w:tcPr>
            <w:tcW w:w="1967" w:type="dxa"/>
          </w:tcPr>
          <w:p>
            <w:pPr>
              <w:pStyle w:val="CeldaAPA"/>
              <w:jc w:val="left"/>
            </w:pPr>
            <w:r>
              <w:rPr/>
              <w:t xml:space="preserve">Conformidad</w:t>
            </w:r>
          </w:p>
        </w:tc>
        <w:tc>
          <w:tcPr>
            <w:tcW w:w="7393" w:type="dxa"/>
          </w:tcPr>
          <w:p>
            <w:pPr>
              <w:pStyle w:val="CeldaAPA"/>
              <w:jc w:val="left"/>
            </w:pPr>
            <w:r>
              <w:rPr/>
              <w:t xml:space="preserve">Cumplimiento de un requisito</w:t>
            </w:r>
            <w:r>
              <w:rPr/>
              <w:t xml:space="preserve"> </w:t>
            </w:r>
            <w:r>
              <w:rPr/>
              <w:t xml:space="preserve">(Zurita Ferrel, 2024, p. 31)</w:t>
            </w:r>
            <w:r>
              <w:rPr/>
              <w:t xml:space="preserve">. En la obra se deja registrada; por ejemplo, la del material recibido, con la firma del documento de entrega</w:t>
            </w:r>
            <w:r>
              <w:rPr/>
              <w:t xml:space="preserve"> </w:t>
            </w:r>
            <w:r>
              <w:rPr/>
              <w:t xml:space="preserve">(Muro Núñez, 2020, anexo 4)</w:t>
            </w:r>
            <w:r>
              <w:rPr/>
              <w:t xml:space="preserve">.</w:t>
            </w:r>
          </w:p>
        </w:tc>
      </w:tr>
      <w:tr>
        <w:tc>
          <w:tcPr>
            <w:tcW w:w="1967" w:type="dxa"/>
          </w:tcPr>
          <w:p>
            <w:pPr>
              <w:pStyle w:val="CeldaAPA"/>
              <w:jc w:val="left"/>
            </w:pPr>
            <w:r>
              <w:rPr/>
              <w:t xml:space="preserve">No conformidad</w:t>
            </w:r>
          </w:p>
        </w:tc>
        <w:tc>
          <w:tcPr>
            <w:tcW w:w="7393" w:type="dxa"/>
          </w:tcPr>
          <w:p>
            <w:pPr>
              <w:pStyle w:val="CeldaAPA"/>
              <w:jc w:val="left"/>
            </w:pPr>
            <w:r>
              <w:rPr/>
              <w:t xml:space="preserve">Incumplimiento de un requisito especificado</w:t>
            </w:r>
            <w:r>
              <w:rPr/>
              <w:t xml:space="preserve"> </w:t>
            </w:r>
            <w:r>
              <w:rPr/>
              <w:t xml:space="preserve">(Mamani Calsina, 2025, p. 21)</w:t>
            </w:r>
            <w:r>
              <w:rPr/>
              <w:t xml:space="preserve">. Con base en la ISO 9000:2005,</w:t>
            </w:r>
            <w:r>
              <w:rPr/>
              <w:t xml:space="preserve"> </w:t>
            </w:r>
            <w:r>
              <w:rPr/>
              <w:t xml:space="preserve">Forcada et al. (2017, p. 2)</w:t>
            </w:r>
            <w:r>
              <w:rPr/>
              <w:t xml:space="preserve"> </w:t>
            </w:r>
            <w:r>
              <w:rPr/>
              <w:t xml:space="preserve">distinguen el defecto: el incumplimiento de un requisito asociado a un uso previsto. El modelo de contrato de obras llama trabajo defectuoso a toda parte de la obra que no cumple las especificaciones, los planos u otros documentos</w:t>
            </w:r>
            <w:r>
              <w:rPr/>
              <w:t xml:space="preserve"> </w:t>
            </w:r>
            <w:r>
              <w:rPr/>
              <w:t xml:space="preserve">(MEFP, 2022, cláusula 26.12, p. 74)</w:t>
            </w:r>
            <w:r>
              <w:rPr/>
              <w:t xml:space="preserve">.</w:t>
            </w:r>
          </w:p>
        </w:tc>
      </w:tr>
      <w:tr>
        <w:tc>
          <w:tcPr>
            <w:tcW w:w="1967" w:type="dxa"/>
          </w:tcPr>
          <w:p>
            <w:pPr>
              <w:pStyle w:val="CeldaAPA"/>
              <w:jc w:val="left"/>
            </w:pPr>
            <w:r>
              <w:rPr/>
              <w:t xml:space="preserve">Acción correctiva</w:t>
            </w:r>
          </w:p>
        </w:tc>
        <w:tc>
          <w:tcPr>
            <w:tcW w:w="7393" w:type="dxa"/>
          </w:tcPr>
          <w:p>
            <w:pPr>
              <w:pStyle w:val="CeldaAPA"/>
              <w:jc w:val="left"/>
            </w:pPr>
            <w:r>
              <w:rPr/>
              <w:t xml:space="preserve">Medida para eliminar la causa raíz de una no conformidad</w:t>
            </w:r>
            <w:r>
              <w:rPr/>
              <w:t xml:space="preserve"> </w:t>
            </w:r>
            <w:r>
              <w:rPr/>
              <w:t xml:space="preserve">(Mamani Calsina, 2025, p. 21)</w:t>
            </w:r>
            <w:r>
              <w:rPr/>
              <w:t xml:space="preserve">, de modo que el problema no se repita</w:t>
            </w:r>
            <w:r>
              <w:rPr/>
              <w:t xml:space="preserve"> </w:t>
            </w:r>
            <w:r>
              <w:rPr/>
              <w:t xml:space="preserve">(Mamani Calsina, 2025, p. 19)</w:t>
            </w:r>
            <w:r>
              <w:rPr/>
              <w:t xml:space="preserve">. Se distingue del tratamiento del producto no conforme: reproceso con nuevo control, aceptación o rechazo</w:t>
            </w:r>
            <w:r>
              <w:rPr/>
              <w:t xml:space="preserve"> </w:t>
            </w:r>
            <w:r>
              <w:rPr/>
              <w:t xml:space="preserve">(Peña Callisaya, 2024, p. 140)</w:t>
            </w:r>
            <w:r>
              <w:rPr/>
              <w:t xml:space="preserve">.</w:t>
            </w:r>
          </w:p>
        </w:tc>
      </w:tr>
      <w:tr>
        <w:tc>
          <w:tcPr>
            <w:tcW w:w="1967" w:type="dxa"/>
          </w:tcPr>
          <w:p>
            <w:pPr>
              <w:pStyle w:val="CeldaAPA"/>
              <w:jc w:val="left"/>
            </w:pPr>
            <w:r>
              <w:rPr/>
              <w:t xml:space="preserve">Desperdicio</w:t>
            </w:r>
          </w:p>
        </w:tc>
        <w:tc>
          <w:tcPr>
            <w:tcW w:w="7393" w:type="dxa"/>
          </w:tcPr>
          <w:p>
            <w:pPr>
              <w:pStyle w:val="CeldaAPA"/>
              <w:jc w:val="left"/>
            </w:pPr>
            <w:r>
              <w:rPr/>
              <w:t xml:space="preserve">Consumo de un material en cantidades mayores que las necesarias según los documentos técnicos</w:t>
            </w:r>
            <w:r>
              <w:rPr/>
              <w:t xml:space="preserve"> </w:t>
            </w:r>
            <w:r>
              <w:rPr/>
              <w:t xml:space="preserve">(Galarza Meza, 2011, p. 9)</w:t>
            </w:r>
            <w:r>
              <w:rPr/>
              <w:t xml:space="preserve">; en sentido amplio, toda pérdida producida por actividades que generan costos sin agregar valor</w:t>
            </w:r>
            <w:r>
              <w:rPr/>
              <w:t xml:space="preserve"> </w:t>
            </w:r>
            <w:r>
              <w:rPr/>
              <w:t xml:space="preserve">(Formoso et al., 1999, p. 328)</w:t>
            </w:r>
            <w:r>
              <w:rPr/>
              <w:t xml:space="preserve">.</w:t>
            </w:r>
          </w:p>
        </w:tc>
      </w:tr>
      <w:tr>
        <w:tc>
          <w:tcPr>
            <w:tcW w:w="1967" w:type="dxa"/>
          </w:tcPr>
          <w:p>
            <w:pPr>
              <w:pStyle w:val="CeldaAPA"/>
              <w:jc w:val="left"/>
            </w:pPr>
            <w:r>
              <w:rPr/>
              <w:t xml:space="preserve">Pérdida</w:t>
            </w:r>
          </w:p>
        </w:tc>
        <w:tc>
          <w:tcPr>
            <w:tcW w:w="7393" w:type="dxa"/>
          </w:tcPr>
          <w:p>
            <w:pPr>
              <w:pStyle w:val="CeldaAPA"/>
              <w:jc w:val="left"/>
            </w:pPr>
            <w:r>
              <w:rPr/>
              <w:t xml:space="preserve">Operación o consumo de recursos que no agrega valor; la pérdida de materiales es la diferencia entre la cantidad empleada y la necesaria según el diseño</w:t>
            </w:r>
            <w:r>
              <w:rPr/>
              <w:t xml:space="preserve"> </w:t>
            </w:r>
            <w:r>
              <w:rPr/>
              <w:t xml:space="preserve">(Rossi et al., 2001, Sección 2)</w:t>
            </w:r>
            <w:r>
              <w:rPr/>
              <w:t xml:space="preserve">. Puede ser directa (desmonte) o indirecta</w:t>
            </w:r>
            <w:r>
              <w:rPr/>
              <w:t xml:space="preserve"> </w:t>
            </w:r>
            <w:r>
              <w:rPr/>
              <w:t xml:space="preserve">(Ccoyllo Sifuentes, 2016, p. 15)</w:t>
            </w:r>
            <w:r>
              <w:rPr/>
              <w:t xml:space="preserve">, llamada también pérdida incorporada</w:t>
            </w:r>
            <w:r>
              <w:rPr/>
              <w:t xml:space="preserve"> </w:t>
            </w:r>
            <w:r>
              <w:rPr/>
              <w:t xml:space="preserve">(Maciel et al., 2016, p. 106)</w:t>
            </w:r>
            <w:r>
              <w:rPr/>
              <w:t xml:space="preserve">.</w:t>
            </w:r>
          </w:p>
        </w:tc>
      </w:tr>
      <w:tr>
        <w:tc>
          <w:tcPr>
            <w:tcW w:w="1967" w:type="dxa"/>
          </w:tcPr>
          <w:p>
            <w:pPr>
              <w:pStyle w:val="CeldaAPA"/>
              <w:jc w:val="left"/>
            </w:pPr>
            <w:r>
              <w:rPr/>
              <w:t xml:space="preserve">Retrabajo</w:t>
            </w:r>
          </w:p>
        </w:tc>
        <w:tc>
          <w:tcPr>
            <w:tcW w:w="7393" w:type="dxa"/>
          </w:tcPr>
          <w:p>
            <w:pPr>
              <w:pStyle w:val="CeldaAPA"/>
              <w:jc w:val="left"/>
            </w:pPr>
            <w:r>
              <w:rPr/>
              <w:t xml:space="preserve">Esfuerzo innecesario de rehacer una actividad que se ejecutó incorrectamente la primera vez, según la definición que adoptan</w:t>
            </w:r>
            <w:r>
              <w:rPr/>
              <w:t xml:space="preserve"> </w:t>
            </w:r>
            <w:r>
              <w:rPr/>
              <w:t xml:space="preserve">Forcada et al. (2017, p. 2)</w:t>
            </w:r>
            <w:r>
              <w:rPr/>
              <w:t xml:space="preserve">; su costo es un costo de falla.</w:t>
            </w:r>
          </w:p>
        </w:tc>
      </w:tr>
      <w:tr>
        <w:tc>
          <w:tcPr>
            <w:tcW w:w="1967" w:type="dxa"/>
          </w:tcPr>
          <w:p>
            <w:pPr>
              <w:pStyle w:val="CeldaAPA"/>
              <w:jc w:val="left"/>
            </w:pPr>
            <w:r>
              <w:rPr/>
              <w:t xml:space="preserve">Costo de no calidad</w:t>
            </w:r>
          </w:p>
        </w:tc>
        <w:tc>
          <w:tcPr>
            <w:tcW w:w="7393" w:type="dxa"/>
          </w:tcPr>
          <w:p>
            <w:pPr>
              <w:pStyle w:val="CeldaAPA"/>
              <w:jc w:val="left"/>
            </w:pPr>
            <w:r>
              <w:rPr/>
              <w:t xml:space="preserve">Suma de los costos de falla interna y externa (costos de no conformidad); con los de prevención y evaluación forma el costo total de la calidad</w:t>
            </w:r>
            <w:r>
              <w:rPr/>
              <w:t xml:space="preserve"> </w:t>
            </w:r>
            <w:r>
              <w:rPr/>
              <w:t xml:space="preserve">(Zurita Ferrel, 2024, p. 150)</w:t>
            </w:r>
            <w:r>
              <w:rPr/>
              <w:t xml:space="preserve"> </w:t>
            </w:r>
            <w:r>
              <w:rPr/>
              <w:t xml:space="preserve">(ecuación 1).</w:t>
            </w:r>
          </w:p>
        </w:tc>
      </w:tr>
      <w:tr>
        <w:tc>
          <w:tcPr>
            <w:tcW w:w="1967" w:type="dxa"/>
          </w:tcPr>
          <w:p>
            <w:pPr>
              <w:pStyle w:val="CeldaAPA"/>
              <w:jc w:val="left"/>
            </w:pPr>
            <w:r>
              <w:rPr/>
              <w:t xml:space="preserve">Punto de inspección</w:t>
            </w:r>
          </w:p>
        </w:tc>
        <w:tc>
          <w:tcPr>
            <w:tcW w:w="7393" w:type="dxa"/>
          </w:tcPr>
          <w:p>
            <w:pPr>
              <w:pStyle w:val="CeldaAPA"/>
              <w:jc w:val="left"/>
            </w:pPr>
            <w:r>
              <w:rPr/>
              <w:t xml:space="preserve">Control del PPI con criterio de aprobación, lote, frecuencia y responsable definidos; los puntos de parada obligan a detener la actividad hasta obtener la conformidad</w:t>
            </w:r>
            <w:r>
              <w:rPr/>
              <w:t xml:space="preserve"> </w:t>
            </w:r>
            <w:r>
              <w:rPr/>
              <w:t xml:space="preserve">(Muro Núñez, 2020, anexo 4)</w:t>
            </w:r>
            <w:r>
              <w:rPr/>
              <w:t xml:space="preserve">. La inspección comprende observar, verificar y documentar la conformidad con los documentos de construcción</w:t>
            </w:r>
            <w:r>
              <w:rPr/>
              <w:t xml:space="preserve"> </w:t>
            </w:r>
            <w:r>
              <w:rPr/>
              <w:t xml:space="preserve">(ACI Committee 318, 2025, Sección 2.3, p. 43)</w:t>
            </w:r>
            <w:r>
              <w:rPr/>
              <w:t xml:space="preserve">.</w:t>
            </w:r>
          </w:p>
        </w:tc>
      </w:tr>
      <w:tr>
        <w:tc>
          <w:tcPr>
            <w:tcW w:w="1967" w:type="dxa"/>
          </w:tcPr>
          <w:p>
            <w:pPr>
              <w:pStyle w:val="CeldaAPA"/>
              <w:jc w:val="left"/>
            </w:pPr>
            <w:r>
              <w:rPr/>
              <w:t xml:space="preserve">Liberación</w:t>
            </w:r>
          </w:p>
        </w:tc>
        <w:tc>
          <w:tcPr>
            <w:tcW w:w="7393" w:type="dxa"/>
          </w:tcPr>
          <w:p>
            <w:pPr>
              <w:pStyle w:val="CeldaAPA"/>
              <w:jc w:val="left"/>
            </w:pPr>
            <w:r>
              <w:rPr/>
              <w:t xml:space="preserve">Aprobación documentada de una partida, verificada con su protocolo, que autoriza la actividad siguiente; si no se aprueba, se observa, se corrige y se verifica de nuevo</w:t>
            </w:r>
            <w:r>
              <w:rPr/>
              <w:t xml:space="preserve"> </w:t>
            </w:r>
            <w:r>
              <w:rPr/>
              <w:t xml:space="preserve">(Gudiel Cairampoma y Solis Puente, 2020, pp. 62–64)</w:t>
            </w:r>
            <w:r>
              <w:rPr/>
              <w:t xml:space="preserve">.</w:t>
            </w:r>
          </w:p>
        </w:tc>
      </w:tr>
      <w:tr>
        <w:tc>
          <w:tcPr>
            <w:tcW w:w="1967" w:type="dxa"/>
          </w:tcPr>
          <w:p>
            <w:pPr>
              <w:pStyle w:val="CeldaAPA"/>
              <w:jc w:val="left"/>
            </w:pPr>
            <w:r>
              <w:rPr/>
              <w:t xml:space="preserve">Trazabilidad</w:t>
            </w:r>
          </w:p>
        </w:tc>
        <w:tc>
          <w:tcPr>
            <w:tcW w:w="7393" w:type="dxa"/>
          </w:tcPr>
          <w:p>
            <w:pPr>
              <w:pStyle w:val="CeldaAPA"/>
              <w:jc w:val="left"/>
            </w:pPr>
            <w:r>
              <w:rPr/>
              <w:t xml:space="preserve">Capacidad de conocer la localización de un material colocado en la obra mediante una identificación registrada</w:t>
            </w:r>
            <w:r>
              <w:rPr/>
              <w:t xml:space="preserve"> </w:t>
            </w:r>
            <w:r>
              <w:rPr/>
              <w:t xml:space="preserve">(Muro Núñez, 2020, anexo 4)</w:t>
            </w:r>
            <w:r>
              <w:rPr/>
              <w:t xml:space="preserve">. En las viguetas incluye la fecha de producción, el número de lote, la medida y la serie, y enlaza el producto con sus registros de producción y entrega</w:t>
            </w:r>
            <w:r>
              <w:rPr/>
              <w:t xml:space="preserve"> </w:t>
            </w:r>
            <w:r>
              <w:rPr/>
              <w:t xml:space="preserve">(Capcha Canaza, 2016, p. 117)</w:t>
            </w:r>
            <w:r>
              <w:rPr/>
              <w:t xml:space="preserve">.</w:t>
            </w:r>
          </w:p>
        </w:tc>
      </w:tr>
      <w:tr>
        <w:tc>
          <w:tcPr>
            <w:tcW w:w="1967" w:type="dxa"/>
          </w:tcPr>
          <w:p>
            <w:pPr>
              <w:pStyle w:val="CeldaAPA"/>
              <w:jc w:val="left"/>
            </w:pPr>
            <w:r>
              <w:rPr/>
              <w:t xml:space="preserve">Lote</w:t>
            </w:r>
          </w:p>
        </w:tc>
        <w:tc>
          <w:tcPr>
            <w:tcW w:w="7393" w:type="dxa"/>
          </w:tcPr>
          <w:p>
            <w:pPr>
              <w:pStyle w:val="CeldaAPA"/>
              <w:jc w:val="left"/>
            </w:pPr>
            <w:r>
              <w:rPr/>
              <w:t xml:space="preserve">Parte de la obra o conjunto de unidades de un material que se inspecciona y ensaya como una unidad según el PPI</w:t>
            </w:r>
            <w:r>
              <w:rPr/>
              <w:t xml:space="preserve"> </w:t>
            </w:r>
            <w:r>
              <w:rPr/>
              <w:t xml:space="preserve">(Muro Núñez, 2020, anexo 4)</w:t>
            </w:r>
            <w:r>
              <w:rPr/>
              <w:t xml:space="preserve">. En el hormigón, la frecuencia mínima de muestreo se fija por día, por volumen y, en losas, por superficie</w:t>
            </w:r>
            <w:r>
              <w:rPr/>
              <w:t xml:space="preserve"> </w:t>
            </w:r>
            <w:r>
              <w:rPr/>
              <w:t xml:space="preserve">(ACI Committee 318, 2025, Sección 26.12.2.1, p. 603)</w:t>
            </w:r>
            <w:r>
              <w:rPr/>
              <w:t xml:space="preserve">.</w:t>
            </w:r>
          </w:p>
        </w:tc>
      </w:tr>
      <w:tr>
        <w:tc>
          <w:tcPr>
            <w:tcW w:w="1967" w:type="dxa"/>
          </w:tcPr>
          <w:p>
            <w:pPr>
              <w:pStyle w:val="CeldaAPA"/>
              <w:jc w:val="left"/>
            </w:pPr>
            <w:r>
              <w:rPr/>
              <w:t xml:space="preserve">Resistencia especificada (</w:t>
            </w:r>
            <m:oMath>
              <m:r>
                <m:t>f</m:t>
              </m:r>
              <m:sSub>
                <m:e>
                  <m:r>
                    <m:rPr>
                      <m:sty m:val="p"/>
                    </m:rPr>
                    <m:t>′</m:t>
                  </m:r>
                </m:e>
                <m:sub>
                  <m:r>
                    <m:t>c</m:t>
                  </m:r>
                </m:sub>
              </m:sSub>
            </m:oMath>
            <w:r>
              <w:rPr/>
              <w:t xml:space="preserve">)</w:t>
            </w:r>
          </w:p>
        </w:tc>
        <w:tc>
          <w:tcPr>
            <w:tcW w:w="7393" w:type="dxa"/>
          </w:tcPr>
          <w:p>
            <w:pPr>
              <w:pStyle w:val="CeldaAPA"/>
              <w:jc w:val="left"/>
            </w:pPr>
            <w:r>
              <w:rPr/>
              <w:t xml:space="preserve">Resistencia a la compresión del hormigón usada en el diseño y evaluada según el código</w:t>
            </w:r>
            <w:r>
              <w:rPr/>
              <w:t xml:space="preserve"> </w:t>
            </w:r>
            <w:r>
              <w:rPr/>
              <w:t xml:space="preserve">(ACI Committee 318, 2025, Sección 2.3, p. 38)</w:t>
            </w:r>
            <w:r>
              <w:rPr/>
              <w:t xml:space="preserve">, con ensayos de cilindros a los 28 días</w:t>
            </w:r>
            <w:r>
              <w:rPr/>
              <w:t xml:space="preserve"> </w:t>
            </w:r>
            <w:r>
              <w:rPr/>
              <w:t xml:space="preserve">(ACI Committee 318, 2025, Sección 26.12.1.1, p. 601)</w:t>
            </w:r>
            <w:r>
              <w:rPr/>
              <w:t xml:space="preserve">. Las especificaciones de la obra fijan una resistencia característica de 250 kg/cm</w:t>
            </w:r>
            <w:r>
              <w:rPr>
                <w:vertAlign w:val="superscript"/>
              </w:rPr>
              <w:t xml:space="preserve">2</w:t>
            </w:r>
            <w:r>
              <w:rPr/>
              <w:t xml:space="preserve"> </w:t>
            </w:r>
            <w:r>
              <w:rPr/>
              <w:t xml:space="preserve">(UATF, s. f.-a, p. 3)</w:t>
            </w:r>
            <w:r>
              <w:rPr/>
              <w:t xml:space="preserve">, que esta tesis toma como el</w:t>
            </w:r>
            <w:r>
              <w:rPr/>
              <w:t xml:space="preserve"> </w:t>
            </w:r>
            <m:oMath>
              <m:r>
                <m:t>f</m:t>
              </m:r>
              <m:sSub>
                <m:e>
                  <m:r>
                    <m:rPr>
                      <m:sty m:val="p"/>
                    </m:rPr>
                    <m:t>′</m:t>
                  </m:r>
                </m:e>
                <m:sub>
                  <m:r>
                    <m:t>c</m:t>
                  </m:r>
                </m:sub>
              </m:sSub>
            </m:oMath>
            <w:r>
              <w:rPr/>
              <w:t xml:space="preserve"> </w:t>
            </w:r>
            <w:r>
              <w:rPr/>
              <w:t xml:space="preserve">del H25.</w:t>
            </w:r>
          </w:p>
        </w:tc>
      </w:tr>
      <w:tr>
        <w:tc>
          <w:tcPr>
            <w:tcW w:w="1967" w:type="dxa"/>
          </w:tcPr>
          <w:p>
            <w:pPr>
              <w:pStyle w:val="CeldaAPA"/>
              <w:jc w:val="left"/>
            </w:pPr>
            <w:r>
              <w:rPr/>
              <w:t xml:space="preserve">Asentamiento</w:t>
            </w:r>
          </w:p>
        </w:tc>
        <w:tc>
          <w:tcPr>
            <w:tcW w:w="7393" w:type="dxa"/>
          </w:tcPr>
          <w:p>
            <w:pPr>
              <w:pStyle w:val="CeldaAPA"/>
              <w:jc w:val="left"/>
            </w:pPr>
            <w:r>
              <w:rPr/>
              <w:t xml:space="preserve">Medida de la consistencia del hormigón fresco con el cono de Abrams (ASTM C143): seca (0 a 25 mm), plástica (25 a 75 mm), blanda (75 a 100 mm) o fluida (100 a 150 mm); se recomienda la plástica compactada por vibrado</w:t>
            </w:r>
            <w:r>
              <w:rPr/>
              <w:t xml:space="preserve"> </w:t>
            </w:r>
            <w:r>
              <w:rPr/>
              <w:t xml:space="preserve">(Fernando Aragón Ingeniería Estructural, 2025, p. 9)</w:t>
            </w:r>
            <w:r>
              <w:rPr/>
              <w:t xml:space="preserve">.</w:t>
            </w:r>
          </w:p>
        </w:tc>
      </w:tr>
      <w:tr>
        <w:tc>
          <w:tcPr>
            <w:tcW w:w="1967" w:type="dxa"/>
          </w:tcPr>
          <w:p>
            <w:pPr>
              <w:pStyle w:val="CeldaAPA"/>
              <w:jc w:val="left"/>
            </w:pPr>
            <w:r>
              <w:rPr/>
              <w:t xml:space="preserve">Carpeta de compresión</w:t>
            </w:r>
          </w:p>
        </w:tc>
        <w:tc>
          <w:tcPr>
            <w:tcW w:w="7393" w:type="dxa"/>
          </w:tcPr>
          <w:p>
            <w:pPr>
              <w:pStyle w:val="CeldaAPA"/>
              <w:jc w:val="left"/>
            </w:pPr>
            <w:r>
              <w:rPr/>
              <w:t xml:space="preserve">Capa de hormigón vaciado en obra sobre viguetas y complementos, de 5 cm en el sistema de viguetas simples</w:t>
            </w:r>
            <w:r>
              <w:rPr/>
              <w:t xml:space="preserve"> </w:t>
            </w:r>
            <w:r>
              <w:rPr/>
              <w:t xml:space="preserve">(Concretec, 2018, hoja 3)</w:t>
            </w:r>
            <w:r>
              <w:rPr/>
              <w:t xml:space="preserve">, con malla de distribución (Figura 4); la superficie rugosa de la vigueta garantiza su adherencia</w:t>
            </w:r>
            <w:r>
              <w:rPr/>
              <w:t xml:space="preserve"> </w:t>
            </w:r>
            <w:r>
              <w:rPr/>
              <w:t xml:space="preserve">(UATF, s. f.-a, p. 3)</w:t>
            </w:r>
            <w:r>
              <w:rPr/>
              <w:t xml:space="preserve">.</w:t>
            </w:r>
          </w:p>
        </w:tc>
      </w:tr>
      <w:tr>
        <w:tc>
          <w:tcPr>
            <w:tcW w:w="1967" w:type="dxa"/>
          </w:tcPr>
          <w:p>
            <w:pPr>
              <w:pStyle w:val="CeldaAPA"/>
              <w:jc w:val="left"/>
            </w:pPr>
            <w:r>
              <w:rPr/>
              <w:t xml:space="preserve">Vigueta pretensada</w:t>
            </w:r>
          </w:p>
        </w:tc>
        <w:tc>
          <w:tcPr>
            <w:tcW w:w="7393" w:type="dxa"/>
          </w:tcPr>
          <w:p>
            <w:pPr>
              <w:pStyle w:val="CeldaAPA"/>
              <w:jc w:val="left"/>
            </w:pPr>
            <w:r>
              <w:rPr/>
              <w:t xml:space="preserve">Elemento prefabricado de hormigón de alta resistencia y acero de pretensado que absorbe los esfuerzos de flexión de los nervios de una losa alivianada</w:t>
            </w:r>
            <w:r>
              <w:rPr/>
              <w:t xml:space="preserve"> </w:t>
            </w:r>
            <w:r>
              <w:rPr/>
              <w:t xml:space="preserve">(Concretec, 2018, hojas 1 y 2)</w:t>
            </w:r>
            <w:r>
              <w:rPr/>
              <w:t xml:space="preserve">; se rige por la NB 997:2016</w:t>
            </w:r>
            <w:r>
              <w:rPr/>
              <w:t xml:space="preserve"> </w:t>
            </w:r>
            <w:r>
              <w:rPr/>
              <w:t xml:space="preserve">(IBNORCA, 2016)</w:t>
            </w:r>
            <w:r>
              <w:rPr/>
              <w:t xml:space="preserve">.</w:t>
            </w:r>
          </w:p>
        </w:tc>
      </w:tr>
      <w:tr>
        <w:tc>
          <w:tcPr>
            <w:tcW w:w="1967" w:type="dxa"/>
          </w:tcPr>
          <w:p>
            <w:pPr>
              <w:pStyle w:val="CeldaAPA"/>
              <w:jc w:val="left"/>
            </w:pPr>
            <w:r>
              <w:rPr/>
              <w:t xml:space="preserve">Complemento</w:t>
            </w:r>
          </w:p>
        </w:tc>
        <w:tc>
          <w:tcPr>
            <w:tcW w:w="7393" w:type="dxa"/>
          </w:tcPr>
          <w:p>
            <w:pPr>
              <w:pStyle w:val="CeldaAPA"/>
              <w:jc w:val="left"/>
            </w:pPr>
            <w:r>
              <w:rPr/>
              <w:t xml:space="preserve">Bloque aligerante apoyado entre las viguetas; en la obra, de poliestireno expandido (plastoformo), ligero y resistente a la humedad</w:t>
            </w:r>
            <w:r>
              <w:rPr/>
              <w:t xml:space="preserve"> </w:t>
            </w:r>
            <w:r>
              <w:rPr/>
              <w:t xml:space="preserve">(Concretec, 2016, hoja 1)</w:t>
            </w:r>
            <w:r>
              <w:rPr/>
              <w:t xml:space="preserve">, que reduce el peso de la losa</w:t>
            </w:r>
            <w:r>
              <w:rPr/>
              <w:t xml:space="preserve"> </w:t>
            </w:r>
            <w:r>
              <w:rPr/>
              <w:t xml:space="preserve">(Concretec, 2016, hoja 3)</w:t>
            </w:r>
            <w:r>
              <w:rPr/>
              <w:t xml:space="preserve">.</w:t>
            </w:r>
          </w:p>
        </w:tc>
      </w:tr>
      <w:tr>
        <w:tc>
          <w:tcPr>
            <w:tcW w:w="1967" w:type="dxa"/>
          </w:tcPr>
          <w:p>
            <w:pPr>
              <w:pStyle w:val="CeldaAPA"/>
              <w:jc w:val="left"/>
            </w:pPr>
            <w:r>
              <w:rPr/>
              <w:t xml:space="preserve">Apuntalamiento</w:t>
            </w:r>
          </w:p>
        </w:tc>
        <w:tc>
          <w:tcPr>
            <w:tcW w:w="7393" w:type="dxa"/>
          </w:tcPr>
          <w:p>
            <w:pPr>
              <w:pStyle w:val="CeldaAPA"/>
              <w:jc w:val="left"/>
            </w:pPr>
            <w:r>
              <w:rPr/>
              <w:t xml:space="preserve">Soporte provisional de las viguetas con puntales, colocado antes de montar los complementos para evitar deformaciones o la caída de la losa</w:t>
            </w:r>
            <w:r>
              <w:rPr/>
              <w:t xml:space="preserve"> </w:t>
            </w:r>
            <w:r>
              <w:rPr/>
              <w:t xml:space="preserve">(Concretec, 2016, hoja 3)</w:t>
            </w:r>
            <w:r>
              <w:rPr/>
              <w:t xml:space="preserve">; los puntales se retiran cuando las probetas curadas en obra alcanzan la resistencia requerida</w:t>
            </w:r>
            <w:r>
              <w:rPr/>
              <w:t xml:space="preserve"> </w:t>
            </w:r>
            <w:r>
              <w:rPr/>
              <w:t xml:space="preserve">(ACI Committee 318, 2025, Sección 26.12.4.1, p. 604)</w:t>
            </w:r>
            <w:r>
              <w:rPr/>
              <w:t xml:space="preserve">.</w:t>
            </w:r>
          </w:p>
        </w:tc>
      </w:tr>
      <w:tr>
        <w:tc>
          <w:tcPr>
            <w:tcW w:w="1967" w:type="dxa"/>
            <w:tcBorders>
              <w:bottom w:val="single" w:sz="8" w:space="0" w:color="000000"/>
            </w:tcBorders>
          </w:tcPr>
          <w:p>
            <w:pPr>
              <w:pStyle w:val="CeldaAPA"/>
              <w:jc w:val="left"/>
            </w:pPr>
            <w:r>
              <w:rPr/>
              <w:t xml:space="preserve">Índice de desperdicio de materiales (IDM)</w:t>
            </w:r>
          </w:p>
        </w:tc>
        <w:tc>
          <w:tcPr>
            <w:tcW w:w="7393" w:type="dxa"/>
            <w:tcBorders>
              <w:bottom w:val="single" w:sz="8" w:space="0" w:color="000000"/>
            </w:tcBorders>
          </w:tcPr>
          <w:p>
            <w:pPr>
              <w:pStyle w:val="CeldaAPA"/>
              <w:jc w:val="left"/>
            </w:pPr>
            <w:r>
              <w:rPr/>
              <w:t xml:space="preserve">Diferencia entre la cantidad consumida y la teórica de un material, en porcentaje de la teórica (ecuación 2), con base en</w:t>
            </w:r>
            <w:r>
              <w:rPr/>
              <w:t xml:space="preserve"> </w:t>
            </w:r>
            <w:r>
              <w:rPr/>
              <w:t xml:space="preserve">Galarza Meza (2011, p. 9)</w:t>
            </w:r>
            <w:r>
              <w:rPr/>
              <w:t xml:space="preserve"> </w:t>
            </w:r>
            <w:r>
              <w:rPr/>
              <w:t xml:space="preserve">y</w:t>
            </w:r>
            <w:r>
              <w:rPr/>
              <w:t xml:space="preserve"> </w:t>
            </w:r>
            <w:r>
              <w:rPr/>
              <w:t xml:space="preserve">Rossi et al. (2001, Sección 2)</w:t>
            </w:r>
            <w:r>
              <w:rPr/>
              <w:t xml:space="preserve">.</w:t>
            </w:r>
          </w:p>
        </w:tc>
      </w:tr>
    </w:tbl>
    <w:p>
      <w:pPr>
        <w:pStyle w:val="NotaAPA"/>
      </w:pPr>
      <w:r>
        <w:rPr>
          <w:iCs/>
          <w:i/>
        </w:rPr>
        <w:t xml:space="preserve">Nota.</w:t>
      </w:r>
      <w:r>
        <w:t xml:space="preserve"> </w:t>
      </w:r>
      <w:r>
        <w:t xml:space="preserve">Elaborado con base en las fuentes citadas. PPI: programa de puntos de inspección.</w:t>
      </w:r>
    </w:p>
    <w:p>
      <w:pPr>
        <w:pStyle w:val="Heading1"/>
      </w:pPr>
      <w:bookmarkStart w:id="189" w:name="tit85"/>
      <w:r>
        <w:t xml:space="preserve">CAPÍTULO 2</w:t>
      </w:r>
      <w:r>
        <w:br/>
      </w:r>
      <w:r>
        <w:t xml:space="preserve">DISEÑO E IMPLEMENTACIÓN DEL SISTEMA DE GESTIÓN DE LA CALIDAD</w:t>
      </w:r>
      <w:bookmarkEnd w:id="189"/>
    </w:p>
    <w:p>
      <w:pPr>
        <w:pStyle w:val="FirstParagraph"/>
      </w:pPr>
      <w:r>
        <w:t xml:space="preserve">Este capítulo desarrolla el modelo de investigación con la secuencia que propone la guía del Seminario de Grado: conceptualización y alcance, factores y variables, procedimiento y toma de observaciones, validación de las observaciones y contraste de hipótesis</w:t>
      </w:r>
      <w:r>
        <w:t xml:space="preserve"> </w:t>
      </w:r>
      <w:r>
        <w:t xml:space="preserve">(Barrios C., 2021c)</w:t>
      </w:r>
      <w:r>
        <w:t xml:space="preserve">. Las secciones 2.1 a 2.5 definen el modelo, caracterizan el caso, operacionalizan las variables, delimitan la población y presentan el diagnóstico de la primera losa, que constituye la línea base. La Sección 2.6 presenta el diseño del Sistema de Gestión de la Calidad (SGC) y las secciones 2.7 a 2.9 describen su implementación prevista, la evaluación</w:t>
      </w:r>
      <w:r>
        <w:t xml:space="preserve"> </w:t>
      </w:r>
      <w:r>
        <w:rPr>
          <w:iCs/>
          <w:i/>
        </w:rPr>
        <w:t xml:space="preserve">ex ante</w:t>
      </w:r>
      <w:r>
        <w:t xml:space="preserve"> </w:t>
      </w:r>
      <w:r>
        <w:t xml:space="preserve">por simulación, la validación y el plan de contraste de hipótesis.</w:t>
      </w:r>
    </w:p>
    <w:p>
      <w:pPr>
        <w:pStyle w:val="Heading2"/>
      </w:pPr>
      <w:bookmarkStart w:id="119" w:name="tit86"/>
      <w:r>
        <w:t xml:space="preserve">2.1. Conceptualización y alcance del modelo de investigación</w:t>
      </w:r>
      <w:bookmarkEnd w:id="119"/>
    </w:p>
    <w:p>
      <w:pPr>
        <w:pStyle w:val="FirstParagraph"/>
      </w:pPr>
      <w:r>
        <w:t xml:space="preserve">El modelo de investigación representa la relación causal que plantea la hipótesis: la aplicación de un SGC basado en la norma ISO 9001 (</w:t>
      </w:r>
      <m:oMath>
        <m:r>
          <m:t>X</m:t>
        </m:r>
      </m:oMath>
      <w:r>
        <w:t xml:space="preserve">) modifica el costo de ejecución de la losa alivianada (</w:t>
      </w:r>
      <m:oMath>
        <m:r>
          <m:t>Y</m:t>
        </m:r>
      </m:oMath>
      <w:r>
        <w:t xml:space="preserve">) por dos vías, la reducción del desperdicio de materiales y la reducción del costo de no calidad, a cambio de un costo de prevención y evaluación. El perfil de la investigación previó un diseño de un solo grupo con medición antes y después del tratamiento (</w:t>
      </w:r>
      <m:oMath>
        <m:sSub>
          <m:e>
            <m:r>
              <m:t>O</m:t>
            </m:r>
          </m:e>
          <m:sub>
            <m:r>
              <m:t>1</m:t>
            </m:r>
          </m:sub>
        </m:sSub>
      </m:oMath>
      <w:r>
        <w:t xml:space="preserve">–</w:t>
      </w:r>
      <m:oMath>
        <m:r>
          <m:t>X</m:t>
        </m:r>
      </m:oMath>
      <w:r>
        <w:t xml:space="preserve">–</w:t>
      </w:r>
      <m:oMath>
        <m:sSub>
          <m:e>
            <m:r>
              <m:t>O</m:t>
            </m:r>
          </m:e>
          <m:sub>
            <m:r>
              <m:t>2</m:t>
            </m:r>
          </m:sub>
        </m:sSub>
      </m:oMath>
      <w:r>
        <w:t xml:space="preserve">): la primera losa, ejecutada sin SGC, sería la preprueba, y la segunda losa, ejecutada con el SGC, la posprueba. Ese diseño compara paños de la misma geometría, pero por sí solo no permite atribuir con certeza la diferencia al tratamiento, porque carece de un grupo de comparación y queda expuesto a hechos externos que ocurren entre las dos mediciones</w:t>
      </w:r>
      <w:r>
        <w:t xml:space="preserve"> </w:t>
      </w:r>
      <w:r>
        <w:t xml:space="preserve">(Hernández-Sampieri y Mendoza Torres, 2018, p. 163)</w:t>
      </w:r>
      <w:r>
        <w:t xml:space="preserve">.</w:t>
      </w:r>
    </w:p>
    <w:p>
      <w:pPr>
        <w:pStyle w:val="BodyText"/>
      </w:pPr>
      <w:r>
        <w:t xml:space="preserve">La ejecución de la obra impidió la posprueba en campo. El 5 de enero de 2026 la empresa contratista presentó a la entidad una carta notariada de intención de resolución consensuada del contrato por fuerza mayor o caso fortuito, atribuida al Decreto Supremo N.</w:t>
      </w:r>
      <w:r>
        <w:rPr>
          <w:vertAlign w:val="superscript"/>
        </w:rPr>
        <w:t xml:space="preserve">o</w:t>
      </w:r>
      <w:r>
        <w:t xml:space="preserve"> 5503, que retiró la subvención estatal a la gasolina y al diésel, y solicitó la paralización de la obra; la Supervisión le instruyó seguir el procedimiento contractual</w:t>
      </w:r>
      <w:r>
        <w:t xml:space="preserve"> </w:t>
      </w:r>
      <w:r>
        <w:t xml:space="preserve">(UATF, s. f.-b, pp. 1, 14)</w:t>
      </w:r>
      <w:r>
        <w:t xml:space="preserve">. La UATF respondió favorablemente el 10 de febrero de 2026, y el contrato se cerró con una planilla de avance por resolución, firmada el 16 de marzo de 2026, con un avance total del 57,43 %</w:t>
      </w:r>
      <w:r>
        <w:t xml:space="preserve"> </w:t>
      </w:r>
      <w:r>
        <w:t xml:space="preserve">(UATF, s. f.-b, pp. 1–2)</w:t>
      </w:r>
      <w:r>
        <w:t xml:space="preserve">. Durante la investigación no se ejecutó la segunda losa. Por ello se aplicó el diseño alternativo previsto en el perfil, que conserva la lógica</w:t>
      </w:r>
      <w:r>
        <w:t xml:space="preserve"> </w:t>
      </w:r>
      <m:oMath>
        <m:sSub>
          <m:e>
            <m:r>
              <m:t>O</m:t>
            </m:r>
          </m:e>
          <m:sub>
            <m:r>
              <m:t>1</m:t>
            </m:r>
          </m:sub>
        </m:sSub>
      </m:oMath>
      <w:r>
        <w:t xml:space="preserve">–</w:t>
      </w:r>
      <m:oMath>
        <m:r>
          <m:t>X</m:t>
        </m:r>
      </m:oMath>
      <w:r>
        <w:t xml:space="preserve">–</w:t>
      </w:r>
      <m:oMath>
        <m:sSub>
          <m:e>
            <m:r>
              <m:t>O</m:t>
            </m:r>
          </m:e>
          <m:sub>
            <m:r>
              <m:t>2</m:t>
            </m:r>
          </m:sub>
        </m:sSub>
      </m:oMath>
      <w:r>
        <w:t xml:space="preserve"> </w:t>
      </w:r>
      <w:r>
        <w:t xml:space="preserve">y reemplaza la posprueba de campo por una evaluación</w:t>
      </w:r>
      <w:r>
        <w:t xml:space="preserve"> </w:t>
      </w:r>
      <w:r>
        <w:rPr>
          <w:iCs/>
          <w:i/>
        </w:rPr>
        <w:t xml:space="preserve">ex ante</w:t>
      </w:r>
      <w:r>
        <w:t xml:space="preserve"> </w:t>
      </w:r>
      <w:r>
        <w:t xml:space="preserve">(Figura 5):</w:t>
      </w:r>
    </w:p>
    <w:p>
      <w:pPr>
        <w:numPr>
          <w:ilvl w:val="0"/>
          <w:numId w:val="1010"/>
        </w:numPr>
      </w:pPr>
      <w:r>
        <w:rPr>
          <w:bCs/>
          <w:b/>
        </w:rPr>
        <w:t xml:space="preserve">Línea base (</w:t>
      </w:r>
      <m:oMath>
        <m:sSub>
          <m:e>
            <m:r>
              <m:t>O</m:t>
            </m:r>
          </m:e>
          <m:sub>
            <m:r>
              <m:t>1</m:t>
            </m:r>
          </m:sub>
        </m:sSub>
      </m:oMath>
      <w:r>
        <w:rPr>
          <w:bCs/>
          <w:b/>
        </w:rPr>
        <w:t xml:space="preserve">), retrospectiva y documental.</w:t>
      </w:r>
      <w:r>
        <w:t xml:space="preserve"> </w:t>
      </w:r>
      <w:r>
        <w:t xml:space="preserve">Es la primera losa: 41 paños y 1.109,84 m</w:t>
      </w:r>
      <w:r>
        <w:rPr>
          <w:vertAlign w:val="superscript"/>
        </w:rPr>
        <w:t xml:space="preserve">2</w:t>
      </w:r>
      <w:r>
        <w:t xml:space="preserve"> </w:t>
      </w:r>
      <w:r>
        <w:t xml:space="preserve">ejecutados sin SGC entre noviembre y diciembre de 2025. Se reconstruyó con los planos, las especificaciones técnicas (ET), los cómputos, las planillas de avance, los certificados, el Libro de Órdenes y el contrato (Sección 2.5).</w:t>
      </w:r>
    </w:p>
    <w:p>
      <w:pPr>
        <w:numPr>
          <w:ilvl w:val="0"/>
          <w:numId w:val="1010"/>
        </w:numPr>
      </w:pPr>
      <w:r>
        <w:rPr>
          <w:bCs/>
          <w:b/>
        </w:rPr>
        <w:t xml:space="preserve">Tratamiento (</w:t>
      </w:r>
      <m:oMath>
        <m:r>
          <m:t>X</m:t>
        </m:r>
      </m:oMath>
      <w:r>
        <w:rPr>
          <w:bCs/>
          <w:b/>
        </w:rPr>
        <w:t xml:space="preserve">).</w:t>
      </w:r>
      <w:r>
        <w:t xml:space="preserve"> </w:t>
      </w:r>
      <w:r>
        <w:t xml:space="preserve">Es el SGC diseñado: plan de la calidad elaborado con las directrices de ISO 10005:2018, plan de puntos de inspección y ensayo (PPI), procedimientos de control de materiales, tratamiento de no conformidades y registro de costos de la calidad (Sección 2.6).</w:t>
      </w:r>
    </w:p>
    <w:p>
      <w:pPr>
        <w:numPr>
          <w:ilvl w:val="0"/>
          <w:numId w:val="1010"/>
        </w:numPr>
      </w:pPr>
      <w:r>
        <w:rPr>
          <w:bCs/>
          <w:b/>
        </w:rPr>
        <w:t xml:space="preserve">Posprueba simulada (</w:t>
      </w:r>
      <m:oMath>
        <m:sSub>
          <m:e>
            <m:r>
              <m:t>O</m:t>
            </m:r>
          </m:e>
          <m:sub>
            <m:r>
              <m:t>2</m:t>
            </m:r>
          </m:sub>
        </m:sSub>
      </m:oMath>
      <w:r>
        <w:rPr>
          <w:bCs/>
          <w:b/>
        </w:rPr>
        <w:t xml:space="preserve">).</w:t>
      </w:r>
      <w:r>
        <w:t xml:space="preserve"> </w:t>
      </w:r>
      <w:r>
        <w:t xml:space="preserve">Es un modelo de costos a precios constantes del contrato con simulación de Monte Carlo, que estima el costo de ejecutar los 2.234,60 m</w:t>
      </w:r>
      <w:r>
        <w:rPr>
          <w:vertAlign w:val="superscript"/>
        </w:rPr>
        <w:t xml:space="preserve">2</w:t>
      </w:r>
      <w:r>
        <w:t xml:space="preserve"> </w:t>
      </w:r>
      <w:r>
        <w:t xml:space="preserve">restantes (segunda y tercera losa, con paños homólogos a los de la primera) en dos escenarios:</w:t>
      </w:r>
      <w:r>
        <w:t xml:space="preserve"> </w:t>
      </w:r>
      <w:r>
        <w:rPr>
          <w:iCs/>
          <w:i/>
        </w:rPr>
        <w:t xml:space="preserve">control</w:t>
      </w:r>
      <w:r>
        <w:t xml:space="preserve">, sin SGC, con el desempeño de la línea base, y</w:t>
      </w:r>
      <w:r>
        <w:t xml:space="preserve"> </w:t>
      </w:r>
      <w:r>
        <w:rPr>
          <w:iCs/>
          <w:i/>
        </w:rPr>
        <w:t xml:space="preserve">tratamiento</w:t>
      </w:r>
      <w:r>
        <w:t xml:space="preserve">, con SGC (Sección 2.7.2).</w:t>
      </w:r>
    </w:p>
    <w:p>
      <w:pPr>
        <w:pStyle w:val="FirstParagraph"/>
      </w:pPr>
      <w:r>
        <w:t xml:space="preserve">La guía del Seminario de Grado admite la modelación de simulación teórica como modelo de investigación, siempre que incluya un tratamiento de control y permita calcular el grado de incertidumbre de los resultados</w:t>
      </w:r>
      <w:r>
        <w:t xml:space="preserve"> </w:t>
      </w:r>
      <w:r>
        <w:t xml:space="preserve">(Barrios C., 2021c)</w:t>
      </w:r>
      <w:r>
        <w:t xml:space="preserve">. El escenario de control cumple la función del grupo que no recibe el tratamiento en un experimento</w:t>
      </w:r>
      <w:r>
        <w:t xml:space="preserve"> </w:t>
      </w:r>
      <w:r>
        <w:t xml:space="preserve">(Hernández-Sampieri y Mendoza Torres, 2018, p. 154)</w:t>
      </w:r>
      <w:r>
        <w:t xml:space="preserve">; la diferencia es que aquí ambos escenarios se calculan sobre la misma geometría y con los mismos precios, de modo que el único factor que cambia entre ellos es el SGC. La incertidumbre se representa con distribuciones de probabilidad de los parámetros y se traslada al resultado. Por eso el contraste de hipótesis es probabilístico: la hipótesis general se acepta si la probabilidad de que la reducción relativa del costo unitario (</w:t>
      </w:r>
      <m:oMath>
        <m:r>
          <m:t>r</m:t>
        </m:r>
      </m:oMath>
      <w:r>
        <w:t xml:space="preserve">) sea de al menos el 5 % es igual o mayor que 0,95, lo que equivale a un nivel de significancia de 0,05 en un contraste unilateral (Sección 2.9).</w:t>
      </w:r>
    </w:p>
    <w:p>
      <w:pPr>
        <w:pStyle w:val="BodyText"/>
      </w:pPr>
      <w:r>
        <w:t xml:space="preserve">El diseño es no experimental, porque el SGC no se manipuló en la obra y las variables de la línea base se observaron tal como ocurrieron</w:t>
      </w:r>
      <w:r>
        <w:t xml:space="preserve"> </w:t>
      </w:r>
      <w:r>
        <w:t xml:space="preserve">(Hernández-Sampieri y Mendoza Torres, 2018, p. 175)</w:t>
      </w:r>
      <w:r>
        <w:t xml:space="preserve">; la línea base es longitudinal y retrospectiva, porque se reconstruyó con documentos producidos en distintos momentos de la ejecución</w:t>
      </w:r>
      <w:r>
        <w:t xml:space="preserve"> </w:t>
      </w:r>
      <w:r>
        <w:t xml:space="preserve">(Hernández-Sampieri y Mendoza Torres, 2018, p. 180)</w:t>
      </w:r>
      <w:r>
        <w:t xml:space="preserve">. La evaluación del tratamiento es</w:t>
      </w:r>
      <w:r>
        <w:t xml:space="preserve"> </w:t>
      </w:r>
      <w:r>
        <w:rPr>
          <w:iCs/>
          <w:i/>
        </w:rPr>
        <w:t xml:space="preserve">ex ante</w:t>
      </w:r>
      <w:r>
        <w:t xml:space="preserve"> </w:t>
      </w:r>
      <w:r>
        <w:t xml:space="preserve">y queda sujeta a verificación cuando se ejecute la segunda losa (Sección 2.9.1).</w:t>
      </w:r>
    </w:p>
    <w:p>
      <w:pPr>
        <w:pStyle w:val="Caption"/>
      </w:pPr>
      <w:bookmarkStart w:id="1423" w:name="fig5"/>
      <w:r>
        <w:t xml:space="preserve"/>
      </w:r>
      <w:r>
        <w:rPr>
          <w:bCs/>
          <w:b/>
        </w:rPr>
        <w:t xml:space="preserve">Figura 5</w:t>
      </w:r>
      <w:r>
        <w:br/>
      </w:r>
      <w:r>
        <w:rPr>
          <w:iCs/>
          <w:i/>
        </w:rPr>
        <w:t xml:space="preserve">Esquema del modelo de investigación con posprueba simulada</w:t>
      </w:r>
      <w:bookmarkEnd w:id="1423"/>
    </w:p>
    <w:p>
      <w:pPr>
        <w:pStyle w:val="FiguraAPA"/>
      </w:pPr>
      <w:r>
        <w:drawing>
          <wp:inline>
            <wp:extent cx="5853959" cy="2187997"/>
            <wp:effectExtent b="0" l="0" r="0" t="0"/>
            <wp:docPr descr="image" title="" id="117" name="Picture"/>
            <a:graphic>
              <a:graphicData uri="http://schemas.openxmlformats.org/drawingml/2006/picture">
                <pic:pic>
                  <pic:nvPicPr>
                    <pic:cNvPr descr="/home/user/TesisSGC/07_Entregables/scripts/_trabajo_sencilla/tikz/tikz_7d7974261e74d0b2c385.png" id="118" name="Picture"/>
                    <pic:cNvPicPr>
                      <a:picLocks noChangeArrowheads="1" noChangeAspect="1"/>
                    </pic:cNvPicPr>
                  </pic:nvPicPr>
                  <pic:blipFill>
                    <a:blip r:embed="rId116"/>
                    <a:stretch>
                      <a:fillRect/>
                    </a:stretch>
                  </pic:blipFill>
                  <pic:spPr bwMode="auto">
                    <a:xfrm>
                      <a:off x="0" y="0"/>
                      <a:ext cx="5853959" cy="2187997"/>
                    </a:xfrm>
                    <a:prstGeom prst="rect">
                      <a:avLst/>
                    </a:prstGeom>
                    <a:noFill/>
                    <a:ln w="9525">
                      <a:noFill/>
                      <a:headEnd/>
                      <a:tailEnd/>
                    </a:ln>
                  </pic:spPr>
                </pic:pic>
              </a:graphicData>
            </a:graphic>
          </wp:inline>
        </w:drawing>
      </w:r>
    </w:p>
    <w:p>
      <w:pPr>
        <w:pStyle w:val="NotaAPA"/>
      </w:pPr>
      <w:r>
        <w:rPr>
          <w:iCs/>
          <w:i/>
        </w:rPr>
        <w:t xml:space="preserve">Nota.</w:t>
      </w:r>
      <w:r>
        <w:t xml:space="preserve"> </w:t>
      </w:r>
      <w:r>
        <w:t xml:space="preserve">Elaboración propia. IDM: índice de desperdicio de materiales; CNC: costo de no calidad; PPI: plan de puntos de inspección y ensayo; PCM: procedimiento de control de materiales;</w:t>
      </w:r>
      <w:r>
        <w:t xml:space="preserve"> </w:t>
      </w:r>
      <m:oMath>
        <m:r>
          <m:t>r</m:t>
        </m:r>
      </m:oMath>
      <w:r>
        <w:t xml:space="preserve">: reducción relativa del costo unitario. La línea discontinua indica la verificación que queda pendiente porque la segunda losa no se ejecutó durante la investigación.</w:t>
      </w:r>
    </w:p>
    <w:p>
      <w:pPr>
        <w:pStyle w:val="BodyText"/>
      </w:pPr>
      <w:r>
        <w:rPr>
          <w:bCs/>
          <w:b/>
        </w:rPr>
        <w:t xml:space="preserve">Alcance.</w:t>
      </w:r>
      <w:r>
        <w:t xml:space="preserve"> </w:t>
      </w:r>
      <w:r>
        <w:t xml:space="preserve">El modelo abarca el ítem 13 del contrato, «H</w:t>
      </w:r>
      <w:r>
        <w:rPr>
          <w:vertAlign w:val="superscript"/>
        </w:rPr>
        <w:t xml:space="preserve">o</w:t>
      </w:r>
      <w:r>
        <w:t xml:space="preserve">S</w:t>
      </w:r>
      <w:r>
        <w:rPr>
          <w:vertAlign w:val="superscript"/>
        </w:rPr>
        <w:t xml:space="preserve">o</w:t>
      </w:r>
      <w:r>
        <w:t xml:space="preserve"> </w:t>
      </w:r>
      <w:r>
        <w:t xml:space="preserve">losa alivianada con vigueta simple pretensada y plastoformo h = 25 cm», y el acero de la losa, que se mide y paga en el ítem 8</w:t>
      </w:r>
      <w:r>
        <w:t xml:space="preserve"> </w:t>
      </w:r>
      <w:r>
        <w:t xml:space="preserve">(UATF, 2025, pp. 16, 20)</w:t>
      </w:r>
      <w:r>
        <w:t xml:space="preserve">. Considera los cuatro materiales principales del sistema (viguetas pretensadas, complementos de poliestireno expandido o EPS, hormigón y acero), los retrabajos y los costos de prevención y evaluación del SGC. Los costos se valoran a precios constantes del contrato, que no admite reajuste de precios</w:t>
      </w:r>
      <w:r>
        <w:t xml:space="preserve"> </w:t>
      </w:r>
      <w:r>
        <w:t xml:space="preserve">(UATF, 2025, p. 95)</w:t>
      </w:r>
      <w:r>
        <w:t xml:space="preserve">; así, el alza de precios de 2025 y 2026 no se confunde con el efecto del SGC. Temporalmente, la línea base cubre el periodo de la Planilla de avance N.</w:t>
      </w:r>
      <w:r>
        <w:rPr>
          <w:vertAlign w:val="superscript"/>
        </w:rPr>
        <w:t xml:space="preserve">o</w:t>
      </w:r>
      <w:r>
        <w:t xml:space="preserve"> 2 (04/09/2025 a 08/12/2025), en el que se armó, vació y certificó la primera losa, más los documentos de cierre del contrato. La Tabla 16 resume las fases del modelo, sus productos y el objetivo específico al que responde cada una.</w:t>
      </w:r>
    </w:p>
    <w:p>
      <w:pPr>
        <w:pStyle w:val="Caption"/>
      </w:pPr>
      <w:bookmarkStart w:id="1424" w:name="tab16"/>
      <w:r>
        <w:t xml:space="preserve"/>
      </w:r>
      <w:r>
        <w:rPr>
          <w:bCs/>
          <w:b/>
        </w:rPr>
        <w:t xml:space="preserve">Tabla 16</w:t>
      </w:r>
      <w:r>
        <w:br/>
      </w:r>
      <w:r>
        <w:rPr>
          <w:iCs/>
          <w:i/>
        </w:rPr>
        <w:t xml:space="preserve">Fases del modelo de investigación</w:t>
      </w:r>
      <w:bookmarkEnd w:id="1424"/>
    </w:p>
    <w:tbl>
      <w:tblPr>
        <w:tblStyle w:val="Table"/>
        <w:tblW w:w="9361" w:type="dxa"/>
        <w:jc w:val="left"/>
        <w:tblLayout w:type="fixed"/>
        <w:tblCellMar>
          <w:top w:w="0" w:type="dxa"/>
          <w:left w:w="85" w:type="dxa"/>
          <w:bottom w:w="0" w:type="dxa"/>
          <w:right w:w="85" w:type="dxa"/>
        </w:tblCellMar>
        <w:tblLook w:firstRow="1" w:lastRow="0" w:firstColumn="0" w:lastColumn="0" w:noHBand="0" w:noVBand="0" w:val="0020"/>
      </w:tblPr>
      <w:tblGrid>
        <w:gridCol w:w="1593"/>
        <w:gridCol w:w="2440"/>
        <w:gridCol w:w="2028"/>
        <w:gridCol w:w="760"/>
        <w:gridCol w:w="2540"/>
      </w:tblGrid>
      <w:tr>
        <w:trPr>
          <w:cantSplit/>
          <w:tblHeader w:val="true"/>
        </w:trPr>
        <w:tc>
          <w:tcPr>
            <w:tcW w:w="1593" w:type="dxa"/>
            <w:tcBorders>
              <w:top w:val="single" w:sz="8" w:space="0" w:color="000000"/>
              <w:bottom w:val="single" w:sz="4" w:space="0" w:color="000000"/>
            </w:tcBorders>
          </w:tcPr>
          <w:p>
            <w:pPr>
              <w:pStyle w:val="CeldaAPA"/>
              <w:jc w:val="center"/>
            </w:pPr>
            <w:r>
              <w:rPr>
                <w:bCs/>
                <w:b/>
              </w:rPr>
              <w:t xml:space="preserve">Fase</w:t>
            </w:r>
          </w:p>
        </w:tc>
        <w:tc>
          <w:tcPr>
            <w:tcW w:w="2440" w:type="dxa"/>
            <w:tcBorders>
              <w:top w:val="single" w:sz="8" w:space="0" w:color="000000"/>
              <w:bottom w:val="single" w:sz="4" w:space="0" w:color="000000"/>
            </w:tcBorders>
          </w:tcPr>
          <w:p>
            <w:pPr>
              <w:pStyle w:val="CeldaAPA"/>
              <w:jc w:val="center"/>
            </w:pPr>
            <w:r>
              <w:rPr>
                <w:bCs/>
                <w:b/>
              </w:rPr>
              <w:t xml:space="preserve">Actividades</w:t>
            </w:r>
          </w:p>
        </w:tc>
        <w:tc>
          <w:tcPr>
            <w:tcW w:w="2028" w:type="dxa"/>
            <w:tcBorders>
              <w:top w:val="single" w:sz="8" w:space="0" w:color="000000"/>
              <w:bottom w:val="single" w:sz="4" w:space="0" w:color="000000"/>
            </w:tcBorders>
          </w:tcPr>
          <w:p>
            <w:pPr>
              <w:pStyle w:val="CeldaAPA"/>
              <w:jc w:val="center"/>
            </w:pPr>
            <w:r>
              <w:rPr>
                <w:bCs/>
                <w:b/>
              </w:rPr>
              <w:t xml:space="preserve">Productos</w:t>
            </w:r>
          </w:p>
        </w:tc>
        <w:tc>
          <w:tcPr>
            <w:tcW w:w="760" w:type="dxa"/>
            <w:tcBorders>
              <w:top w:val="single" w:sz="8" w:space="0" w:color="000000"/>
              <w:bottom w:val="single" w:sz="4" w:space="0" w:color="000000"/>
            </w:tcBorders>
          </w:tcPr>
          <w:p>
            <w:pPr>
              <w:pStyle w:val="CeldaAPA"/>
              <w:jc w:val="center"/>
            </w:pPr>
            <w:r>
              <w:rPr>
                <w:bCs/>
                <w:b/>
              </w:rPr>
              <w:t xml:space="preserve">OE</w:t>
            </w:r>
          </w:p>
        </w:tc>
        <w:tc>
          <w:tcPr>
            <w:tcW w:w="2540" w:type="dxa"/>
            <w:tcBorders>
              <w:top w:val="single" w:sz="8" w:space="0" w:color="000000"/>
              <w:bottom w:val="single" w:sz="4" w:space="0" w:color="000000"/>
            </w:tcBorders>
          </w:tcPr>
          <w:p>
            <w:pPr>
              <w:pStyle w:val="CeldaAPA"/>
              <w:jc w:val="center"/>
            </w:pPr>
            <w:r>
              <w:rPr>
                <w:bCs/>
                <w:b/>
              </w:rPr>
              <w:t xml:space="preserve">Sección</w:t>
            </w:r>
          </w:p>
        </w:tc>
      </w:tr>
      <w:tr>
        <w:tc>
          <w:tcPr>
            <w:tcW w:w="1593" w:type="dxa"/>
          </w:tcPr>
          <w:p>
            <w:pPr>
              <w:pStyle w:val="CeldaAPA"/>
              <w:jc w:val="left"/>
            </w:pPr>
            <w:r>
              <w:rPr/>
              <w:t xml:space="preserve">1. Diagnóstico</w:t>
            </w:r>
          </w:p>
        </w:tc>
        <w:tc>
          <w:tcPr>
            <w:tcW w:w="2440" w:type="dxa"/>
          </w:tcPr>
          <w:p>
            <w:pPr>
              <w:pStyle w:val="CeldaAPA"/>
              <w:jc w:val="left"/>
            </w:pPr>
            <w:r>
              <w:rPr/>
              <w:t xml:space="preserve">Análisis documental; aplicación documental de la lista de verificación ISO 9001:2026; identificación de no conformidades; Pareto e Ishikawa</w:t>
            </w:r>
          </w:p>
        </w:tc>
        <w:tc>
          <w:tcPr>
            <w:tcW w:w="2028" w:type="dxa"/>
          </w:tcPr>
          <w:p>
            <w:pPr>
              <w:pStyle w:val="CeldaAPA"/>
              <w:jc w:val="left"/>
            </w:pPr>
            <w:r>
              <w:rPr/>
              <w:t xml:space="preserve">Porcentaje de cumplimiento por cláusula; no conformidades y causas</w:t>
            </w:r>
          </w:p>
        </w:tc>
        <w:tc>
          <w:tcPr>
            <w:tcW w:w="760" w:type="dxa"/>
          </w:tcPr>
          <w:p>
            <w:pPr>
              <w:pStyle w:val="CeldaAPA"/>
              <w:jc w:val="left"/>
            </w:pPr>
            <w:r>
              <w:rPr/>
              <w:t xml:space="preserve">OE1</w:t>
            </w:r>
          </w:p>
        </w:tc>
        <w:tc>
          <w:tcPr>
            <w:tcW w:w="2540" w:type="dxa"/>
          </w:tcPr>
          <w:p>
            <w:pPr>
              <w:pStyle w:val="CeldaAPA"/>
              <w:jc w:val="left"/>
            </w:pPr>
            <w:r>
              <w:rPr/>
              <w:t xml:space="preserve">2.5.1 a 2.5.3</w:t>
            </w:r>
          </w:p>
        </w:tc>
      </w:tr>
      <w:tr>
        <w:tc>
          <w:tcPr>
            <w:tcW w:w="1593" w:type="dxa"/>
          </w:tcPr>
          <w:p>
            <w:pPr>
              <w:pStyle w:val="CeldaAPA"/>
              <w:jc w:val="left"/>
            </w:pPr>
            <w:r>
              <w:rPr/>
              <w:t xml:space="preserve">2. Línea base (</w:t>
            </w:r>
            <m:oMath>
              <m:sSub>
                <m:e>
                  <m:r>
                    <m:t>O</m:t>
                  </m:r>
                </m:e>
                <m:sub>
                  <m:r>
                    <m:t>1</m:t>
                  </m:r>
                </m:sub>
              </m:sSub>
            </m:oMath>
            <w:r>
              <w:rPr/>
              <w:t xml:space="preserve">)</w:t>
            </w:r>
          </w:p>
        </w:tc>
        <w:tc>
          <w:tcPr>
            <w:tcW w:w="2440" w:type="dxa"/>
          </w:tcPr>
          <w:p>
            <w:pPr>
              <w:pStyle w:val="CeldaAPA"/>
              <w:jc w:val="left"/>
            </w:pPr>
            <w:r>
              <w:rPr/>
              <w:t xml:space="preserve">Cantidades teóricas de planos; cantidades entregadas y pagadas; parámetros de literatura para lo no registrado</w:t>
            </w:r>
          </w:p>
        </w:tc>
        <w:tc>
          <w:tcPr>
            <w:tcW w:w="2028" w:type="dxa"/>
          </w:tcPr>
          <w:p>
            <w:pPr>
              <w:pStyle w:val="CeldaAPA"/>
              <w:jc w:val="left"/>
            </w:pPr>
            <w:r>
              <w:rPr/>
              <w:t xml:space="preserve">IDM y CNC sin SGC; parámetros del escenario de control</w:t>
            </w:r>
          </w:p>
        </w:tc>
        <w:tc>
          <w:tcPr>
            <w:tcW w:w="760" w:type="dxa"/>
          </w:tcPr>
          <w:p>
            <w:pPr>
              <w:pStyle w:val="CeldaAPA"/>
              <w:jc w:val="left"/>
            </w:pPr>
            <w:r>
              <w:rPr/>
              <w:t xml:space="preserve">OE2</w:t>
            </w:r>
          </w:p>
        </w:tc>
        <w:tc>
          <w:tcPr>
            <w:tcW w:w="2540" w:type="dxa"/>
          </w:tcPr>
          <w:p>
            <w:pPr>
              <w:pStyle w:val="CeldaAPA"/>
              <w:jc w:val="left"/>
            </w:pPr>
            <w:r>
              <w:rPr/>
              <w:t xml:space="preserve">2.5.4</w:t>
            </w:r>
          </w:p>
        </w:tc>
      </w:tr>
      <w:tr>
        <w:tc>
          <w:tcPr>
            <w:tcW w:w="1593" w:type="dxa"/>
          </w:tcPr>
          <w:p>
            <w:pPr>
              <w:pStyle w:val="CeldaAPA"/>
              <w:jc w:val="left"/>
            </w:pPr>
            <w:r>
              <w:rPr/>
              <w:t xml:space="preserve">3. Diseño (</w:t>
            </w:r>
            <m:oMath>
              <m:r>
                <m:t>X</m:t>
              </m:r>
            </m:oMath>
            <w:r>
              <w:rPr/>
              <w:t xml:space="preserve">)</w:t>
            </w:r>
          </w:p>
        </w:tc>
        <w:tc>
          <w:tcPr>
            <w:tcW w:w="2440" w:type="dxa"/>
          </w:tcPr>
          <w:p>
            <w:pPr>
              <w:pStyle w:val="CeldaAPA"/>
              <w:jc w:val="left"/>
            </w:pPr>
            <w:r>
              <w:rPr/>
              <w:t xml:space="preserve">Plan de la calidad, PPI, procedimientos, formatos y costos de la calidad</w:t>
            </w:r>
          </w:p>
        </w:tc>
        <w:tc>
          <w:tcPr>
            <w:tcW w:w="2028" w:type="dxa"/>
          </w:tcPr>
          <w:p>
            <w:pPr>
              <w:pStyle w:val="CeldaAPA"/>
              <w:jc w:val="left"/>
            </w:pPr>
            <w:r>
              <w:rPr/>
              <w:t xml:space="preserve">SGC del ítem losa alivianada</w:t>
            </w:r>
          </w:p>
        </w:tc>
        <w:tc>
          <w:tcPr>
            <w:tcW w:w="760" w:type="dxa"/>
          </w:tcPr>
          <w:p>
            <w:pPr>
              <w:pStyle w:val="CeldaAPA"/>
              <w:jc w:val="left"/>
            </w:pPr>
            <w:r>
              <w:rPr/>
              <w:t xml:space="preserve">OE3</w:t>
            </w:r>
          </w:p>
        </w:tc>
        <w:tc>
          <w:tcPr>
            <w:tcW w:w="2540" w:type="dxa"/>
          </w:tcPr>
          <w:p>
            <w:pPr>
              <w:pStyle w:val="CeldaAPA"/>
              <w:jc w:val="left"/>
            </w:pPr>
            <w:r>
              <w:rPr/>
              <w:t xml:space="preserve">2.6</w:t>
            </w:r>
          </w:p>
        </w:tc>
      </w:tr>
      <w:tr>
        <w:tc>
          <w:tcPr>
            <w:tcW w:w="1593" w:type="dxa"/>
          </w:tcPr>
          <w:p>
            <w:pPr>
              <w:pStyle w:val="CeldaAPA"/>
              <w:jc w:val="left"/>
            </w:pPr>
            <w:r>
              <w:rPr/>
              <w:t xml:space="preserve">4. Evaluación</w:t>
            </w:r>
            <w:r>
              <w:rPr/>
              <w:t xml:space="preserve"> </w:t>
            </w:r>
            <w:r>
              <w:rPr>
                <w:iCs/>
                <w:i/>
              </w:rPr>
              <w:t xml:space="preserve">ex ante</w:t>
            </w:r>
            <w:r>
              <w:rPr/>
              <w:t xml:space="preserve"> </w:t>
            </w:r>
            <w:r>
              <w:rPr/>
              <w:t xml:space="preserve">(</w:t>
            </w:r>
            <m:oMath>
              <m:sSub>
                <m:e>
                  <m:r>
                    <m:t>O</m:t>
                  </m:r>
                </m:e>
                <m:sub>
                  <m:r>
                    <m:t>2</m:t>
                  </m:r>
                </m:sub>
              </m:sSub>
            </m:oMath>
            <w:r>
              <w:rPr/>
              <w:t xml:space="preserve">)</w:t>
            </w:r>
          </w:p>
        </w:tc>
        <w:tc>
          <w:tcPr>
            <w:tcW w:w="2440" w:type="dxa"/>
          </w:tcPr>
          <w:p>
            <w:pPr>
              <w:pStyle w:val="CeldaAPA"/>
              <w:jc w:val="left"/>
            </w:pPr>
            <w:r>
              <w:rPr/>
              <w:t xml:space="preserve">Modelo de costos y simulación de Monte Carlo con escenarios de control y de tratamiento</w:t>
            </w:r>
          </w:p>
        </w:tc>
        <w:tc>
          <w:tcPr>
            <w:tcW w:w="2028" w:type="dxa"/>
          </w:tcPr>
          <w:p>
            <w:pPr>
              <w:pStyle w:val="CeldaAPA"/>
              <w:jc w:val="left"/>
            </w:pPr>
            <w:r>
              <w:rPr/>
              <w:t xml:space="preserve">Distribuciones de</w:t>
            </w:r>
            <w:r>
              <w:rPr/>
              <w:t xml:space="preserve"> </w:t>
            </w:r>
            <m:oMath>
              <m:r>
                <m:t>C</m:t>
              </m:r>
              <m:r>
                <m:t>U</m:t>
              </m:r>
            </m:oMath>
            <w:r>
              <w:rPr/>
              <w:t xml:space="preserve">, IDM, CNC y</w:t>
            </w:r>
            <w:r>
              <w:rPr/>
              <w:t xml:space="preserve"> </w:t>
            </w:r>
            <m:oMath>
              <m:r>
                <m:t>r</m:t>
              </m:r>
            </m:oMath>
          </w:p>
        </w:tc>
        <w:tc>
          <w:tcPr>
            <w:tcW w:w="760" w:type="dxa"/>
          </w:tcPr>
          <w:p>
            <w:pPr>
              <w:pStyle w:val="CeldaAPA"/>
              <w:jc w:val="left"/>
            </w:pPr>
            <w:r>
              <w:rPr/>
              <w:t xml:space="preserve">OE4</w:t>
            </w:r>
          </w:p>
        </w:tc>
        <w:tc>
          <w:tcPr>
            <w:tcW w:w="2540" w:type="dxa"/>
          </w:tcPr>
          <w:p>
            <w:pPr>
              <w:pStyle w:val="CeldaAPA"/>
              <w:jc w:val="left"/>
            </w:pPr>
            <w:r>
              <w:rPr/>
              <w:t xml:space="preserve">2.7</w:t>
            </w:r>
          </w:p>
        </w:tc>
      </w:tr>
      <w:tr>
        <w:tc>
          <w:tcPr>
            <w:tcW w:w="1593" w:type="dxa"/>
            <w:tcBorders>
              <w:bottom w:val="single" w:sz="8" w:space="0" w:color="000000"/>
            </w:tcBorders>
          </w:tcPr>
          <w:p>
            <w:pPr>
              <w:pStyle w:val="CeldaAPA"/>
              <w:jc w:val="left"/>
            </w:pPr>
            <w:r>
              <w:rPr/>
              <w:t xml:space="preserve">5. Contraste y validación</w:t>
            </w:r>
          </w:p>
        </w:tc>
        <w:tc>
          <w:tcPr>
            <w:tcW w:w="2440" w:type="dxa"/>
            <w:tcBorders>
              <w:bottom w:val="single" w:sz="8" w:space="0" w:color="000000"/>
            </w:tcBorders>
          </w:tcPr>
          <w:p>
            <w:pPr>
              <w:pStyle w:val="CeldaAPA"/>
              <w:jc w:val="left"/>
            </w:pPr>
            <w:r>
              <w:rPr/>
              <w:t xml:space="preserve">Reglas de decisión probabilísticas; sensibilidad; juicio de expertos (pendiente)</w:t>
            </w:r>
          </w:p>
        </w:tc>
        <w:tc>
          <w:tcPr>
            <w:tcW w:w="2028" w:type="dxa"/>
            <w:tcBorders>
              <w:bottom w:val="single" w:sz="8" w:space="0" w:color="000000"/>
            </w:tcBorders>
          </w:tcPr>
          <w:p>
            <w:pPr>
              <w:pStyle w:val="CeldaAPA"/>
              <w:jc w:val="left"/>
            </w:pPr>
            <w:r>
              <w:rPr/>
              <w:t xml:space="preserve">Decisión sobre las hipótesis; grado de incertidumbre</w:t>
            </w:r>
          </w:p>
        </w:tc>
        <w:tc>
          <w:tcPr>
            <w:tcW w:w="760" w:type="dxa"/>
            <w:tcBorders>
              <w:bottom w:val="single" w:sz="8" w:space="0" w:color="000000"/>
            </w:tcBorders>
          </w:tcPr>
          <w:p>
            <w:pPr>
              <w:pStyle w:val="CeldaAPA"/>
              <w:jc w:val="left"/>
            </w:pPr>
            <w:r>
              <w:rPr/>
              <w:t xml:space="preserve">OE5</w:t>
            </w:r>
          </w:p>
        </w:tc>
        <w:tc>
          <w:tcPr>
            <w:tcW w:w="2540" w:type="dxa"/>
            <w:tcBorders>
              <w:bottom w:val="single" w:sz="8" w:space="0" w:color="000000"/>
            </w:tcBorders>
          </w:tcPr>
          <w:p>
            <w:pPr>
              <w:pStyle w:val="CeldaAPA"/>
              <w:jc w:val="left"/>
            </w:pPr>
            <w:r>
              <w:rPr/>
              <w:t xml:space="preserve">2.8 y 2.9</w:t>
            </w:r>
          </w:p>
        </w:tc>
      </w:tr>
    </w:tbl>
    <w:p>
      <w:pPr>
        <w:pStyle w:val="NotaAPA"/>
      </w:pPr>
      <w:r>
        <w:rPr>
          <w:iCs/>
          <w:i/>
        </w:rPr>
        <w:t xml:space="preserve">Nota.</w:t>
      </w:r>
      <w:r>
        <w:t xml:space="preserve"> </w:t>
      </w:r>
      <w:r>
        <w:t xml:space="preserve">Elaboración propia. OE: objetivo específico;</w:t>
      </w:r>
      <w:r>
        <w:t xml:space="preserve"> </w:t>
      </w:r>
      <m:oMath>
        <m:r>
          <m:t>C</m:t>
        </m:r>
        <m:r>
          <m:t>U</m:t>
        </m:r>
      </m:oMath>
      <w:r>
        <w:t xml:space="preserve">: costo unitario;</w:t>
      </w:r>
      <w:r>
        <w:t xml:space="preserve"> </w:t>
      </w:r>
      <m:oMath>
        <m:r>
          <m:t>r</m:t>
        </m:r>
      </m:oMath>
      <w:r>
        <w:t xml:space="preserve">: reducción relativa del costo unitario.</w:t>
      </w:r>
    </w:p>
    <w:p>
      <w:pPr>
        <w:pStyle w:val="Heading2"/>
      </w:pPr>
      <w:bookmarkStart w:id="127" w:name="tit87"/>
      <w:r>
        <w:t xml:space="preserve">2.2. Caracterización del caso de estudio</w:t>
      </w:r>
      <w:bookmarkEnd w:id="127"/>
    </w:p>
    <w:p>
      <w:pPr>
        <w:pStyle w:val="Heading3"/>
      </w:pPr>
      <w:bookmarkStart w:id="120" w:name="tit88"/>
      <w:r>
        <w:t xml:space="preserve">2.2.1. Ubicación y descripción del edificio</w:t>
      </w:r>
      <w:bookmarkEnd w:id="120"/>
    </w:p>
    <w:p>
      <w:pPr>
        <w:pStyle w:val="FirstParagraph"/>
      </w:pPr>
      <w:r>
        <w:t xml:space="preserve">El Edificio de Posgrado se construye en la Ciudadela Universitaria de la UATF, en el sector noreste, junto al edificio del Vicerrectorado, sobre la avenida Las Banderas, frente a la terminal nueva, en la zona Las Lecherías de la ciudad de Potosí. Sus coordenadas son 19°33’21,84” S y 65°45’47,73” O, a 3.650 m s. n. m.</w:t>
      </w:r>
      <w:r>
        <w:t xml:space="preserve"> </w:t>
      </w:r>
      <w:r>
        <w:t xml:space="preserve">(UATF, 2025, pp. 8–9)</w:t>
      </w:r>
      <w:r>
        <w:t xml:space="preserve">. El proyecto tiene seis niveles destinados a dos auditorios de 180 personas, aulas de clase y de defensa de tesis, laboratorios, biblioteca, áreas administrativas y de servicios, alojamiento para docentes visitantes y una cafetería; la planta baja presenta desniveles en tres sectores por la pendiente del terreno</w:t>
      </w:r>
      <w:r>
        <w:t xml:space="preserve"> </w:t>
      </w:r>
      <w:r>
        <w:t xml:space="preserve">(UATF, s. f.-b, p. 1)</w:t>
      </w:r>
      <w:r>
        <w:t xml:space="preserve">.</w:t>
      </w:r>
    </w:p>
    <w:p>
      <w:pPr>
        <w:pStyle w:val="BodyText"/>
      </w:pPr>
      <w:r>
        <w:t xml:space="preserve">La fase contratada comprende solo la obra gruesa hasta la tercera losa: de un proyecto de seis plantas «solo se ejecutarán el arranque del suelo y tres losas»</w:t>
      </w:r>
      <w:r>
        <w:t xml:space="preserve"> </w:t>
      </w:r>
      <w:r>
        <w:t xml:space="preserve">(UATF, 2025, p. 8)</w:t>
      </w:r>
      <w:r>
        <w:t xml:space="preserve">. Se organizó en tres módulos: obra gruesa (fundaciones, columnas, vigas, losas alivianadas y escaleras de hormigón armado), instalaciones eléctricas y sanitarias embebidas en losas, vigas y columnas. La obra retomó una estructura iniciada antes: combinó trabajos nuevos con el refuerzo de elementos existentes, como la limpieza de pozos con zapatas ya vaciadas, la ampliación de zapatas y el encamisado de columnas</w:t>
      </w:r>
      <w:r>
        <w:t xml:space="preserve"> </w:t>
      </w:r>
      <w:r>
        <w:t xml:space="preserve">(UATF, 2025, p. 8)</w:t>
      </w:r>
      <w:r>
        <w:t xml:space="preserve">. El proyecto, con código CUCE 25-0143-00-1531493-1-1, se financia con recursos del Impuesto Directo a los Hidrocarburos (IDH) y lo administra el Departamento de Infraestructura de la UATF</w:t>
      </w:r>
      <w:r>
        <w:t xml:space="preserve"> </w:t>
      </w:r>
      <w:r>
        <w:t xml:space="preserve">(UATF, 2025, pp. 3, 7)</w:t>
      </w:r>
      <w:r>
        <w:t xml:space="preserve">.</w:t>
      </w:r>
    </w:p>
    <w:p>
      <w:pPr>
        <w:pStyle w:val="Heading3"/>
      </w:pPr>
      <w:bookmarkStart w:id="121" w:name="tit89"/>
      <w:r>
        <w:t xml:space="preserve">2.2.2. Datos contractuales</w:t>
      </w:r>
      <w:bookmarkEnd w:id="121"/>
    </w:p>
    <w:p>
      <w:pPr>
        <w:pStyle w:val="FirstParagraph"/>
      </w:pPr>
      <w:r>
        <w:t xml:space="preserve">El contrato de obra N.</w:t>
      </w:r>
      <w:r>
        <w:rPr>
          <w:vertAlign w:val="superscript"/>
        </w:rPr>
        <w:t xml:space="preserve">o</w:t>
      </w:r>
      <w:r>
        <w:t xml:space="preserve"> 02-2025 resultó de la licitación pública UATF/ OBRAS/ LP/ 1/ 2025/ IDH-OTPRO/ DEPTO.INFRA, adjudicada a la Empresa Unipersonal Constructora Kodesh mediante la Resolución Administrativa N.</w:t>
      </w:r>
      <w:r>
        <w:rPr>
          <w:vertAlign w:val="superscript"/>
        </w:rPr>
        <w:t xml:space="preserve">o</w:t>
      </w:r>
      <w:r>
        <w:t xml:space="preserve"> 82-2025, del 4 de abril de 2025, y se firmó el 24 de abril de 2025</w:t>
      </w:r>
      <w:r>
        <w:t xml:space="preserve"> </w:t>
      </w:r>
      <w:r>
        <w:t xml:space="preserve">(UATF, 2025, pp. 91, 112)</w:t>
      </w:r>
      <w:r>
        <w:t xml:space="preserve">. La Tabla 17 resume sus datos principales y sus modificaciones.</w:t>
      </w:r>
    </w:p>
    <w:p>
      <w:pPr>
        <w:pStyle w:val="Caption"/>
      </w:pPr>
      <w:bookmarkStart w:id="1425" w:name="tab17"/>
      <w:r>
        <w:t xml:space="preserve"/>
      </w:r>
      <w:r>
        <w:rPr>
          <w:bCs/>
          <w:b/>
        </w:rPr>
        <w:t xml:space="preserve">Tabla 17</w:t>
      </w:r>
      <w:r>
        <w:br/>
      </w:r>
      <w:r>
        <w:rPr>
          <w:iCs/>
          <w:i/>
        </w:rPr>
        <w:t xml:space="preserve">Datos del contrato de obra y de sus modificaciones</w:t>
      </w:r>
      <w:bookmarkEnd w:id="1425"/>
    </w:p>
    <w:tbl>
      <w:tblPr>
        <w:tblStyle w:val="Table"/>
        <w:tblW w:w="9360" w:type="dxa"/>
        <w:jc w:val="left"/>
        <w:tblLayout w:type="fixed"/>
        <w:tblCellMar>
          <w:top w:w="0" w:type="dxa"/>
          <w:left w:w="85" w:type="dxa"/>
          <w:bottom w:w="0" w:type="dxa"/>
          <w:right w:w="85" w:type="dxa"/>
        </w:tblCellMar>
        <w:tblLook w:firstRow="1" w:lastRow="0" w:firstColumn="0" w:lastColumn="0" w:noHBand="0" w:noVBand="0" w:val="0020"/>
      </w:tblPr>
      <w:tblGrid>
        <w:gridCol w:w="2823"/>
        <w:gridCol w:w="4961"/>
        <w:gridCol w:w="1576"/>
      </w:tblGrid>
      <w:tr>
        <w:trPr>
          <w:cantSplit/>
          <w:tblHeader w:val="true"/>
        </w:trPr>
        <w:tc>
          <w:tcPr>
            <w:tcW w:w="2823" w:type="dxa"/>
            <w:tcBorders>
              <w:top w:val="single" w:sz="8" w:space="0" w:color="000000"/>
              <w:bottom w:val="single" w:sz="4" w:space="0" w:color="000000"/>
            </w:tcBorders>
          </w:tcPr>
          <w:p>
            <w:pPr>
              <w:pStyle w:val="CeldaAPA"/>
              <w:jc w:val="center"/>
            </w:pPr>
            <w:r>
              <w:rPr>
                <w:bCs/>
                <w:b/>
              </w:rPr>
              <w:t xml:space="preserve">Concepto</w:t>
            </w:r>
          </w:p>
        </w:tc>
        <w:tc>
          <w:tcPr>
            <w:tcW w:w="4961" w:type="dxa"/>
            <w:tcBorders>
              <w:top w:val="single" w:sz="8" w:space="0" w:color="000000"/>
              <w:bottom w:val="single" w:sz="4" w:space="0" w:color="000000"/>
            </w:tcBorders>
          </w:tcPr>
          <w:p>
            <w:pPr>
              <w:pStyle w:val="CeldaAPA"/>
              <w:jc w:val="center"/>
            </w:pPr>
            <w:r>
              <w:rPr>
                <w:bCs/>
                <w:b/>
              </w:rPr>
              <w:t xml:space="preserve">Dato</w:t>
            </w:r>
          </w:p>
        </w:tc>
        <w:tc>
          <w:tcPr>
            <w:tcW w:w="1576" w:type="dxa"/>
            <w:tcBorders>
              <w:top w:val="single" w:sz="8" w:space="0" w:color="000000"/>
              <w:bottom w:val="single" w:sz="4" w:space="0" w:color="000000"/>
            </w:tcBorders>
          </w:tcPr>
          <w:p>
            <w:pPr>
              <w:pStyle w:val="CeldaAPA"/>
              <w:jc w:val="center"/>
            </w:pPr>
            <w:r>
              <w:rPr>
                <w:bCs/>
                <w:b/>
              </w:rPr>
              <w:t xml:space="preserve">Fuente (PAO2)</w:t>
            </w:r>
          </w:p>
        </w:tc>
      </w:tr>
      <w:tr>
        <w:tc>
          <w:tcPr>
            <w:tcW w:w="2823" w:type="dxa"/>
          </w:tcPr>
          <w:p>
            <w:pPr>
              <w:pStyle w:val="CeldaAPA"/>
              <w:jc w:val="left"/>
            </w:pPr>
            <w:r>
              <w:rPr/>
              <w:t xml:space="preserve">Firma del contrato</w:t>
            </w:r>
          </w:p>
        </w:tc>
        <w:tc>
          <w:tcPr>
            <w:tcW w:w="4961" w:type="dxa"/>
          </w:tcPr>
          <w:p>
            <w:pPr>
              <w:pStyle w:val="CeldaAPA"/>
              <w:jc w:val="left"/>
            </w:pPr>
            <w:r>
              <w:rPr/>
              <w:t xml:space="preserve">24/04/2025</w:t>
            </w:r>
          </w:p>
        </w:tc>
        <w:tc>
          <w:tcPr>
            <w:tcW w:w="1576" w:type="dxa"/>
          </w:tcPr>
          <w:p>
            <w:pPr>
              <w:pStyle w:val="CeldaAPA"/>
              <w:jc w:val="left"/>
            </w:pPr>
            <w:r>
              <w:rPr/>
              <w:t xml:space="preserve">p. 112</w:t>
            </w:r>
          </w:p>
        </w:tc>
      </w:tr>
      <w:tr>
        <w:tc>
          <w:tcPr>
            <w:tcW w:w="2823" w:type="dxa"/>
          </w:tcPr>
          <w:p>
            <w:pPr>
              <w:pStyle w:val="CeldaAPA"/>
              <w:jc w:val="left"/>
            </w:pPr>
            <w:r>
              <w:rPr/>
              <w:t xml:space="preserve">Orden de proceder y acta de inicio</w:t>
            </w:r>
          </w:p>
        </w:tc>
        <w:tc>
          <w:tcPr>
            <w:tcW w:w="4961" w:type="dxa"/>
          </w:tcPr>
          <w:p>
            <w:pPr>
              <w:pStyle w:val="CeldaAPA"/>
              <w:jc w:val="left"/>
            </w:pPr>
            <w:r>
              <w:rPr/>
              <w:t xml:space="preserve">06/05/2025, a las 08:30</w:t>
            </w:r>
          </w:p>
        </w:tc>
        <w:tc>
          <w:tcPr>
            <w:tcW w:w="1576" w:type="dxa"/>
          </w:tcPr>
          <w:p>
            <w:pPr>
              <w:pStyle w:val="CeldaAPA"/>
              <w:jc w:val="left"/>
            </w:pPr>
            <w:r>
              <w:rPr/>
              <w:t xml:space="preserve">pp. 127–128</w:t>
            </w:r>
          </w:p>
        </w:tc>
      </w:tr>
      <w:tr>
        <w:tc>
          <w:tcPr>
            <w:tcW w:w="2823" w:type="dxa"/>
          </w:tcPr>
          <w:p>
            <w:pPr>
              <w:pStyle w:val="CeldaAPA"/>
              <w:jc w:val="left"/>
            </w:pPr>
            <w:r>
              <w:rPr/>
              <w:t xml:space="preserve">Monto original</w:t>
            </w:r>
          </w:p>
        </w:tc>
        <w:tc>
          <w:tcPr>
            <w:tcW w:w="4961" w:type="dxa"/>
          </w:tcPr>
          <w:p>
            <w:pPr>
              <w:pStyle w:val="CeldaAPA"/>
              <w:jc w:val="left"/>
            </w:pPr>
            <w:r>
              <w:rPr/>
              <w:t xml:space="preserve">Bs 3.367.031,95; sin anticipo</w:t>
            </w:r>
          </w:p>
        </w:tc>
        <w:tc>
          <w:tcPr>
            <w:tcW w:w="1576" w:type="dxa"/>
          </w:tcPr>
          <w:p>
            <w:pPr>
              <w:pStyle w:val="CeldaAPA"/>
              <w:jc w:val="left"/>
            </w:pPr>
            <w:r>
              <w:rPr/>
              <w:t xml:space="preserve">pp. 92, 127</w:t>
            </w:r>
          </w:p>
        </w:tc>
      </w:tr>
      <w:tr>
        <w:tc>
          <w:tcPr>
            <w:tcW w:w="2823" w:type="dxa"/>
          </w:tcPr>
          <w:p>
            <w:pPr>
              <w:pStyle w:val="CeldaAPA"/>
              <w:jc w:val="left"/>
            </w:pPr>
            <w:r>
              <w:rPr/>
              <w:t xml:space="preserve">Relación con el precio referencial</w:t>
            </w:r>
          </w:p>
        </w:tc>
        <w:tc>
          <w:tcPr>
            <w:tcW w:w="4961" w:type="dxa"/>
          </w:tcPr>
          <w:p>
            <w:pPr>
              <w:pStyle w:val="CeldaAPA"/>
              <w:jc w:val="left"/>
            </w:pPr>
            <w:r>
              <w:rPr/>
              <w:t xml:space="preserve">Oferta del 84,18 % del precio referencial implícito (Bs 3.999.929,35; cálculo propio con la garantía adicional)</w:t>
            </w:r>
          </w:p>
        </w:tc>
        <w:tc>
          <w:tcPr>
            <w:tcW w:w="1576" w:type="dxa"/>
          </w:tcPr>
          <w:p>
            <w:pPr>
              <w:pStyle w:val="CeldaAPA"/>
              <w:jc w:val="left"/>
            </w:pPr>
            <w:r>
              <w:rPr/>
              <w:t xml:space="preserve">p. 92</w:t>
            </w:r>
          </w:p>
        </w:tc>
      </w:tr>
      <w:tr>
        <w:tc>
          <w:tcPr>
            <w:tcW w:w="2823" w:type="dxa"/>
          </w:tcPr>
          <w:p>
            <w:pPr>
              <w:pStyle w:val="CeldaAPA"/>
              <w:jc w:val="left"/>
            </w:pPr>
            <w:r>
              <w:rPr/>
              <w:t xml:space="preserve">Contrato modificatorio N.</w:t>
            </w:r>
            <w:r>
              <w:rPr>
                <w:vertAlign w:val="superscript"/>
              </w:rPr>
              <w:t xml:space="preserve">o</w:t>
            </w:r>
            <w:r>
              <w:rPr/>
              <w:t xml:space="preserve"> 1</w:t>
            </w:r>
          </w:p>
        </w:tc>
        <w:tc>
          <w:tcPr>
            <w:tcW w:w="4961" w:type="dxa"/>
          </w:tcPr>
          <w:p>
            <w:pPr>
              <w:pStyle w:val="CeldaAPA"/>
              <w:jc w:val="left"/>
            </w:pPr>
            <w:r>
              <w:rPr/>
              <w:t xml:space="preserve">+Bs 243.093,48 (+7,22 %); incluye ítems nuevos por Bs 79.087,22</w:t>
            </w:r>
          </w:p>
        </w:tc>
        <w:tc>
          <w:tcPr>
            <w:tcW w:w="1576" w:type="dxa"/>
          </w:tcPr>
          <w:p>
            <w:pPr>
              <w:pStyle w:val="CeldaAPA"/>
              <w:jc w:val="left"/>
            </w:pPr>
            <w:r>
              <w:rPr/>
              <w:t xml:space="preserve">pp. 7, 14, 16</w:t>
            </w:r>
          </w:p>
        </w:tc>
      </w:tr>
      <w:tr>
        <w:tc>
          <w:tcPr>
            <w:tcW w:w="2823" w:type="dxa"/>
          </w:tcPr>
          <w:p>
            <w:pPr>
              <w:pStyle w:val="CeldaAPA"/>
              <w:jc w:val="left"/>
            </w:pPr>
            <w:r>
              <w:rPr/>
              <w:t xml:space="preserve">Monto modificado</w:t>
            </w:r>
          </w:p>
        </w:tc>
        <w:tc>
          <w:tcPr>
            <w:tcW w:w="4961" w:type="dxa"/>
          </w:tcPr>
          <w:p>
            <w:pPr>
              <w:pStyle w:val="CeldaAPA"/>
              <w:jc w:val="left"/>
            </w:pPr>
            <w:r>
              <w:rPr/>
              <w:t xml:space="preserve">Bs 3.610.125,43</w:t>
            </w:r>
          </w:p>
        </w:tc>
        <w:tc>
          <w:tcPr>
            <w:tcW w:w="1576" w:type="dxa"/>
          </w:tcPr>
          <w:p>
            <w:pPr>
              <w:pStyle w:val="CeldaAPA"/>
              <w:jc w:val="left"/>
            </w:pPr>
            <w:r>
              <w:rPr/>
              <w:t xml:space="preserve">pp. 3, 7</w:t>
            </w:r>
          </w:p>
        </w:tc>
      </w:tr>
      <w:tr>
        <w:tc>
          <w:tcPr>
            <w:tcW w:w="2823" w:type="dxa"/>
          </w:tcPr>
          <w:p>
            <w:pPr>
              <w:pStyle w:val="CeldaAPA"/>
              <w:jc w:val="left"/>
            </w:pPr>
            <w:r>
              <w:rPr/>
              <w:t xml:space="preserve">Plazo</w:t>
            </w:r>
          </w:p>
        </w:tc>
        <w:tc>
          <w:tcPr>
            <w:tcW w:w="4961" w:type="dxa"/>
          </w:tcPr>
          <w:p>
            <w:pPr>
              <w:pStyle w:val="CeldaAPA"/>
              <w:jc w:val="left"/>
            </w:pPr>
            <w:r>
              <w:rPr/>
              <w:t xml:space="preserve">270 días; ampliación N.</w:t>
            </w:r>
            <w:r>
              <w:rPr>
                <w:vertAlign w:val="superscript"/>
              </w:rPr>
              <w:t xml:space="preserve">o</w:t>
            </w:r>
            <w:r>
              <w:rPr/>
              <w:t xml:space="preserve"> 1, 13 días; ampliación N.</w:t>
            </w:r>
            <w:r>
              <w:rPr>
                <w:vertAlign w:val="superscript"/>
              </w:rPr>
              <w:t xml:space="preserve">o</w:t>
            </w:r>
            <w:r>
              <w:rPr/>
              <w:t xml:space="preserve"> 2, 77 días; total 360 días (+33,3 %)</w:t>
            </w:r>
          </w:p>
        </w:tc>
        <w:tc>
          <w:tcPr>
            <w:tcW w:w="1576" w:type="dxa"/>
          </w:tcPr>
          <w:p>
            <w:pPr>
              <w:pStyle w:val="CeldaAPA"/>
              <w:jc w:val="left"/>
            </w:pPr>
            <w:r>
              <w:rPr/>
              <w:t xml:space="preserve">p. 7</w:t>
            </w:r>
          </w:p>
        </w:tc>
      </w:tr>
      <w:tr>
        <w:tc>
          <w:tcPr>
            <w:tcW w:w="2823" w:type="dxa"/>
          </w:tcPr>
          <w:p>
            <w:pPr>
              <w:pStyle w:val="CeldaAPA"/>
              <w:jc w:val="left"/>
            </w:pPr>
            <w:r>
              <w:rPr/>
              <w:t xml:space="preserve">Entrega provisional</w:t>
            </w:r>
          </w:p>
        </w:tc>
        <w:tc>
          <w:tcPr>
            <w:tcW w:w="4961" w:type="dxa"/>
          </w:tcPr>
          <w:p>
            <w:pPr>
              <w:pStyle w:val="CeldaAPA"/>
              <w:jc w:val="left"/>
            </w:pPr>
            <w:r>
              <w:rPr/>
              <w:t xml:space="preserve">30/01/2026</w:t>
            </w:r>
            <w:r>
              <w:rPr/>
              <w:t xml:space="preserve"> </w:t>
            </w:r>
            <m:oMath>
              <m:r>
                <m:rPr>
                  <m:sty m:val="p"/>
                </m:rPr>
                <m:t>→</m:t>
              </m:r>
            </m:oMath>
            <w:r>
              <w:rPr/>
              <w:t xml:space="preserve"> </w:t>
            </w:r>
            <w:r>
              <w:rPr/>
              <w:t xml:space="preserve">12/02/2026</w:t>
            </w:r>
            <w:r>
              <w:rPr/>
              <w:t xml:space="preserve"> </w:t>
            </w:r>
            <m:oMath>
              <m:r>
                <m:rPr>
                  <m:sty m:val="p"/>
                </m:rPr>
                <m:t>→</m:t>
              </m:r>
            </m:oMath>
            <w:r>
              <w:rPr/>
              <w:t xml:space="preserve"> </w:t>
            </w:r>
            <w:r>
              <w:rPr/>
              <w:t xml:space="preserve">30/04/2026</w:t>
            </w:r>
          </w:p>
        </w:tc>
        <w:tc>
          <w:tcPr>
            <w:tcW w:w="1576" w:type="dxa"/>
          </w:tcPr>
          <w:p>
            <w:pPr>
              <w:pStyle w:val="CeldaAPA"/>
              <w:jc w:val="left"/>
            </w:pPr>
            <w:r>
              <w:rPr/>
              <w:t xml:space="preserve">p. 7</w:t>
            </w:r>
          </w:p>
        </w:tc>
      </w:tr>
      <w:tr>
        <w:tc>
          <w:tcPr>
            <w:tcW w:w="2823" w:type="dxa"/>
          </w:tcPr>
          <w:p>
            <w:pPr>
              <w:pStyle w:val="CeldaAPA"/>
              <w:jc w:val="left"/>
            </w:pPr>
            <w:r>
              <w:rPr/>
              <w:t xml:space="preserve">Garantías (Banco Nacional de Bolivia)</w:t>
            </w:r>
          </w:p>
        </w:tc>
        <w:tc>
          <w:tcPr>
            <w:tcW w:w="4961" w:type="dxa"/>
          </w:tcPr>
          <w:p>
            <w:pPr>
              <w:pStyle w:val="CeldaAPA"/>
              <w:jc w:val="left"/>
            </w:pPr>
            <w:r>
              <w:rPr/>
              <w:t xml:space="preserve">Cumplimiento de contrato, Bs 235.693,00 (7 % del monto original), y garantía adicional, Bs 32.908,00; ambas vencen el 14/04/2026</w:t>
            </w:r>
          </w:p>
        </w:tc>
        <w:tc>
          <w:tcPr>
            <w:tcW w:w="1576" w:type="dxa"/>
          </w:tcPr>
          <w:p>
            <w:pPr>
              <w:pStyle w:val="CeldaAPA"/>
              <w:jc w:val="left"/>
            </w:pPr>
            <w:r>
              <w:rPr/>
              <w:t xml:space="preserve">pp. 92, 130–131</w:t>
            </w:r>
          </w:p>
        </w:tc>
      </w:tr>
      <w:tr>
        <w:tc>
          <w:tcPr>
            <w:tcW w:w="2823" w:type="dxa"/>
          </w:tcPr>
          <w:p>
            <w:pPr>
              <w:pStyle w:val="CeldaAPA"/>
              <w:jc w:val="left"/>
            </w:pPr>
            <w:r>
              <w:rPr/>
              <w:t xml:space="preserve">Avance al 08/12/2025 (PAO N.</w:t>
            </w:r>
            <w:r>
              <w:rPr>
                <w:vertAlign w:val="superscript"/>
              </w:rPr>
              <w:t xml:space="preserve">o</w:t>
            </w:r>
            <w:r>
              <w:rPr/>
              <w:t xml:space="preserve"> 2)</w:t>
            </w:r>
          </w:p>
        </w:tc>
        <w:tc>
          <w:tcPr>
            <w:tcW w:w="4961" w:type="dxa"/>
          </w:tcPr>
          <w:p>
            <w:pPr>
              <w:pStyle w:val="CeldaAPA"/>
              <w:jc w:val="left"/>
            </w:pPr>
            <w:r>
              <w:rPr/>
              <w:t xml:space="preserve">Bs 2.056.555,27 (56,97 %)</w:t>
            </w:r>
          </w:p>
        </w:tc>
        <w:tc>
          <w:tcPr>
            <w:tcW w:w="1576" w:type="dxa"/>
          </w:tcPr>
          <w:p>
            <w:pPr>
              <w:pStyle w:val="CeldaAPA"/>
              <w:jc w:val="left"/>
            </w:pPr>
            <w:r>
              <w:rPr/>
              <w:t xml:space="preserve">p. 3</w:t>
            </w:r>
          </w:p>
        </w:tc>
      </w:tr>
      <w:tr>
        <w:tc>
          <w:tcPr>
            <w:tcW w:w="2823" w:type="dxa"/>
            <w:tcBorders>
              <w:bottom w:val="single" w:sz="8" w:space="0" w:color="000000"/>
            </w:tcBorders>
          </w:tcPr>
          <w:p>
            <w:pPr>
              <w:pStyle w:val="CeldaAPA"/>
              <w:jc w:val="left"/>
            </w:pPr>
            <w:r>
              <w:rPr/>
              <w:t xml:space="preserve">Cierre por resolución (PAO N.</w:t>
            </w:r>
            <w:r>
              <w:rPr>
                <w:vertAlign w:val="superscript"/>
              </w:rPr>
              <w:t xml:space="preserve">o</w:t>
            </w:r>
            <w:r>
              <w:rPr/>
              <w:t xml:space="preserve"> 3, versión firmada el 16/03/2026)</w:t>
            </w:r>
          </w:p>
        </w:tc>
        <w:tc>
          <w:tcPr>
            <w:tcW w:w="4961" w:type="dxa"/>
            <w:tcBorders>
              <w:bottom w:val="single" w:sz="8" w:space="0" w:color="000000"/>
            </w:tcBorders>
          </w:tcPr>
          <w:p>
            <w:pPr>
              <w:pStyle w:val="CeldaAPA"/>
              <w:jc w:val="left"/>
            </w:pPr>
            <w:r>
              <w:rPr/>
              <w:t xml:space="preserve">Ejecutado en el periodo: Bs 16.837,41; avance total: Bs 2.073.392,68 (57,43 %); saldo no ejecutado: Bs 1.536.732,75 (cálculo propio)</w:t>
            </w:r>
          </w:p>
        </w:tc>
        <w:tc>
          <w:tcPr>
            <w:tcW w:w="1576" w:type="dxa"/>
            <w:tcBorders>
              <w:bottom w:val="single" w:sz="8" w:space="0" w:color="000000"/>
            </w:tcBorders>
          </w:tcPr>
          <w:p>
            <w:pPr>
              <w:pStyle w:val="CeldaAPA"/>
              <w:jc w:val="left"/>
            </w:pPr>
            <w:r>
              <w:rPr/>
              <w:t xml:space="preserve">Exp., p. 2</w:t>
            </w:r>
          </w:p>
        </w:tc>
      </w:tr>
    </w:tbl>
    <w:p>
      <w:pPr>
        <w:pStyle w:val="NotaAPA"/>
      </w:pPr>
      <w:r>
        <w:rPr>
          <w:iCs/>
          <w:i/>
        </w:rPr>
        <w:t xml:space="preserve">Nota.</w:t>
      </w:r>
      <w:r>
        <w:t xml:space="preserve"> </w:t>
      </w:r>
      <w:r>
        <w:t xml:space="preserve">Elaborado con base en</w:t>
      </w:r>
      <w:r>
        <w:t xml:space="preserve"> </w:t>
      </w:r>
      <w:r>
        <w:t xml:space="preserve">UATF (2025)</w:t>
      </w:r>
      <w:r>
        <w:t xml:space="preserve"> </w:t>
      </w:r>
      <w:r>
        <w:t xml:space="preserve">y</w:t>
      </w:r>
      <w:r>
        <w:t xml:space="preserve"> </w:t>
      </w:r>
      <w:r>
        <w:t xml:space="preserve">UATF (s. f.-b, p. 2)</w:t>
      </w:r>
      <w:r>
        <w:t xml:space="preserve"> </w:t>
      </w:r>
      <w:r>
        <w:t xml:space="preserve">(Exp.). Existe una segunda versión de la planilla de cierre, en archivo digital, con un avance de Bs 2.075.082,47 (57,48 %)</w:t>
      </w:r>
      <w:r>
        <w:t xml:space="preserve"> </w:t>
      </w:r>
      <w:r>
        <w:t xml:space="preserve">(UATF, s. f.-c)</w:t>
      </w:r>
      <w:r>
        <w:t xml:space="preserve">; la diferencia se analiza en la Sección 2.5.2. El precio referencial implícito se obtuvo de la cláusula de la garantía adicional, que equivale a la diferencia entre el 85 % del precio referencial y la propuesta:</w:t>
      </w:r>
      <w:r>
        <w:t xml:space="preserve"> </w:t>
      </w:r>
      <m:oMath>
        <m:d>
          <m:dPr>
            <m:begChr m:val="("/>
            <m:endChr m:val=")"/>
            <m:sepChr m:val=""/>
            <m:grow/>
          </m:dPr>
          <m:e>
            <m:r>
              <m:t>3.367</m:t>
            </m:r>
            <m:r>
              <m:t>.031</m:t>
            </m:r>
            <m:r>
              <m:rPr>
                <m:sty m:val="p"/>
              </m:rPr>
              <m:t>,</m:t>
            </m:r>
            <m:r>
              <m:t>95</m:t>
            </m:r>
            <m:r>
              <m:rPr>
                <m:sty m:val="p"/>
              </m:rPr>
              <m:t>+</m:t>
            </m:r>
            <m:r>
              <m:t>32.908</m:t>
            </m:r>
          </m:e>
        </m:d>
        <m:r>
          <m:rPr>
            <m:sty m:val="p"/>
          </m:rPr>
          <m:t>/</m:t>
        </m:r>
        <m:r>
          <m:t>0</m:t>
        </m:r>
        <m:r>
          <m:rPr>
            <m:sty m:val="p"/>
          </m:rPr>
          <m:t>,</m:t>
        </m:r>
        <m:r>
          <m:t>85</m:t>
        </m:r>
      </m:oMath>
      <w:r>
        <w:t xml:space="preserve">. El contrato modificatorio respondió a actividades nuevas por el tipo de suelo, a la perforación de zapatas para anclajes, al recálculo de la estructura y al ajuste de volúmenes medidos en obra</w:t>
      </w:r>
      <w:r>
        <w:t xml:space="preserve"> </w:t>
      </w:r>
      <w:r>
        <w:t xml:space="preserve">(UATF, s. f.-b, p. 1)</w:t>
      </w:r>
      <w:r>
        <w:t xml:space="preserve">.</w:t>
      </w:r>
    </w:p>
    <w:p>
      <w:pPr>
        <w:pStyle w:val="BodyText"/>
      </w:pPr>
      <w:r>
        <w:t xml:space="preserve">Tres rasgos del contrato condicionan la gestión de la calidad del ítem. Primero, los precios unitarios incluyen la provisión de «materiales de calidad» y las «reparaciones por trabajos defectuosos», y no se pagan trabajos que excedan el precio salvo autorización expresa</w:t>
      </w:r>
      <w:r>
        <w:t xml:space="preserve"> </w:t>
      </w:r>
      <w:r>
        <w:t xml:space="preserve">(UATF, 2025, p. 92)</w:t>
      </w:r>
      <w:r>
        <w:t xml:space="preserve">; además, no procede ningún reajuste de precios</w:t>
      </w:r>
      <w:r>
        <w:t xml:space="preserve"> </w:t>
      </w:r>
      <w:r>
        <w:t xml:space="preserve">(UATF, 2025, p. 95)</w:t>
      </w:r>
      <w:r>
        <w:t xml:space="preserve">. En consecuencia, el desperdicio, los retrabajos y el alza de los materiales los absorbe el contratista. Segundo, el contrato asigna a la Supervisión la responsabilidad directa del control de calidad, pero exige al contratista ensayar los materiales a su costo antes de incorporarlos a la obra</w:t>
      </w:r>
      <w:r>
        <w:t xml:space="preserve"> </w:t>
      </w:r>
      <w:r>
        <w:t xml:space="preserve">(UATF, 2025, pp. 101–102)</w:t>
      </w:r>
      <w:r>
        <w:t xml:space="preserve">. Tercero, la medición debe ser neta y no se miden volúmenes excedentes que la Supervisión no haya aprobado por escrito</w:t>
      </w:r>
      <w:r>
        <w:t xml:space="preserve"> </w:t>
      </w:r>
      <w:r>
        <w:t xml:space="preserve">(UATF, 2025, p. 99)</w:t>
      </w:r>
      <w:r>
        <w:t xml:space="preserve">. La Tabla 18 reúne las cláusulas que se relacionan con la calidad y el control de materiales; son requisitos de la parte interesada principal y, por ello, entradas del SGC.</w:t>
      </w:r>
    </w:p>
    <w:p>
      <w:pPr>
        <w:pStyle w:val="Caption"/>
      </w:pPr>
      <w:bookmarkStart w:id="1426" w:name="tab18"/>
      <w:r>
        <w:t xml:space="preserve"/>
      </w:r>
      <w:r>
        <w:rPr>
          <w:bCs/>
          <w:b/>
        </w:rPr>
        <w:t xml:space="preserve">Tabla 18</w:t>
      </w:r>
      <w:r>
        <w:br/>
      </w:r>
      <w:r>
        <w:rPr>
          <w:iCs/>
          <w:i/>
        </w:rPr>
        <w:t xml:space="preserve">Cláusulas del contrato relacionadas con la calidad y el control de materiales</w:t>
      </w:r>
      <w:bookmarkEnd w:id="1426"/>
    </w:p>
    <w:tbl>
      <w:tblPr>
        <w:tblStyle w:val="Table"/>
        <w:tblW w:w="9359" w:type="dxa"/>
        <w:jc w:val="left"/>
        <w:tblLayout w:type="fixed"/>
        <w:tblCellMar>
          <w:top w:w="0" w:type="dxa"/>
          <w:left w:w="85" w:type="dxa"/>
          <w:bottom w:w="0" w:type="dxa"/>
          <w:right w:w="85" w:type="dxa"/>
        </w:tblCellMar>
        <w:tblLook w:firstRow="1" w:lastRow="0" w:firstColumn="0" w:lastColumn="0" w:noHBand="0" w:noVBand="0" w:val="0020"/>
      </w:tblPr>
      <w:tblGrid>
        <w:gridCol w:w="1251"/>
        <w:gridCol w:w="3341"/>
        <w:gridCol w:w="3459"/>
        <w:gridCol w:w="1308"/>
      </w:tblGrid>
      <w:tr>
        <w:trPr>
          <w:cantSplit/>
          <w:tblHeader w:val="true"/>
        </w:trPr>
        <w:tc>
          <w:tcPr>
            <w:tcW w:w="1251" w:type="dxa"/>
            <w:tcBorders>
              <w:top w:val="single" w:sz="8" w:space="0" w:color="000000"/>
              <w:bottom w:val="single" w:sz="4" w:space="0" w:color="000000"/>
            </w:tcBorders>
          </w:tcPr>
          <w:p>
            <w:pPr>
              <w:pStyle w:val="CeldaAPA"/>
              <w:jc w:val="center"/>
            </w:pPr>
            <w:r>
              <w:rPr>
                <w:bCs/>
                <w:b/>
              </w:rPr>
              <w:t xml:space="preserve">Cláusula</w:t>
            </w:r>
          </w:p>
        </w:tc>
        <w:tc>
          <w:tcPr>
            <w:tcW w:w="3341" w:type="dxa"/>
            <w:tcBorders>
              <w:top w:val="single" w:sz="8" w:space="0" w:color="000000"/>
              <w:bottom w:val="single" w:sz="4" w:space="0" w:color="000000"/>
            </w:tcBorders>
          </w:tcPr>
          <w:p>
            <w:pPr>
              <w:pStyle w:val="CeldaAPA"/>
              <w:jc w:val="center"/>
            </w:pPr>
            <w:r>
              <w:rPr>
                <w:bCs/>
                <w:b/>
              </w:rPr>
              <w:t xml:space="preserve">Contenido (paráfrasis)</w:t>
            </w:r>
          </w:p>
        </w:tc>
        <w:tc>
          <w:tcPr>
            <w:tcW w:w="3459" w:type="dxa"/>
            <w:tcBorders>
              <w:top w:val="single" w:sz="8" w:space="0" w:color="000000"/>
              <w:bottom w:val="single" w:sz="4" w:space="0" w:color="000000"/>
            </w:tcBorders>
          </w:tcPr>
          <w:p>
            <w:pPr>
              <w:pStyle w:val="CeldaAPA"/>
              <w:jc w:val="center"/>
            </w:pPr>
            <w:r>
              <w:rPr>
                <w:bCs/>
                <w:b/>
              </w:rPr>
              <w:t xml:space="preserve">Implicancia para el SGC</w:t>
            </w:r>
          </w:p>
        </w:tc>
        <w:tc>
          <w:tcPr>
            <w:tcW w:w="1308" w:type="dxa"/>
            <w:tcBorders>
              <w:top w:val="single" w:sz="8" w:space="0" w:color="000000"/>
              <w:bottom w:val="single" w:sz="4" w:space="0" w:color="000000"/>
            </w:tcBorders>
          </w:tcPr>
          <w:p>
            <w:pPr>
              <w:pStyle w:val="CeldaAPA"/>
              <w:jc w:val="center"/>
            </w:pPr>
            <w:r>
              <w:rPr>
                <w:bCs/>
                <w:b/>
              </w:rPr>
              <w:t xml:space="preserve">PAO2</w:t>
            </w:r>
          </w:p>
        </w:tc>
      </w:tr>
      <w:tr>
        <w:tc>
          <w:tcPr>
            <w:tcW w:w="1251" w:type="dxa"/>
          </w:tcPr>
          <w:p>
            <w:pPr>
              <w:pStyle w:val="CeldaAPA"/>
              <w:jc w:val="left"/>
            </w:pPr>
            <w:r>
              <w:rPr/>
              <w:t xml:space="preserve">5.ª</w:t>
            </w:r>
          </w:p>
        </w:tc>
        <w:tc>
          <w:tcPr>
            <w:tcW w:w="3341" w:type="dxa"/>
          </w:tcPr>
          <w:p>
            <w:pPr>
              <w:pStyle w:val="CeldaAPA"/>
              <w:jc w:val="left"/>
            </w:pPr>
            <w:r>
              <w:rPr/>
              <w:t xml:space="preserve">Los precios unitarios incluyen materiales de calidad y la reparación de trabajos defectuosos; no se paga lo que exceda el precio sin autorización escrita</w:t>
            </w:r>
          </w:p>
        </w:tc>
        <w:tc>
          <w:tcPr>
            <w:tcW w:w="3459" w:type="dxa"/>
          </w:tcPr>
          <w:p>
            <w:pPr>
              <w:pStyle w:val="CeldaAPA"/>
              <w:jc w:val="left"/>
            </w:pPr>
            <w:r>
              <w:rPr/>
              <w:t xml:space="preserve">El costo de no calidad recae en el contratista: el SGC protege su margen</w:t>
            </w:r>
          </w:p>
        </w:tc>
        <w:tc>
          <w:tcPr>
            <w:tcW w:w="1308" w:type="dxa"/>
          </w:tcPr>
          <w:p>
            <w:pPr>
              <w:pStyle w:val="CeldaAPA"/>
              <w:jc w:val="left"/>
            </w:pPr>
            <w:r>
              <w:rPr/>
              <w:t xml:space="preserve">p. 92</w:t>
            </w:r>
          </w:p>
        </w:tc>
      </w:tr>
      <w:tr>
        <w:tc>
          <w:tcPr>
            <w:tcW w:w="1251" w:type="dxa"/>
          </w:tcPr>
          <w:p>
            <w:pPr>
              <w:pStyle w:val="CeldaAPA"/>
              <w:jc w:val="left"/>
            </w:pPr>
            <w:r>
              <w:rPr/>
              <w:t xml:space="preserve">16.ª</w:t>
            </w:r>
          </w:p>
        </w:tc>
        <w:tc>
          <w:tcPr>
            <w:tcW w:w="3341" w:type="dxa"/>
          </w:tcPr>
          <w:p>
            <w:pPr>
              <w:pStyle w:val="CeldaAPA"/>
              <w:jc w:val="left"/>
            </w:pPr>
            <w:r>
              <w:rPr/>
              <w:t xml:space="preserve">No procede reajuste de precios</w:t>
            </w:r>
          </w:p>
        </w:tc>
        <w:tc>
          <w:tcPr>
            <w:tcW w:w="3459" w:type="dxa"/>
          </w:tcPr>
          <w:p>
            <w:pPr>
              <w:pStyle w:val="CeldaAPA"/>
              <w:jc w:val="left"/>
            </w:pPr>
            <w:r>
              <w:rPr/>
              <w:t xml:space="preserve">El desperdicio se paga a precios crecientes del mercado</w:t>
            </w:r>
          </w:p>
        </w:tc>
        <w:tc>
          <w:tcPr>
            <w:tcW w:w="1308" w:type="dxa"/>
          </w:tcPr>
          <w:p>
            <w:pPr>
              <w:pStyle w:val="CeldaAPA"/>
              <w:jc w:val="left"/>
            </w:pPr>
            <w:r>
              <w:rPr/>
              <w:t xml:space="preserve">p. 95</w:t>
            </w:r>
          </w:p>
        </w:tc>
      </w:tr>
      <w:tr>
        <w:tc>
          <w:tcPr>
            <w:tcW w:w="1251" w:type="dxa"/>
          </w:tcPr>
          <w:p>
            <w:pPr>
              <w:pStyle w:val="CeldaAPA"/>
              <w:jc w:val="left"/>
            </w:pPr>
            <w:r>
              <w:rPr/>
              <w:t xml:space="preserve">20.ª</w:t>
            </w:r>
          </w:p>
        </w:tc>
        <w:tc>
          <w:tcPr>
            <w:tcW w:w="3341" w:type="dxa"/>
          </w:tcPr>
          <w:p>
            <w:pPr>
              <w:pStyle w:val="CeldaAPA"/>
              <w:jc w:val="left"/>
            </w:pPr>
            <w:r>
              <w:rPr/>
              <w:t xml:space="preserve">El mal tiempo no extraordinario y las demoras en la entrega de materiales no son fuerza mayor; el contratista debe preverlos</w:t>
            </w:r>
          </w:p>
        </w:tc>
        <w:tc>
          <w:tcPr>
            <w:tcW w:w="3459" w:type="dxa"/>
          </w:tcPr>
          <w:p>
            <w:pPr>
              <w:pStyle w:val="CeldaAPA"/>
              <w:jc w:val="left"/>
            </w:pPr>
            <w:r>
              <w:rPr/>
              <w:t xml:space="preserve">Clima y abastecimiento son riesgos del contratista que deben planificarse</w:t>
            </w:r>
          </w:p>
        </w:tc>
        <w:tc>
          <w:tcPr>
            <w:tcW w:w="1308" w:type="dxa"/>
          </w:tcPr>
          <w:p>
            <w:pPr>
              <w:pStyle w:val="CeldaAPA"/>
              <w:jc w:val="left"/>
            </w:pPr>
            <w:r>
              <w:rPr/>
              <w:t xml:space="preserve">p. 96</w:t>
            </w:r>
          </w:p>
        </w:tc>
      </w:tr>
      <w:tr>
        <w:tc>
          <w:tcPr>
            <w:tcW w:w="1251" w:type="dxa"/>
          </w:tcPr>
          <w:p>
            <w:pPr>
              <w:pStyle w:val="CeldaAPA"/>
              <w:jc w:val="left"/>
            </w:pPr>
            <w:r>
              <w:rPr/>
              <w:t xml:space="preserve">25.ª</w:t>
            </w:r>
          </w:p>
        </w:tc>
        <w:tc>
          <w:tcPr>
            <w:tcW w:w="3341" w:type="dxa"/>
          </w:tcPr>
          <w:p>
            <w:pPr>
              <w:pStyle w:val="CeldaAPA"/>
              <w:jc w:val="left"/>
            </w:pPr>
            <w:r>
              <w:rPr/>
              <w:t xml:space="preserve">Libro de Órdenes abierto ante notario; cada orden con fecha, firma del Supervisor y constancia firmada del Director de Obra</w:t>
            </w:r>
          </w:p>
        </w:tc>
        <w:tc>
          <w:tcPr>
            <w:tcW w:w="3459" w:type="dxa"/>
          </w:tcPr>
          <w:p>
            <w:pPr>
              <w:pStyle w:val="CeldaAPA"/>
              <w:jc w:val="left"/>
            </w:pPr>
            <w:r>
              <w:rPr/>
              <w:t xml:space="preserve">Registro formal de liberaciones, instrucciones y no conformidades</w:t>
            </w:r>
          </w:p>
        </w:tc>
        <w:tc>
          <w:tcPr>
            <w:tcW w:w="1308" w:type="dxa"/>
          </w:tcPr>
          <w:p>
            <w:pPr>
              <w:pStyle w:val="CeldaAPA"/>
              <w:jc w:val="left"/>
            </w:pPr>
            <w:r>
              <w:rPr/>
              <w:t xml:space="preserve">p. 100</w:t>
            </w:r>
          </w:p>
        </w:tc>
      </w:tr>
      <w:tr>
        <w:tc>
          <w:tcPr>
            <w:tcW w:w="1251" w:type="dxa"/>
          </w:tcPr>
          <w:p>
            <w:pPr>
              <w:pStyle w:val="CeldaAPA"/>
              <w:jc w:val="left"/>
            </w:pPr>
            <w:r>
              <w:rPr/>
              <w:t xml:space="preserve">26.3</w:t>
            </w:r>
          </w:p>
        </w:tc>
        <w:tc>
          <w:tcPr>
            <w:tcW w:w="3341" w:type="dxa"/>
          </w:tcPr>
          <w:p>
            <w:pPr>
              <w:pStyle w:val="CeldaAPA"/>
              <w:jc w:val="left"/>
            </w:pPr>
            <w:r>
              <w:rPr/>
              <w:t xml:space="preserve">Control técnico del trabajo; notificación y corrección de defectos; el control de calidad es responsabilidad directa de la Supervisión</w:t>
            </w:r>
          </w:p>
        </w:tc>
        <w:tc>
          <w:tcPr>
            <w:tcW w:w="3459" w:type="dxa"/>
          </w:tcPr>
          <w:p>
            <w:pPr>
              <w:pStyle w:val="CeldaAPA"/>
              <w:jc w:val="left"/>
            </w:pPr>
            <w:r>
              <w:rPr/>
              <w:t xml:space="preserve">La Supervisión participa en los puntos de espera y en el cierre de no conformidades</w:t>
            </w:r>
          </w:p>
        </w:tc>
        <w:tc>
          <w:tcPr>
            <w:tcW w:w="1308" w:type="dxa"/>
          </w:tcPr>
          <w:p>
            <w:pPr>
              <w:pStyle w:val="CeldaAPA"/>
              <w:jc w:val="left"/>
            </w:pPr>
            <w:r>
              <w:rPr/>
              <w:t xml:space="preserve">p. 101</w:t>
            </w:r>
          </w:p>
        </w:tc>
      </w:tr>
      <w:tr>
        <w:tc>
          <w:tcPr>
            <w:tcW w:w="1251" w:type="dxa"/>
          </w:tcPr>
          <w:p>
            <w:pPr>
              <w:pStyle w:val="CeldaAPA"/>
              <w:jc w:val="left"/>
            </w:pPr>
            <w:r>
              <w:rPr/>
              <w:t xml:space="preserve">26.6</w:t>
            </w:r>
          </w:p>
        </w:tc>
        <w:tc>
          <w:tcPr>
            <w:tcW w:w="3341" w:type="dxa"/>
          </w:tcPr>
          <w:p>
            <w:pPr>
              <w:pStyle w:val="CeldaAPA"/>
              <w:jc w:val="left"/>
            </w:pPr>
            <w:r>
              <w:rPr/>
              <w:t xml:space="preserve">Materiales sujetos a inspección y ensayos antes de su incorporación; costo de los ensayos a cargo del contratista</w:t>
            </w:r>
          </w:p>
        </w:tc>
        <w:tc>
          <w:tcPr>
            <w:tcW w:w="3459" w:type="dxa"/>
          </w:tcPr>
          <w:p>
            <w:pPr>
              <w:pStyle w:val="CeldaAPA"/>
              <w:jc w:val="left"/>
            </w:pPr>
            <w:r>
              <w:rPr/>
              <w:t xml:space="preserve">Recepción documentada y ensayos previos al uso</w:t>
            </w:r>
          </w:p>
        </w:tc>
        <w:tc>
          <w:tcPr>
            <w:tcW w:w="1308" w:type="dxa"/>
          </w:tcPr>
          <w:p>
            <w:pPr>
              <w:pStyle w:val="CeldaAPA"/>
              <w:jc w:val="left"/>
            </w:pPr>
            <w:r>
              <w:rPr/>
              <w:t xml:space="preserve">p. 102</w:t>
            </w:r>
          </w:p>
        </w:tc>
      </w:tr>
      <w:tr>
        <w:tc>
          <w:tcPr>
            <w:tcW w:w="1251" w:type="dxa"/>
          </w:tcPr>
          <w:p>
            <w:pPr>
              <w:pStyle w:val="CeldaAPA"/>
              <w:jc w:val="left"/>
            </w:pPr>
            <w:r>
              <w:rPr/>
              <w:t xml:space="preserve">26.9</w:t>
            </w:r>
          </w:p>
        </w:tc>
        <w:tc>
          <w:tcPr>
            <w:tcW w:w="3341" w:type="dxa"/>
          </w:tcPr>
          <w:p>
            <w:pPr>
              <w:pStyle w:val="CeldaAPA"/>
              <w:jc w:val="left"/>
            </w:pPr>
            <w:r>
              <w:rPr/>
              <w:t xml:space="preserve">Acopio en zonas limpias aprobadas; materiales inspeccionados y aprobados antes de su uso</w:t>
            </w:r>
          </w:p>
        </w:tc>
        <w:tc>
          <w:tcPr>
            <w:tcW w:w="3459" w:type="dxa"/>
          </w:tcPr>
          <w:p>
            <w:pPr>
              <w:pStyle w:val="CeldaAPA"/>
              <w:jc w:val="left"/>
            </w:pPr>
            <w:r>
              <w:rPr/>
              <w:t xml:space="preserve">Almacén, preservación e inventario</w:t>
            </w:r>
          </w:p>
        </w:tc>
        <w:tc>
          <w:tcPr>
            <w:tcW w:w="1308" w:type="dxa"/>
          </w:tcPr>
          <w:p>
            <w:pPr>
              <w:pStyle w:val="CeldaAPA"/>
              <w:jc w:val="left"/>
            </w:pPr>
            <w:r>
              <w:rPr/>
              <w:t xml:space="preserve">p. 102</w:t>
            </w:r>
          </w:p>
        </w:tc>
      </w:tr>
      <w:tr>
        <w:tc>
          <w:tcPr>
            <w:tcW w:w="1251" w:type="dxa"/>
          </w:tcPr>
          <w:p>
            <w:pPr>
              <w:pStyle w:val="CeldaAPA"/>
              <w:jc w:val="left"/>
            </w:pPr>
            <w:r>
              <w:rPr/>
              <w:t xml:space="preserve">26.10</w:t>
            </w:r>
          </w:p>
        </w:tc>
        <w:tc>
          <w:tcPr>
            <w:tcW w:w="3341" w:type="dxa"/>
          </w:tcPr>
          <w:p>
            <w:pPr>
              <w:pStyle w:val="CeldaAPA"/>
              <w:jc w:val="left"/>
            </w:pPr>
            <w:r>
              <w:rPr/>
              <w:t xml:space="preserve">Inspección permanente; rechazo de material defectuoso; ningún trabajo se cubre sin aprobación previa</w:t>
            </w:r>
          </w:p>
        </w:tc>
        <w:tc>
          <w:tcPr>
            <w:tcW w:w="3459" w:type="dxa"/>
          </w:tcPr>
          <w:p>
            <w:pPr>
              <w:pStyle w:val="CeldaAPA"/>
              <w:jc w:val="left"/>
            </w:pPr>
            <w:r>
              <w:rPr/>
              <w:t xml:space="preserve">Puntos de espera del PPI antes de cubrir o vaciar</w:t>
            </w:r>
          </w:p>
        </w:tc>
        <w:tc>
          <w:tcPr>
            <w:tcW w:w="1308" w:type="dxa"/>
          </w:tcPr>
          <w:p>
            <w:pPr>
              <w:pStyle w:val="CeldaAPA"/>
              <w:jc w:val="left"/>
            </w:pPr>
            <w:r>
              <w:rPr/>
              <w:t xml:space="preserve">pp. 99, 102</w:t>
            </w:r>
          </w:p>
        </w:tc>
      </w:tr>
      <w:tr>
        <w:tc>
          <w:tcPr>
            <w:tcW w:w="1251" w:type="dxa"/>
          </w:tcPr>
          <w:p>
            <w:pPr>
              <w:pStyle w:val="CeldaAPA"/>
              <w:jc w:val="left"/>
            </w:pPr>
            <w:r>
              <w:rPr/>
              <w:t xml:space="preserve">26.11 a 26.13</w:t>
            </w:r>
          </w:p>
        </w:tc>
        <w:tc>
          <w:tcPr>
            <w:tcW w:w="3341" w:type="dxa"/>
          </w:tcPr>
          <w:p>
            <w:pPr>
              <w:pStyle w:val="CeldaAPA"/>
              <w:jc w:val="left"/>
            </w:pPr>
            <w:r>
              <w:rPr/>
              <w:t xml:space="preserve">Pruebas adicionales, corrección de defectos y estimación del costo de los no corregidos</w:t>
            </w:r>
          </w:p>
        </w:tc>
        <w:tc>
          <w:tcPr>
            <w:tcW w:w="3459" w:type="dxa"/>
          </w:tcPr>
          <w:p>
            <w:pPr>
              <w:pStyle w:val="CeldaAPA"/>
              <w:jc w:val="left"/>
            </w:pPr>
            <w:r>
              <w:rPr/>
              <w:t xml:space="preserve">Tratamiento de no conformidades y su costo</w:t>
            </w:r>
          </w:p>
        </w:tc>
        <w:tc>
          <w:tcPr>
            <w:tcW w:w="1308" w:type="dxa"/>
          </w:tcPr>
          <w:p>
            <w:pPr>
              <w:pStyle w:val="CeldaAPA"/>
              <w:jc w:val="left"/>
            </w:pPr>
            <w:r>
              <w:rPr/>
              <w:t xml:space="preserve">p. 99</w:t>
            </w:r>
          </w:p>
        </w:tc>
      </w:tr>
      <w:tr>
        <w:tc>
          <w:tcPr>
            <w:tcW w:w="1251" w:type="dxa"/>
          </w:tcPr>
          <w:p>
            <w:pPr>
              <w:pStyle w:val="CeldaAPA"/>
              <w:jc w:val="left"/>
            </w:pPr>
            <w:r>
              <w:rPr/>
              <w:t xml:space="preserve">27.ª</w:t>
            </w:r>
          </w:p>
        </w:tc>
        <w:tc>
          <w:tcPr>
            <w:tcW w:w="3341" w:type="dxa"/>
          </w:tcPr>
          <w:p>
            <w:pPr>
              <w:pStyle w:val="CeldaAPA"/>
              <w:jc w:val="left"/>
            </w:pPr>
            <w:r>
              <w:rPr/>
              <w:t xml:space="preserve">Medición conjunta y neta; no se miden volúmenes excedentes no aprobados por escrito</w:t>
            </w:r>
          </w:p>
        </w:tc>
        <w:tc>
          <w:tcPr>
            <w:tcW w:w="3459" w:type="dxa"/>
          </w:tcPr>
          <w:p>
            <w:pPr>
              <w:pStyle w:val="CeldaAPA"/>
              <w:jc w:val="left"/>
            </w:pPr>
            <w:r>
              <w:rPr/>
              <w:t xml:space="preserve">El desperdicio no es cantidad pagable; conciliación de cantidades antes de cada planilla</w:t>
            </w:r>
          </w:p>
        </w:tc>
        <w:tc>
          <w:tcPr>
            <w:tcW w:w="1308" w:type="dxa"/>
          </w:tcPr>
          <w:p>
            <w:pPr>
              <w:pStyle w:val="CeldaAPA"/>
              <w:jc w:val="left"/>
            </w:pPr>
            <w:r>
              <w:rPr/>
              <w:t xml:space="preserve">p. 99</w:t>
            </w:r>
          </w:p>
        </w:tc>
      </w:tr>
      <w:tr>
        <w:tc>
          <w:tcPr>
            <w:tcW w:w="1251" w:type="dxa"/>
          </w:tcPr>
          <w:p>
            <w:pPr>
              <w:pStyle w:val="CeldaAPA"/>
              <w:jc w:val="left"/>
            </w:pPr>
            <w:r>
              <w:rPr/>
              <w:t xml:space="preserve">32.ª</w:t>
            </w:r>
          </w:p>
        </w:tc>
        <w:tc>
          <w:tcPr>
            <w:tcW w:w="3341" w:type="dxa"/>
          </w:tcPr>
          <w:p>
            <w:pPr>
              <w:pStyle w:val="CeldaAPA"/>
              <w:jc w:val="left"/>
            </w:pPr>
            <w:r>
              <w:rPr/>
              <w:t xml:space="preserve">Cronograma aprobado como documento de control; multas por día de retraso en cada hito</w:t>
            </w:r>
          </w:p>
        </w:tc>
        <w:tc>
          <w:tcPr>
            <w:tcW w:w="3459" w:type="dxa"/>
          </w:tcPr>
          <w:p>
            <w:pPr>
              <w:pStyle w:val="CeldaAPA"/>
              <w:jc w:val="left"/>
            </w:pPr>
            <w:r>
              <w:rPr/>
              <w:t xml:space="preserve">El retraso por retrabajos o desabastecimiento tiene un costo contractual</w:t>
            </w:r>
          </w:p>
        </w:tc>
        <w:tc>
          <w:tcPr>
            <w:tcW w:w="1308" w:type="dxa"/>
          </w:tcPr>
          <w:p>
            <w:pPr>
              <w:pStyle w:val="CeldaAPA"/>
              <w:jc w:val="left"/>
            </w:pPr>
            <w:r>
              <w:rPr/>
              <w:t xml:space="preserve">pp. 105–106</w:t>
            </w:r>
          </w:p>
        </w:tc>
      </w:tr>
      <w:tr>
        <w:tc>
          <w:tcPr>
            <w:tcW w:w="1251" w:type="dxa"/>
            <w:tcBorders>
              <w:bottom w:val="single" w:sz="8" w:space="0" w:color="000000"/>
            </w:tcBorders>
          </w:tcPr>
          <w:p>
            <w:pPr>
              <w:pStyle w:val="CeldaAPA"/>
              <w:jc w:val="left"/>
            </w:pPr>
            <w:r>
              <w:rPr/>
              <w:t xml:space="preserve">33.ª</w:t>
            </w:r>
          </w:p>
        </w:tc>
        <w:tc>
          <w:tcPr>
            <w:tcW w:w="3341" w:type="dxa"/>
            <w:tcBorders>
              <w:bottom w:val="single" w:sz="8" w:space="0" w:color="000000"/>
            </w:tcBorders>
          </w:tcPr>
          <w:p>
            <w:pPr>
              <w:pStyle w:val="CeldaAPA"/>
              <w:jc w:val="left"/>
            </w:pPr>
            <w:r>
              <w:rPr/>
              <w:t xml:space="preserve">Obra defectuosa corregida por cuenta del contratista dentro del tercer día; retención de planillas</w:t>
            </w:r>
          </w:p>
        </w:tc>
        <w:tc>
          <w:tcPr>
            <w:tcW w:w="3459" w:type="dxa"/>
            <w:tcBorders>
              <w:bottom w:val="single" w:sz="8" w:space="0" w:color="000000"/>
            </w:tcBorders>
          </w:tcPr>
          <w:p>
            <w:pPr>
              <w:pStyle w:val="CeldaAPA"/>
              <w:jc w:val="left"/>
            </w:pPr>
            <w:r>
              <w:rPr/>
              <w:t xml:space="preserve">Costo de fallas internas y externas</w:t>
            </w:r>
          </w:p>
        </w:tc>
        <w:tc>
          <w:tcPr>
            <w:tcW w:w="1308" w:type="dxa"/>
            <w:tcBorders>
              <w:bottom w:val="single" w:sz="8" w:space="0" w:color="000000"/>
            </w:tcBorders>
          </w:tcPr>
          <w:p>
            <w:pPr>
              <w:pStyle w:val="CeldaAPA"/>
              <w:jc w:val="left"/>
            </w:pPr>
            <w:r>
              <w:rPr/>
              <w:t xml:space="preserve">p. 107</w:t>
            </w:r>
          </w:p>
        </w:tc>
      </w:tr>
    </w:tbl>
    <w:p>
      <w:pPr>
        <w:pStyle w:val="NotaAPA"/>
      </w:pPr>
      <w:r>
        <w:rPr>
          <w:iCs/>
          <w:i/>
        </w:rPr>
        <w:t xml:space="preserve">Nota.</w:t>
      </w:r>
      <w:r>
        <w:t xml:space="preserve"> </w:t>
      </w:r>
      <w:r>
        <w:t xml:space="preserve">Elaborado con base en el contrato de obra adjunto a la Planilla de avance N.</w:t>
      </w:r>
      <w:r>
        <w:rPr>
          <w:vertAlign w:val="superscript"/>
        </w:rPr>
        <w:t xml:space="preserve">o</w:t>
      </w:r>
      <w:r>
        <w:t xml:space="preserve"> 2</w:t>
      </w:r>
      <w:r>
        <w:t xml:space="preserve"> </w:t>
      </w:r>
      <w:r>
        <w:t xml:space="preserve">(UATF, 2025)</w:t>
      </w:r>
      <w:r>
        <w:t xml:space="preserve">. PAO2: página del archivo PDF de la planilla.</w:t>
      </w:r>
    </w:p>
    <w:p>
      <w:pPr>
        <w:pStyle w:val="Heading3"/>
      </w:pPr>
      <w:bookmarkStart w:id="122" w:name="tit90"/>
      <w:r>
        <w:t xml:space="preserve">2.2.3. Cronología de la ejecución</w:t>
      </w:r>
      <w:bookmarkEnd w:id="122"/>
    </w:p>
    <w:p>
      <w:pPr>
        <w:pStyle w:val="FirstParagraph"/>
      </w:pPr>
      <w:r>
        <w:t xml:space="preserve">La Tabla 19 ordena los hechos documentados desde la adjudicación hasta el cierre del contrato. Integra el Libro de Órdenes de la Planilla N.</w:t>
      </w:r>
      <w:r>
        <w:rPr>
          <w:vertAlign w:val="superscript"/>
        </w:rPr>
        <w:t xml:space="preserve">o</w:t>
      </w:r>
      <w:r>
        <w:t xml:space="preserve"> 2 (24 asientos, del 10/09 al 28/11/2025), los asientos posteriores copiados en el expediente del ítem 13, las cartas y certificados de los proveedores y los comunicados que describen el contexto de desabastecimiento.</w:t>
      </w:r>
    </w:p>
    <w:p>
      <w:pPr>
        <w:pStyle w:val="Caption"/>
      </w:pPr>
      <w:bookmarkStart w:id="1427" w:name="tab19"/>
      <w:r>
        <w:t xml:space="preserve"/>
      </w:r>
      <w:r>
        <w:rPr>
          <w:bCs/>
          <w:b/>
        </w:rPr>
        <w:t xml:space="preserve">Tabla 19</w:t>
      </w:r>
      <w:r>
        <w:br/>
      </w:r>
      <w:r>
        <w:rPr>
          <w:iCs/>
          <w:i/>
        </w:rPr>
        <w:t xml:space="preserve">Cronología de la ejecución del proyecto y de la primera losa</w:t>
      </w:r>
      <w:bookmarkEnd w:id="1427"/>
    </w:p>
    <w:tbl>
      <w:tblPr>
        <w:tblStyle w:val="Table"/>
        <w:tblW w:w="9360" w:type="dxa"/>
        <w:jc w:val="left"/>
        <w:tblLayout w:type="fixed"/>
        <w:tblCellMar>
          <w:top w:w="0" w:type="dxa"/>
          <w:left w:w="85" w:type="dxa"/>
          <w:bottom w:w="0" w:type="dxa"/>
          <w:right w:w="85" w:type="dxa"/>
        </w:tblCellMar>
        <w:tblLook w:firstRow="1" w:lastRow="0" w:firstColumn="0" w:lastColumn="0" w:noHBand="0" w:noVBand="0" w:val="0020"/>
      </w:tblPr>
      <w:tblGrid>
        <w:gridCol w:w="1545"/>
        <w:gridCol w:w="5970"/>
        <w:gridCol w:w="1845"/>
      </w:tblGrid>
      <w:tr>
        <w:trPr>
          <w:cantSplit/>
          <w:tblHeader w:val="true"/>
        </w:trPr>
        <w:tc>
          <w:tcPr>
            <w:tcW w:w="1545" w:type="dxa"/>
            <w:tcBorders>
              <w:top w:val="single" w:sz="8" w:space="0" w:color="000000"/>
              <w:bottom w:val="single" w:sz="4" w:space="0" w:color="000000"/>
            </w:tcBorders>
          </w:tcPr>
          <w:p>
            <w:pPr>
              <w:pStyle w:val="CeldaAPA"/>
              <w:jc w:val="center"/>
            </w:pPr>
            <w:r>
              <w:rPr>
                <w:bCs/>
                <w:b/>
              </w:rPr>
              <w:t xml:space="preserve">Fecha</w:t>
            </w:r>
          </w:p>
        </w:tc>
        <w:tc>
          <w:tcPr>
            <w:tcW w:w="5970" w:type="dxa"/>
            <w:tcBorders>
              <w:top w:val="single" w:sz="8" w:space="0" w:color="000000"/>
              <w:bottom w:val="single" w:sz="4" w:space="0" w:color="000000"/>
            </w:tcBorders>
          </w:tcPr>
          <w:p>
            <w:pPr>
              <w:pStyle w:val="CeldaAPA"/>
              <w:jc w:val="center"/>
            </w:pPr>
            <w:r>
              <w:rPr>
                <w:bCs/>
                <w:b/>
              </w:rPr>
              <w:t xml:space="preserve">Hecho</w:t>
            </w:r>
          </w:p>
        </w:tc>
        <w:tc>
          <w:tcPr>
            <w:tcW w:w="1845" w:type="dxa"/>
            <w:tcBorders>
              <w:top w:val="single" w:sz="8" w:space="0" w:color="000000"/>
              <w:bottom w:val="single" w:sz="4" w:space="0" w:color="000000"/>
            </w:tcBorders>
          </w:tcPr>
          <w:p>
            <w:pPr>
              <w:pStyle w:val="CeldaAPA"/>
              <w:jc w:val="center"/>
            </w:pPr>
            <w:r>
              <w:rPr>
                <w:bCs/>
                <w:b/>
              </w:rPr>
              <w:t xml:space="preserve">Fuente</w:t>
            </w:r>
          </w:p>
        </w:tc>
      </w:tr>
      <w:tr>
        <w:tc>
          <w:tcPr>
            <w:tcW w:w="1545" w:type="dxa"/>
          </w:tcPr>
          <w:p>
            <w:pPr>
              <w:pStyle w:val="CeldaAPA"/>
              <w:jc w:val="left"/>
            </w:pPr>
            <w:r>
              <w:rPr/>
              <w:t xml:space="preserve">04/04/2025</w:t>
            </w:r>
          </w:p>
        </w:tc>
        <w:tc>
          <w:tcPr>
            <w:tcW w:w="5970" w:type="dxa"/>
          </w:tcPr>
          <w:p>
            <w:pPr>
              <w:pStyle w:val="CeldaAPA"/>
              <w:jc w:val="left"/>
            </w:pPr>
            <w:r>
              <w:rPr/>
              <w:t xml:space="preserve">Adjudicación de la licitación a la Empresa Constructora Kodesh (R. A. N.</w:t>
            </w:r>
            <w:r>
              <w:rPr>
                <w:vertAlign w:val="superscript"/>
              </w:rPr>
              <w:t xml:space="preserve">o</w:t>
            </w:r>
            <w:r>
              <w:rPr/>
              <w:t xml:space="preserve"> 82-2025).</w:t>
            </w:r>
          </w:p>
        </w:tc>
        <w:tc>
          <w:tcPr>
            <w:tcW w:w="1845" w:type="dxa"/>
          </w:tcPr>
          <w:p>
            <w:pPr>
              <w:pStyle w:val="CeldaAPA"/>
              <w:jc w:val="left"/>
            </w:pPr>
            <w:r>
              <w:rPr/>
              <w:t xml:space="preserve">PAO2, p. 91</w:t>
            </w:r>
          </w:p>
        </w:tc>
      </w:tr>
      <w:tr>
        <w:tc>
          <w:tcPr>
            <w:tcW w:w="1545" w:type="dxa"/>
          </w:tcPr>
          <w:p>
            <w:pPr>
              <w:pStyle w:val="CeldaAPA"/>
              <w:jc w:val="left"/>
            </w:pPr>
            <w:r>
              <w:rPr/>
              <w:t xml:space="preserve">14/04/2025</w:t>
            </w:r>
          </w:p>
        </w:tc>
        <w:tc>
          <w:tcPr>
            <w:tcW w:w="5970" w:type="dxa"/>
          </w:tcPr>
          <w:p>
            <w:pPr>
              <w:pStyle w:val="CeldaAPA"/>
              <w:jc w:val="left"/>
            </w:pPr>
            <w:r>
              <w:rPr/>
              <w:t xml:space="preserve">Emisión de las boletas de garantía de cumplimiento (Bs 235.693,00) y adicional (Bs 32.908,00), con vigencia hasta el 14/04/2026.</w:t>
            </w:r>
          </w:p>
        </w:tc>
        <w:tc>
          <w:tcPr>
            <w:tcW w:w="1845" w:type="dxa"/>
          </w:tcPr>
          <w:p>
            <w:pPr>
              <w:pStyle w:val="CeldaAPA"/>
              <w:jc w:val="left"/>
            </w:pPr>
            <w:r>
              <w:rPr/>
              <w:t xml:space="preserve">PAO2, pp. 130–131</w:t>
            </w:r>
          </w:p>
        </w:tc>
      </w:tr>
      <w:tr>
        <w:tc>
          <w:tcPr>
            <w:tcW w:w="1545" w:type="dxa"/>
          </w:tcPr>
          <w:p>
            <w:pPr>
              <w:pStyle w:val="CeldaAPA"/>
              <w:jc w:val="left"/>
            </w:pPr>
            <w:r>
              <w:rPr/>
              <w:t xml:space="preserve">24/04/2025</w:t>
            </w:r>
          </w:p>
        </w:tc>
        <w:tc>
          <w:tcPr>
            <w:tcW w:w="5970" w:type="dxa"/>
          </w:tcPr>
          <w:p>
            <w:pPr>
              <w:pStyle w:val="CeldaAPA"/>
              <w:jc w:val="left"/>
            </w:pPr>
            <w:r>
              <w:rPr/>
              <w:t xml:space="preserve">Firma del contrato N.</w:t>
            </w:r>
            <w:r>
              <w:rPr>
                <w:vertAlign w:val="superscript"/>
              </w:rPr>
              <w:t xml:space="preserve">o</w:t>
            </w:r>
            <w:r>
              <w:rPr/>
              <w:t xml:space="preserve"> 02-2025.</w:t>
            </w:r>
          </w:p>
        </w:tc>
        <w:tc>
          <w:tcPr>
            <w:tcW w:w="1845" w:type="dxa"/>
          </w:tcPr>
          <w:p>
            <w:pPr>
              <w:pStyle w:val="CeldaAPA"/>
              <w:jc w:val="left"/>
            </w:pPr>
            <w:r>
              <w:rPr/>
              <w:t xml:space="preserve">PAO2, p. 112</w:t>
            </w:r>
          </w:p>
        </w:tc>
      </w:tr>
      <w:tr>
        <w:tc>
          <w:tcPr>
            <w:tcW w:w="1545" w:type="dxa"/>
          </w:tcPr>
          <w:p>
            <w:pPr>
              <w:pStyle w:val="CeldaAPA"/>
              <w:jc w:val="left"/>
            </w:pPr>
            <w:r>
              <w:rPr/>
              <w:t xml:space="preserve">06/05/2025</w:t>
            </w:r>
          </w:p>
        </w:tc>
        <w:tc>
          <w:tcPr>
            <w:tcW w:w="5970" w:type="dxa"/>
          </w:tcPr>
          <w:p>
            <w:pPr>
              <w:pStyle w:val="CeldaAPA"/>
              <w:jc w:val="left"/>
            </w:pPr>
            <w:r>
              <w:rPr/>
              <w:t xml:space="preserve">Orden de proceder y acta de inicio: Bs 3.367.031,95; 270 días; conclusión prevista el 30/01/2026.</w:t>
            </w:r>
          </w:p>
        </w:tc>
        <w:tc>
          <w:tcPr>
            <w:tcW w:w="1845" w:type="dxa"/>
          </w:tcPr>
          <w:p>
            <w:pPr>
              <w:pStyle w:val="CeldaAPA"/>
              <w:jc w:val="left"/>
            </w:pPr>
            <w:r>
              <w:rPr/>
              <w:t xml:space="preserve">PAO2, pp. 127–128</w:t>
            </w:r>
          </w:p>
        </w:tc>
      </w:tr>
      <w:tr>
        <w:tc>
          <w:tcPr>
            <w:tcW w:w="1545" w:type="dxa"/>
          </w:tcPr>
          <w:p>
            <w:pPr>
              <w:pStyle w:val="CeldaAPA"/>
              <w:jc w:val="left"/>
            </w:pPr>
            <w:r>
              <w:rPr/>
              <w:t xml:space="preserve">12/06/2025</w:t>
            </w:r>
          </w:p>
        </w:tc>
        <w:tc>
          <w:tcPr>
            <w:tcW w:w="5970" w:type="dxa"/>
          </w:tcPr>
          <w:p>
            <w:pPr>
              <w:pStyle w:val="CeldaAPA"/>
              <w:jc w:val="left"/>
            </w:pPr>
            <w:r>
              <w:rPr/>
              <w:t xml:space="preserve">FANCESA comunica la paralización temporal de su producción de cemento por falta de diésel.</w:t>
            </w:r>
          </w:p>
        </w:tc>
        <w:tc>
          <w:tcPr>
            <w:tcW w:w="1845" w:type="dxa"/>
          </w:tcPr>
          <w:p>
            <w:pPr>
              <w:pStyle w:val="CeldaAPA"/>
              <w:jc w:val="left"/>
            </w:pPr>
            <w:r>
              <w:rPr/>
              <w:t xml:space="preserve">FANCESA (2025)</w:t>
            </w:r>
            <w:r>
              <w:rPr/>
              <w:t xml:space="preserve">; Exp., p. 26</w:t>
            </w:r>
          </w:p>
        </w:tc>
      </w:tr>
      <w:tr>
        <w:tc>
          <w:tcPr>
            <w:tcW w:w="1545" w:type="dxa"/>
          </w:tcPr>
          <w:p>
            <w:pPr>
              <w:pStyle w:val="CeldaAPA"/>
              <w:jc w:val="left"/>
            </w:pPr>
            <w:r>
              <w:rPr/>
              <w:t xml:space="preserve">13/06/2025</w:t>
            </w:r>
          </w:p>
        </w:tc>
        <w:tc>
          <w:tcPr>
            <w:tcW w:w="5970" w:type="dxa"/>
          </w:tcPr>
          <w:p>
            <w:pPr>
              <w:pStyle w:val="CeldaAPA"/>
              <w:jc w:val="left"/>
            </w:pPr>
            <w:r>
              <w:rPr/>
              <w:t xml:space="preserve">La contratista solicita la protocolización del contrato; al 08/12/2025 seguía pendiente por falta de la firma del Rector.</w:t>
            </w:r>
          </w:p>
        </w:tc>
        <w:tc>
          <w:tcPr>
            <w:tcW w:w="1845" w:type="dxa"/>
          </w:tcPr>
          <w:p>
            <w:pPr>
              <w:pStyle w:val="CeldaAPA"/>
              <w:jc w:val="left"/>
            </w:pPr>
            <w:r>
              <w:rPr/>
              <w:t xml:space="preserve">PAO2, pp. 88–89</w:t>
            </w:r>
          </w:p>
        </w:tc>
      </w:tr>
      <w:tr>
        <w:tc>
          <w:tcPr>
            <w:tcW w:w="1545" w:type="dxa"/>
          </w:tcPr>
          <w:p>
            <w:pPr>
              <w:pStyle w:val="CeldaAPA"/>
              <w:jc w:val="left"/>
            </w:pPr>
            <w:r>
              <w:rPr/>
              <w:t xml:space="preserve">16/06/2025</w:t>
            </w:r>
          </w:p>
        </w:tc>
        <w:tc>
          <w:tcPr>
            <w:tcW w:w="5970" w:type="dxa"/>
          </w:tcPr>
          <w:p>
            <w:pPr>
              <w:pStyle w:val="CeldaAPA"/>
              <w:jc w:val="left"/>
            </w:pPr>
            <w:r>
              <w:rPr/>
              <w:t xml:space="preserve">Import Export Las Lomas Ltda. informa que, por el desabastecimiento de combustibles y los bloqueos de carreteras, de una compra de 20 t de fierro corrugado solo entregó el 30 %.</w:t>
            </w:r>
          </w:p>
        </w:tc>
        <w:tc>
          <w:tcPr>
            <w:tcW w:w="1845" w:type="dxa"/>
          </w:tcPr>
          <w:p>
            <w:pPr>
              <w:pStyle w:val="CeldaAPA"/>
              <w:jc w:val="left"/>
            </w:pPr>
            <w:r>
              <w:rPr/>
              <w:t xml:space="preserve">Import Export Las Lomas Ltda. (2025)</w:t>
            </w:r>
            <w:r>
              <w:rPr/>
              <w:t xml:space="preserve">; Exp., p. 27</w:t>
            </w:r>
          </w:p>
        </w:tc>
      </w:tr>
      <w:tr>
        <w:tc>
          <w:tcPr>
            <w:tcW w:w="1545" w:type="dxa"/>
          </w:tcPr>
          <w:p>
            <w:pPr>
              <w:pStyle w:val="CeldaAPA"/>
              <w:jc w:val="left"/>
            </w:pPr>
            <w:r>
              <w:rPr/>
              <w:t xml:space="preserve">04/09/2025</w:t>
            </w:r>
          </w:p>
        </w:tc>
        <w:tc>
          <w:tcPr>
            <w:tcW w:w="5970" w:type="dxa"/>
          </w:tcPr>
          <w:p>
            <w:pPr>
              <w:pStyle w:val="CeldaAPA"/>
              <w:jc w:val="left"/>
            </w:pPr>
            <w:r>
              <w:rPr/>
              <w:t xml:space="preserve">Inicio del periodo de la Planilla de avance N.</w:t>
            </w:r>
            <w:r>
              <w:rPr>
                <w:vertAlign w:val="superscript"/>
              </w:rPr>
              <w:t xml:space="preserve">o</w:t>
            </w:r>
            <w:r>
              <w:rPr/>
              <w:t xml:space="preserve"> 2.</w:t>
            </w:r>
          </w:p>
        </w:tc>
        <w:tc>
          <w:tcPr>
            <w:tcW w:w="1845" w:type="dxa"/>
          </w:tcPr>
          <w:p>
            <w:pPr>
              <w:pStyle w:val="CeldaAPA"/>
              <w:jc w:val="left"/>
            </w:pPr>
            <w:r>
              <w:rPr/>
              <w:t xml:space="preserve">PAO2, p. 3</w:t>
            </w:r>
          </w:p>
        </w:tc>
      </w:tr>
      <w:tr>
        <w:tc>
          <w:tcPr>
            <w:tcW w:w="1545" w:type="dxa"/>
          </w:tcPr>
          <w:p>
            <w:pPr>
              <w:pStyle w:val="CeldaAPA"/>
              <w:jc w:val="left"/>
            </w:pPr>
            <w:r>
              <w:rPr/>
              <w:t xml:space="preserve">10/09 a 31/10/2025</w:t>
            </w:r>
          </w:p>
        </w:tc>
        <w:tc>
          <w:tcPr>
            <w:tcW w:w="5970" w:type="dxa"/>
          </w:tcPr>
          <w:p>
            <w:pPr>
              <w:pStyle w:val="CeldaAPA"/>
              <w:jc w:val="left"/>
            </w:pPr>
            <w:r>
              <w:rPr/>
              <w:t xml:space="preserve">Siete solicitudes de verificación y vaciado (5 columnas de arranque y 7 ejes de vigas de arriostre; luego 75 columnas), todas autorizadas el mismo día. Lluvias notificadas el 09/09, 14/09, 17/09 y 15/10.</w:t>
            </w:r>
          </w:p>
        </w:tc>
        <w:tc>
          <w:tcPr>
            <w:tcW w:w="1845" w:type="dxa"/>
          </w:tcPr>
          <w:p>
            <w:pPr>
              <w:pStyle w:val="CeldaAPA"/>
              <w:jc w:val="left"/>
            </w:pPr>
            <w:r>
              <w:rPr/>
              <w:t xml:space="preserve">PAO2, pp. 114–121</w:t>
            </w:r>
          </w:p>
        </w:tc>
      </w:tr>
      <w:tr>
        <w:tc>
          <w:tcPr>
            <w:tcW w:w="1545" w:type="dxa"/>
          </w:tcPr>
          <w:p>
            <w:pPr>
              <w:pStyle w:val="CeldaAPA"/>
              <w:jc w:val="left"/>
            </w:pPr>
            <w:r>
              <w:rPr/>
              <w:t xml:space="preserve">20/09 a 11/10/2025</w:t>
            </w:r>
          </w:p>
        </w:tc>
        <w:tc>
          <w:tcPr>
            <w:tcW w:w="5970" w:type="dxa"/>
          </w:tcPr>
          <w:p>
            <w:pPr>
              <w:pStyle w:val="CeldaAPA"/>
              <w:jc w:val="left"/>
            </w:pPr>
            <w:r>
              <w:rPr/>
              <w:t xml:space="preserve">Fechas de elaboración de las 12 probetas de columnas y vigas del certificado N.</w:t>
            </w:r>
            <w:r>
              <w:rPr>
                <w:vertAlign w:val="superscript"/>
              </w:rPr>
              <w:t xml:space="preserve">o</w:t>
            </w:r>
            <w:r>
              <w:rPr/>
              <w:t xml:space="preserve"> 000293.</w:t>
            </w:r>
          </w:p>
        </w:tc>
        <w:tc>
          <w:tcPr>
            <w:tcW w:w="1845" w:type="dxa"/>
          </w:tcPr>
          <w:p>
            <w:pPr>
              <w:pStyle w:val="CeldaAPA"/>
              <w:jc w:val="left"/>
            </w:pPr>
            <w:r>
              <w:rPr/>
              <w:t xml:space="preserve">PAO2, p. 78</w:t>
            </w:r>
          </w:p>
        </w:tc>
      </w:tr>
      <w:tr>
        <w:tc>
          <w:tcPr>
            <w:tcW w:w="1545" w:type="dxa"/>
          </w:tcPr>
          <w:p>
            <w:pPr>
              <w:pStyle w:val="CeldaAPA"/>
              <w:jc w:val="left"/>
            </w:pPr>
            <w:r>
              <w:rPr/>
              <w:t xml:space="preserve">09/10/2025</w:t>
            </w:r>
          </w:p>
        </w:tc>
        <w:tc>
          <w:tcPr>
            <w:tcW w:w="5970" w:type="dxa"/>
          </w:tcPr>
          <w:p>
            <w:pPr>
              <w:pStyle w:val="CeldaAPA"/>
              <w:jc w:val="left"/>
            </w:pPr>
            <w:r>
              <w:rPr/>
              <w:t xml:space="preserve">La Cámara de la Construcción de Tarija se pronuncia sobre el alza del precio del cemento y la escasez de combustibles.</w:t>
            </w:r>
          </w:p>
        </w:tc>
        <w:tc>
          <w:tcPr>
            <w:tcW w:w="1845" w:type="dxa"/>
          </w:tcPr>
          <w:p>
            <w:pPr>
              <w:pStyle w:val="CeldaAPA"/>
              <w:jc w:val="left"/>
            </w:pPr>
            <w:r>
              <w:rPr/>
              <w:t xml:space="preserve">CADECO Tarija (2025)</w:t>
            </w:r>
            <w:r>
              <w:rPr/>
              <w:t xml:space="preserve">; Exp., p. 26</w:t>
            </w:r>
          </w:p>
        </w:tc>
      </w:tr>
      <w:tr>
        <w:tc>
          <w:tcPr>
            <w:tcW w:w="1545" w:type="dxa"/>
          </w:tcPr>
          <w:p>
            <w:pPr>
              <w:pStyle w:val="CeldaAPA"/>
              <w:jc w:val="left"/>
            </w:pPr>
            <w:r>
              <w:rPr/>
              <w:t xml:space="preserve">23/10 y 31/10/2025</w:t>
            </w:r>
          </w:p>
        </w:tc>
        <w:tc>
          <w:tcPr>
            <w:tcW w:w="5970" w:type="dxa"/>
          </w:tcPr>
          <w:p>
            <w:pPr>
              <w:pStyle w:val="CeldaAPA"/>
              <w:jc w:val="left"/>
            </w:pPr>
            <w:r>
              <w:rPr/>
              <w:t xml:space="preserve">La Supervisión instruye cuidar la dosificación (23/10) y el contenido de agua y la toma de muestras de hormigón (31/10).</w:t>
            </w:r>
          </w:p>
        </w:tc>
        <w:tc>
          <w:tcPr>
            <w:tcW w:w="1845" w:type="dxa"/>
          </w:tcPr>
          <w:p>
            <w:pPr>
              <w:pStyle w:val="CeldaAPA"/>
              <w:jc w:val="left"/>
            </w:pPr>
            <w:r>
              <w:rPr/>
              <w:t xml:space="preserve">PAO2, pp. 120–121</w:t>
            </w:r>
          </w:p>
        </w:tc>
      </w:tr>
      <w:tr>
        <w:tc>
          <w:tcPr>
            <w:tcW w:w="1545" w:type="dxa"/>
          </w:tcPr>
          <w:p>
            <w:pPr>
              <w:pStyle w:val="CeldaAPA"/>
              <w:jc w:val="left"/>
            </w:pPr>
            <w:r>
              <w:rPr/>
              <w:t xml:space="preserve">14/11/2025</w:t>
            </w:r>
          </w:p>
        </w:tc>
        <w:tc>
          <w:tcPr>
            <w:tcW w:w="5970" w:type="dxa"/>
          </w:tcPr>
          <w:p>
            <w:pPr>
              <w:pStyle w:val="CeldaAPA"/>
              <w:jc w:val="left"/>
            </w:pPr>
            <w:r>
              <w:rPr/>
              <w:t xml:space="preserve">«Se viene armando las vigas y losa del primer nivel»; lluvias del 12 y 13/11.</w:t>
            </w:r>
          </w:p>
        </w:tc>
        <w:tc>
          <w:tcPr>
            <w:tcW w:w="1845" w:type="dxa"/>
          </w:tcPr>
          <w:p>
            <w:pPr>
              <w:pStyle w:val="CeldaAPA"/>
              <w:jc w:val="left"/>
            </w:pPr>
            <w:r>
              <w:rPr/>
              <w:t xml:space="preserve">PAO2, p. 122</w:t>
            </w:r>
          </w:p>
        </w:tc>
      </w:tr>
      <w:tr>
        <w:tc>
          <w:tcPr>
            <w:tcW w:w="1545" w:type="dxa"/>
          </w:tcPr>
          <w:p>
            <w:pPr>
              <w:pStyle w:val="CeldaAPA"/>
              <w:jc w:val="left"/>
            </w:pPr>
            <w:r>
              <w:rPr/>
              <w:t xml:space="preserve">17/11/2025</w:t>
            </w:r>
          </w:p>
        </w:tc>
        <w:tc>
          <w:tcPr>
            <w:tcW w:w="5970" w:type="dxa"/>
          </w:tcPr>
          <w:p>
            <w:pPr>
              <w:pStyle w:val="CeldaAPA"/>
              <w:jc w:val="left"/>
            </w:pPr>
            <w:r>
              <w:rPr/>
              <w:t xml:space="preserve">La contratista informa que, por la escasez de combustible, los materiales tardan mucho en llegar.</w:t>
            </w:r>
          </w:p>
        </w:tc>
        <w:tc>
          <w:tcPr>
            <w:tcW w:w="1845" w:type="dxa"/>
          </w:tcPr>
          <w:p>
            <w:pPr>
              <w:pStyle w:val="CeldaAPA"/>
              <w:jc w:val="left"/>
            </w:pPr>
            <w:r>
              <w:rPr/>
              <w:t xml:space="preserve">PAO2, p. 123</w:t>
            </w:r>
          </w:p>
        </w:tc>
      </w:tr>
      <w:tr>
        <w:tc>
          <w:tcPr>
            <w:tcW w:w="1545" w:type="dxa"/>
          </w:tcPr>
          <w:p>
            <w:pPr>
              <w:pStyle w:val="CeldaAPA"/>
              <w:jc w:val="left"/>
            </w:pPr>
            <w:r>
              <w:rPr/>
              <w:t xml:space="preserve">21/11/2025</w:t>
            </w:r>
          </w:p>
        </w:tc>
        <w:tc>
          <w:tcPr>
            <w:tcW w:w="5970" w:type="dxa"/>
          </w:tcPr>
          <w:p>
            <w:pPr>
              <w:pStyle w:val="CeldaAPA"/>
              <w:jc w:val="left"/>
            </w:pPr>
            <w:r>
              <w:rPr/>
              <w:t xml:space="preserve">Continúa el armado de vigas y losa; lluvia. La Supervisión instruye documentar los hechos con reportes del SENAMHI.</w:t>
            </w:r>
          </w:p>
        </w:tc>
        <w:tc>
          <w:tcPr>
            <w:tcW w:w="1845" w:type="dxa"/>
          </w:tcPr>
          <w:p>
            <w:pPr>
              <w:pStyle w:val="CeldaAPA"/>
              <w:jc w:val="left"/>
            </w:pPr>
            <w:r>
              <w:rPr/>
              <w:t xml:space="preserve">PAO2, p. 124</w:t>
            </w:r>
          </w:p>
        </w:tc>
      </w:tr>
      <w:tr>
        <w:tc>
          <w:tcPr>
            <w:tcW w:w="1545" w:type="dxa"/>
          </w:tcPr>
          <w:p>
            <w:pPr>
              <w:pStyle w:val="CeldaAPA"/>
              <w:jc w:val="left"/>
            </w:pPr>
            <w:r>
              <w:rPr/>
              <w:t xml:space="preserve">27/11/2025</w:t>
            </w:r>
          </w:p>
        </w:tc>
        <w:tc>
          <w:tcPr>
            <w:tcW w:w="5970" w:type="dxa"/>
          </w:tcPr>
          <w:p>
            <w:pPr>
              <w:pStyle w:val="CeldaAPA"/>
              <w:jc w:val="left"/>
            </w:pPr>
            <w:r>
              <w:rPr/>
              <w:t xml:space="preserve">Certificados de calidad de PRETENSA (viguetas) y de UNICON (2.350 piezas de EPS de 20 </w:t>
            </w:r>
            <m:oMath>
              <m:r>
                <m:rPr>
                  <m:sty m:val="p"/>
                </m:rPr>
                <m:t>×</m:t>
              </m:r>
            </m:oMath>
            <w:r>
              <w:rPr/>
              <w:t xml:space="preserve"> 100 </w:t>
            </w:r>
            <m:oMath>
              <m:r>
                <m:rPr>
                  <m:sty m:val="p"/>
                </m:rPr>
                <m:t>×</m:t>
              </m:r>
            </m:oMath>
            <w:r>
              <w:rPr/>
              <w:t xml:space="preserve"> 44 cm).</w:t>
            </w:r>
          </w:p>
        </w:tc>
        <w:tc>
          <w:tcPr>
            <w:tcW w:w="1845" w:type="dxa"/>
          </w:tcPr>
          <w:p>
            <w:pPr>
              <w:pStyle w:val="CeldaAPA"/>
              <w:jc w:val="left"/>
            </w:pPr>
            <w:r>
              <w:rPr/>
              <w:t xml:space="preserve">PAO2, pp. 80–81</w:t>
            </w:r>
          </w:p>
        </w:tc>
      </w:tr>
      <w:tr>
        <w:tc>
          <w:tcPr>
            <w:tcW w:w="1545" w:type="dxa"/>
          </w:tcPr>
          <w:p>
            <w:pPr>
              <w:pStyle w:val="CeldaAPA"/>
              <w:jc w:val="left"/>
            </w:pPr>
            <w:r>
              <w:rPr/>
              <w:t xml:space="preserve">28/11/2025</w:t>
            </w:r>
          </w:p>
        </w:tc>
        <w:tc>
          <w:tcPr>
            <w:tcW w:w="5970" w:type="dxa"/>
          </w:tcPr>
          <w:p>
            <w:pPr>
              <w:pStyle w:val="CeldaAPA"/>
              <w:jc w:val="left"/>
            </w:pPr>
            <w:r>
              <w:rPr/>
              <w:t xml:space="preserve">El Director de Obra informa que concluyó el armado de la losa y pide su verificación; la Supervisión informa que verificó «la losa, instalaciones, agregados, etc.», autoriza el vaciado «desde dos frentes» y recomienda cumplir especificaciones, dosificaciones y curado. No instruye tomar probetas ni consta la fecha del hormigonado.</w:t>
            </w:r>
          </w:p>
        </w:tc>
        <w:tc>
          <w:tcPr>
            <w:tcW w:w="1845" w:type="dxa"/>
          </w:tcPr>
          <w:p>
            <w:pPr>
              <w:pStyle w:val="CeldaAPA"/>
              <w:jc w:val="left"/>
            </w:pPr>
            <w:r>
              <w:rPr/>
              <w:t xml:space="preserve">PAO2, p. 125</w:t>
            </w:r>
          </w:p>
        </w:tc>
      </w:tr>
      <w:tr>
        <w:tc>
          <w:tcPr>
            <w:tcW w:w="1545" w:type="dxa"/>
          </w:tcPr>
          <w:p>
            <w:pPr>
              <w:pStyle w:val="CeldaAPA"/>
              <w:jc w:val="left"/>
            </w:pPr>
            <w:r>
              <w:rPr/>
              <w:t xml:space="preserve">05/12/2025</w:t>
            </w:r>
          </w:p>
        </w:tc>
        <w:tc>
          <w:tcPr>
            <w:tcW w:w="5970" w:type="dxa"/>
          </w:tcPr>
          <w:p>
            <w:pPr>
              <w:pStyle w:val="CeldaAPA"/>
              <w:jc w:val="left"/>
            </w:pPr>
            <w:r>
              <w:rPr/>
              <w:t xml:space="preserve">Certificado de laboratorio N.</w:t>
            </w:r>
            <w:r>
              <w:rPr>
                <w:vertAlign w:val="superscript"/>
              </w:rPr>
              <w:t xml:space="preserve">o</w:t>
            </w:r>
            <w:r>
              <w:rPr/>
              <w:t xml:space="preserve"> 000293: 10 probetas de columnas y 2 de vigas; ninguna de la losa.</w:t>
            </w:r>
          </w:p>
        </w:tc>
        <w:tc>
          <w:tcPr>
            <w:tcW w:w="1845" w:type="dxa"/>
          </w:tcPr>
          <w:p>
            <w:pPr>
              <w:pStyle w:val="CeldaAPA"/>
              <w:jc w:val="left"/>
            </w:pPr>
            <w:r>
              <w:rPr/>
              <w:t xml:space="preserve">PAO2, p. 78</w:t>
            </w:r>
          </w:p>
        </w:tc>
      </w:tr>
      <w:tr>
        <w:tc>
          <w:tcPr>
            <w:tcW w:w="1545" w:type="dxa"/>
          </w:tcPr>
          <w:p>
            <w:pPr>
              <w:pStyle w:val="CeldaAPA"/>
              <w:jc w:val="left"/>
            </w:pPr>
            <w:r>
              <w:rPr/>
              <w:t xml:space="preserve">08/12/2025</w:t>
            </w:r>
          </w:p>
        </w:tc>
        <w:tc>
          <w:tcPr>
            <w:tcW w:w="5970" w:type="dxa"/>
          </w:tcPr>
          <w:p>
            <w:pPr>
              <w:pStyle w:val="CeldaAPA"/>
              <w:jc w:val="left"/>
            </w:pPr>
            <w:r>
              <w:rPr/>
              <w:t xml:space="preserve">Cierre de la Planilla N.</w:t>
            </w:r>
            <w:r>
              <w:rPr>
                <w:vertAlign w:val="superscript"/>
              </w:rPr>
              <w:t xml:space="preserve">o</w:t>
            </w:r>
            <w:r>
              <w:rPr/>
              <w:t xml:space="preserve"> 2 (95 días trabajados): se certifica la primera losa completa (1.109,84 m</w:t>
            </w:r>
            <w:r>
              <w:rPr>
                <w:vertAlign w:val="superscript"/>
              </w:rPr>
              <w:t xml:space="preserve">2</w:t>
            </w:r>
            <w:r>
              <w:rPr/>
              <w:t xml:space="preserve">; Bs 239.365,07) y 13.548,49 kg de acero, de los cuales 4.171,18 kg corresponden a «losa alivianada». La Supervisión aprueba la planilla el mismo día.</w:t>
            </w:r>
          </w:p>
        </w:tc>
        <w:tc>
          <w:tcPr>
            <w:tcW w:w="1845" w:type="dxa"/>
          </w:tcPr>
          <w:p>
            <w:pPr>
              <w:pStyle w:val="CeldaAPA"/>
              <w:jc w:val="left"/>
            </w:pPr>
            <w:r>
              <w:rPr/>
              <w:t xml:space="preserve">PAO2, pp. 5, 12, 16, 19–20</w:t>
            </w:r>
          </w:p>
        </w:tc>
      </w:tr>
      <w:tr>
        <w:tc>
          <w:tcPr>
            <w:tcW w:w="1545" w:type="dxa"/>
          </w:tcPr>
          <w:p>
            <w:pPr>
              <w:pStyle w:val="CeldaAPA"/>
              <w:jc w:val="left"/>
            </w:pPr>
            <w:r>
              <w:rPr/>
              <w:t xml:space="preserve">11/12/2025</w:t>
            </w:r>
          </w:p>
        </w:tc>
        <w:tc>
          <w:tcPr>
            <w:tcW w:w="5970" w:type="dxa"/>
          </w:tcPr>
          <w:p>
            <w:pPr>
              <w:pStyle w:val="CeldaAPA"/>
              <w:jc w:val="left"/>
            </w:pPr>
            <w:r>
              <w:rPr/>
              <w:t xml:space="preserve">El Fiscal de Obras y el Jefe de Infraestructura aprueban la planilla y se solicita su pago a la Dirección Administrativa y Financiera.</w:t>
            </w:r>
          </w:p>
        </w:tc>
        <w:tc>
          <w:tcPr>
            <w:tcW w:w="1845" w:type="dxa"/>
          </w:tcPr>
          <w:p>
            <w:pPr>
              <w:pStyle w:val="CeldaAPA"/>
              <w:jc w:val="left"/>
            </w:pPr>
            <w:r>
              <w:rPr/>
              <w:t xml:space="preserve">PAO2, pp. 2–4, 14</w:t>
            </w:r>
          </w:p>
        </w:tc>
      </w:tr>
      <w:tr>
        <w:tc>
          <w:tcPr>
            <w:tcW w:w="1545" w:type="dxa"/>
          </w:tcPr>
          <w:p>
            <w:pPr>
              <w:pStyle w:val="CeldaAPA"/>
              <w:jc w:val="left"/>
            </w:pPr>
            <w:r>
              <w:rPr/>
              <w:t xml:space="preserve">16/12/2025</w:t>
            </w:r>
          </w:p>
        </w:tc>
        <w:tc>
          <w:tcPr>
            <w:tcW w:w="5970" w:type="dxa"/>
          </w:tcPr>
          <w:p>
            <w:pPr>
              <w:pStyle w:val="CeldaAPA"/>
              <w:jc w:val="left"/>
            </w:pPr>
            <w:r>
              <w:rPr/>
              <w:t xml:space="preserve">Verificación y autorización del vaciado de las columnas del segundo nivel (los asientos llevan por error el año 2026).</w:t>
            </w:r>
          </w:p>
        </w:tc>
        <w:tc>
          <w:tcPr>
            <w:tcW w:w="1845" w:type="dxa"/>
          </w:tcPr>
          <w:p>
            <w:pPr>
              <w:pStyle w:val="CeldaAPA"/>
              <w:jc w:val="left"/>
            </w:pPr>
            <w:r>
              <w:rPr/>
              <w:t xml:space="preserve">Exp., p. 13</w:t>
            </w:r>
          </w:p>
        </w:tc>
      </w:tr>
      <w:tr>
        <w:tc>
          <w:tcPr>
            <w:tcW w:w="1545" w:type="dxa"/>
          </w:tcPr>
          <w:p>
            <w:pPr>
              <w:pStyle w:val="CeldaAPA"/>
              <w:jc w:val="left"/>
            </w:pPr>
            <w:r>
              <w:rPr/>
              <w:t xml:space="preserve">23/12/2025</w:t>
            </w:r>
          </w:p>
        </w:tc>
        <w:tc>
          <w:tcPr>
            <w:tcW w:w="5970" w:type="dxa"/>
          </w:tcPr>
          <w:p>
            <w:pPr>
              <w:pStyle w:val="CeldaAPA"/>
              <w:jc w:val="left"/>
            </w:pPr>
            <w:r>
              <w:rPr/>
              <w:t xml:space="preserve">Inicio programado del ítem 13 en el cronograma «actualizado» de 360 días (hasta el 21/04/2026), cuando la primera losa ya estaba ejecutada.</w:t>
            </w:r>
          </w:p>
        </w:tc>
        <w:tc>
          <w:tcPr>
            <w:tcW w:w="1845" w:type="dxa"/>
          </w:tcPr>
          <w:p>
            <w:pPr>
              <w:pStyle w:val="CeldaAPA"/>
              <w:jc w:val="left"/>
            </w:pPr>
            <w:r>
              <w:rPr/>
              <w:t xml:space="preserve">PAO2, p. 137</w:t>
            </w:r>
          </w:p>
        </w:tc>
      </w:tr>
      <w:tr>
        <w:tc>
          <w:tcPr>
            <w:tcW w:w="1545" w:type="dxa"/>
          </w:tcPr>
          <w:p>
            <w:pPr>
              <w:pStyle w:val="CeldaAPA"/>
              <w:jc w:val="left"/>
            </w:pPr>
            <w:r>
              <w:rPr/>
              <w:t xml:space="preserve">26/12/2025</w:t>
            </w:r>
          </w:p>
        </w:tc>
        <w:tc>
          <w:tcPr>
            <w:tcW w:w="5970" w:type="dxa"/>
          </w:tcPr>
          <w:p>
            <w:pPr>
              <w:pStyle w:val="CeldaAPA"/>
              <w:jc w:val="left"/>
            </w:pPr>
            <w:r>
              <w:rPr/>
              <w:t xml:space="preserve">Primera fecha en que el hormigón de la losa, vaciado después de la autorización del 28/11/2025, podía cumplir 28 días (cálculo propio).</w:t>
            </w:r>
          </w:p>
        </w:tc>
        <w:tc>
          <w:tcPr>
            <w:tcW w:w="1845" w:type="dxa"/>
          </w:tcPr>
          <w:p>
            <w:pPr>
              <w:pStyle w:val="CeldaAPA"/>
              <w:jc w:val="left"/>
            </w:pPr>
            <w:r>
              <w:rPr/>
              <w:t xml:space="preserve">—</w:t>
            </w:r>
          </w:p>
        </w:tc>
      </w:tr>
      <w:tr>
        <w:tc>
          <w:tcPr>
            <w:tcW w:w="1545" w:type="dxa"/>
          </w:tcPr>
          <w:p>
            <w:pPr>
              <w:pStyle w:val="CeldaAPA"/>
              <w:jc w:val="left"/>
            </w:pPr>
            <w:r>
              <w:rPr/>
              <w:t xml:space="preserve">05/01/2026</w:t>
            </w:r>
          </w:p>
        </w:tc>
        <w:tc>
          <w:tcPr>
            <w:tcW w:w="5970" w:type="dxa"/>
          </w:tcPr>
          <w:p>
            <w:pPr>
              <w:pStyle w:val="CeldaAPA"/>
              <w:jc w:val="left"/>
            </w:pPr>
            <w:r>
              <w:rPr/>
              <w:t xml:space="preserve">Carta notariada de intención de resolución del contrato por fuerza mayor, atribuida al D. S. N.</w:t>
            </w:r>
            <w:r>
              <w:rPr>
                <w:vertAlign w:val="superscript"/>
              </w:rPr>
              <w:t xml:space="preserve">o</w:t>
            </w:r>
            <w:r>
              <w:rPr/>
              <w:t xml:space="preserve"> 5503 (retiro de la subvención a la gasolina y al diésel); solicitud de paralización. La Supervisión instruye seguir el procedimiento contractual.</w:t>
            </w:r>
          </w:p>
        </w:tc>
        <w:tc>
          <w:tcPr>
            <w:tcW w:w="1845" w:type="dxa"/>
          </w:tcPr>
          <w:p>
            <w:pPr>
              <w:pStyle w:val="CeldaAPA"/>
              <w:jc w:val="left"/>
            </w:pPr>
            <w:r>
              <w:rPr/>
              <w:t xml:space="preserve">Exp., pp. 1, 14</w:t>
            </w:r>
          </w:p>
        </w:tc>
      </w:tr>
      <w:tr>
        <w:tc>
          <w:tcPr>
            <w:tcW w:w="1545" w:type="dxa"/>
          </w:tcPr>
          <w:p>
            <w:pPr>
              <w:pStyle w:val="CeldaAPA"/>
              <w:jc w:val="left"/>
            </w:pPr>
            <w:r>
              <w:rPr/>
              <w:t xml:space="preserve">10/02/2026</w:t>
            </w:r>
          </w:p>
        </w:tc>
        <w:tc>
          <w:tcPr>
            <w:tcW w:w="5970" w:type="dxa"/>
          </w:tcPr>
          <w:p>
            <w:pPr>
              <w:pStyle w:val="CeldaAPA"/>
              <w:jc w:val="left"/>
            </w:pPr>
            <w:r>
              <w:rPr/>
              <w:t xml:space="preserve">La UATF responde favorablemente a la solicitud de resolución concertada.</w:t>
            </w:r>
          </w:p>
        </w:tc>
        <w:tc>
          <w:tcPr>
            <w:tcW w:w="1845" w:type="dxa"/>
          </w:tcPr>
          <w:p>
            <w:pPr>
              <w:pStyle w:val="CeldaAPA"/>
              <w:jc w:val="left"/>
            </w:pPr>
            <w:r>
              <w:rPr/>
              <w:t xml:space="preserve">Exp., p. 1</w:t>
            </w:r>
          </w:p>
        </w:tc>
      </w:tr>
      <w:tr>
        <w:tc>
          <w:tcPr>
            <w:tcW w:w="1545" w:type="dxa"/>
          </w:tcPr>
          <w:p>
            <w:pPr>
              <w:pStyle w:val="CeldaAPA"/>
              <w:jc w:val="left"/>
            </w:pPr>
            <w:r>
              <w:rPr/>
              <w:t xml:space="preserve">16/03/2026</w:t>
            </w:r>
          </w:p>
        </w:tc>
        <w:tc>
          <w:tcPr>
            <w:tcW w:w="5970" w:type="dxa"/>
          </w:tcPr>
          <w:p>
            <w:pPr>
              <w:pStyle w:val="CeldaAPA"/>
              <w:jc w:val="left"/>
            </w:pPr>
            <w:r>
              <w:rPr/>
              <w:t xml:space="preserve">Planilla de avance N.</w:t>
            </w:r>
            <w:r>
              <w:rPr>
                <w:vertAlign w:val="superscript"/>
              </w:rPr>
              <w:t xml:space="preserve">o</w:t>
            </w:r>
            <w:r>
              <w:rPr/>
              <w:t xml:space="preserve"> 3 de cierre por resolución del contrato, firmada por la contratista y la Supervisión: Bs 16.837,41 en el periodo, avance total de 57,43 % y descuento de 1.862,81 kg de acero. Una segunda versión, en archivo digital, descuenta 1.915,16 kg y llega a 57,48 %.</w:t>
            </w:r>
          </w:p>
        </w:tc>
        <w:tc>
          <w:tcPr>
            <w:tcW w:w="1845" w:type="dxa"/>
          </w:tcPr>
          <w:p>
            <w:pPr>
              <w:pStyle w:val="CeldaAPA"/>
              <w:jc w:val="left"/>
            </w:pPr>
            <w:r>
              <w:rPr/>
              <w:t xml:space="preserve">Exp., p. 2;</w:t>
            </w:r>
            <w:r>
              <w:rPr/>
              <w:t xml:space="preserve"> </w:t>
            </w:r>
            <w:r>
              <w:rPr/>
              <w:t xml:space="preserve">UATF (s. f.-c)</w:t>
            </w:r>
          </w:p>
        </w:tc>
      </w:tr>
      <w:tr>
        <w:tc>
          <w:tcPr>
            <w:tcW w:w="1545" w:type="dxa"/>
          </w:tcPr>
          <w:p>
            <w:pPr>
              <w:pStyle w:val="CeldaAPA"/>
              <w:jc w:val="left"/>
            </w:pPr>
            <w:r>
              <w:rPr/>
              <w:t xml:space="preserve">30/03/2026</w:t>
            </w:r>
          </w:p>
        </w:tc>
        <w:tc>
          <w:tcPr>
            <w:tcW w:w="5970" w:type="dxa"/>
          </w:tcPr>
          <w:p>
            <w:pPr>
              <w:pStyle w:val="CeldaAPA"/>
              <w:jc w:val="left"/>
            </w:pPr>
            <w:r>
              <w:rPr/>
              <w:t xml:space="preserve">D. S. N.</w:t>
            </w:r>
            <w:r>
              <w:rPr>
                <w:vertAlign w:val="superscript"/>
              </w:rPr>
              <w:t xml:space="preserve">o</w:t>
            </w:r>
            <w:r>
              <w:rPr/>
              <w:t xml:space="preserve"> 5597 de ajuste de precios de materiales de construcción en contratos de obra, posterior a la paralización.</w:t>
            </w:r>
          </w:p>
        </w:tc>
        <w:tc>
          <w:tcPr>
            <w:tcW w:w="1845" w:type="dxa"/>
          </w:tcPr>
          <w:p>
            <w:pPr>
              <w:pStyle w:val="CeldaAPA"/>
              <w:jc w:val="left"/>
            </w:pPr>
            <w:r>
              <w:rPr/>
              <w:t xml:space="preserve">Estado Plurinacional de Bolivia (2026)</w:t>
            </w:r>
          </w:p>
        </w:tc>
      </w:tr>
      <w:tr>
        <w:tc>
          <w:tcPr>
            <w:tcW w:w="1545" w:type="dxa"/>
            <w:tcBorders>
              <w:bottom w:val="single" w:sz="8" w:space="0" w:color="000000"/>
            </w:tcBorders>
          </w:tcPr>
          <w:p>
            <w:pPr>
              <w:pStyle w:val="CeldaAPA"/>
              <w:jc w:val="left"/>
            </w:pPr>
            <w:r>
              <w:rPr/>
              <w:t xml:space="preserve">14/04/2026</w:t>
            </w:r>
          </w:p>
        </w:tc>
        <w:tc>
          <w:tcPr>
            <w:tcW w:w="5970" w:type="dxa"/>
            <w:tcBorders>
              <w:bottom w:val="single" w:sz="8" w:space="0" w:color="000000"/>
            </w:tcBorders>
          </w:tcPr>
          <w:p>
            <w:pPr>
              <w:pStyle w:val="CeldaAPA"/>
              <w:jc w:val="left"/>
            </w:pPr>
            <w:r>
              <w:rPr/>
              <w:t xml:space="preserve">Vencimiento de las boletas de garantía, 16 días antes de la entrega provisional vigente.</w:t>
            </w:r>
          </w:p>
        </w:tc>
        <w:tc>
          <w:tcPr>
            <w:tcW w:w="1845" w:type="dxa"/>
            <w:tcBorders>
              <w:bottom w:val="single" w:sz="8" w:space="0" w:color="000000"/>
            </w:tcBorders>
          </w:tcPr>
          <w:p>
            <w:pPr>
              <w:pStyle w:val="CeldaAPA"/>
              <w:jc w:val="left"/>
            </w:pPr>
            <w:r>
              <w:rPr/>
              <w:t xml:space="preserve">PAO2, pp. 130–131</w:t>
            </w:r>
          </w:p>
        </w:tc>
      </w:tr>
    </w:tbl>
    <w:p>
      <w:pPr>
        <w:pStyle w:val="NotaAPA"/>
      </w:pPr>
      <w:r>
        <w:rPr>
          <w:iCs/>
          <w:i/>
        </w:rPr>
        <w:t xml:space="preserve">Nota.</w:t>
      </w:r>
      <w:r>
        <w:t xml:space="preserve"> </w:t>
      </w:r>
      <w:r>
        <w:t xml:space="preserve">Elaborado con base en</w:t>
      </w:r>
      <w:r>
        <w:t xml:space="preserve"> </w:t>
      </w:r>
      <w:r>
        <w:t xml:space="preserve">UATF (2025)</w:t>
      </w:r>
      <w:r>
        <w:t xml:space="preserve"> </w:t>
      </w:r>
      <w:r>
        <w:t xml:space="preserve">(PAO2),</w:t>
      </w:r>
      <w:r>
        <w:t xml:space="preserve"> </w:t>
      </w:r>
      <w:r>
        <w:t xml:space="preserve">UATF (s. f.-b)</w:t>
      </w:r>
      <w:r>
        <w:t xml:space="preserve"> </w:t>
      </w:r>
      <w:r>
        <w:t xml:space="preserve">(Exp.),</w:t>
      </w:r>
      <w:r>
        <w:t xml:space="preserve"> </w:t>
      </w:r>
      <w:r>
        <w:t xml:space="preserve">UATF (s. f.-c)</w:t>
      </w:r>
      <w:r>
        <w:t xml:space="preserve">,</w:t>
      </w:r>
      <w:r>
        <w:t xml:space="preserve"> </w:t>
      </w:r>
      <w:r>
        <w:t xml:space="preserve">FANCESA (2025)</w:t>
      </w:r>
      <w:r>
        <w:t xml:space="preserve">,</w:t>
      </w:r>
      <w:r>
        <w:t xml:space="preserve"> </w:t>
      </w:r>
      <w:r>
        <w:t xml:space="preserve">Import Export Las Lomas Ltda. (2025)</w:t>
      </w:r>
      <w:r>
        <w:t xml:space="preserve">,</w:t>
      </w:r>
      <w:r>
        <w:t xml:space="preserve"> </w:t>
      </w:r>
      <w:r>
        <w:t xml:space="preserve">CADECO Tarija (2025)</w:t>
      </w:r>
      <w:r>
        <w:t xml:space="preserve"> </w:t>
      </w:r>
      <w:r>
        <w:t xml:space="preserve">y</w:t>
      </w:r>
      <w:r>
        <w:t xml:space="preserve"> </w:t>
      </w:r>
      <w:r>
        <w:t xml:space="preserve">Estado Plurinacional de Bolivia (2026)</w:t>
      </w:r>
      <w:r>
        <w:t xml:space="preserve">. Las páginas son las del archivo PDF. El año de la respuesta del 10 de febrero no figura en el expediente; se deduce de la secuencia de los hechos.</w:t>
      </w:r>
    </w:p>
    <w:p>
      <w:pPr>
        <w:pStyle w:val="Heading3"/>
      </w:pPr>
      <w:bookmarkStart w:id="126" w:name="tit91"/>
      <w:r>
        <w:t xml:space="preserve">2.2.4. Sistema de losa: planos, especificaciones y certificados</w:t>
      </w:r>
      <w:bookmarkEnd w:id="126"/>
    </w:p>
    <w:p>
      <w:pPr>
        <w:pStyle w:val="FirstParagraph"/>
      </w:pPr>
      <w:r>
        <w:t xml:space="preserve">La primera losa se divide en 41 paños, de 1,40 a 52,38 m</w:t>
      </w:r>
      <w:r>
        <w:rPr>
          <w:vertAlign w:val="superscript"/>
        </w:rPr>
        <w:t xml:space="preserve">2</w:t>
      </w:r>
      <w:r>
        <w:t xml:space="preserve"> </w:t>
      </w:r>
      <w:r>
        <w:t xml:space="preserve">cada uno, que suman 1.109,84 m</w:t>
      </w:r>
      <w:r>
        <w:rPr>
          <w:vertAlign w:val="superscript"/>
        </w:rPr>
        <w:t xml:space="preserve">2</w:t>
      </w:r>
      <w:r>
        <w:t xml:space="preserve"> </w:t>
      </w:r>
      <w:r>
        <w:t xml:space="preserve">(Figura 6). Las áreas son iguales en el Plano 01, en el plano adjunto a la planilla, en el cómputo métrico de la Planilla N.</w:t>
      </w:r>
      <w:r>
        <w:rPr>
          <w:vertAlign w:val="superscript"/>
        </w:rPr>
        <w:t xml:space="preserve">o</w:t>
      </w:r>
      <w:r>
        <w:t xml:space="preserve"> 2 y en el de la planilla de cierre</w:t>
      </w:r>
      <w:r>
        <w:t xml:space="preserve"> </w:t>
      </w:r>
      <w:r>
        <w:t xml:space="preserve">(UATF, 2025, pp. 28–29, 60)</w:t>
      </w:r>
      <w:r>
        <w:t xml:space="preserve">. El área media es de 27,07 m</w:t>
      </w:r>
      <w:r>
        <w:rPr>
          <w:vertAlign w:val="superscript"/>
        </w:rPr>
        <w:t xml:space="preserve">2</w:t>
      </w:r>
      <w:r>
        <w:t xml:space="preserve"> </w:t>
      </w:r>
      <w:r>
        <w:t xml:space="preserve">y la mediana de 33,87 m</w:t>
      </w:r>
      <w:r>
        <w:rPr>
          <w:vertAlign w:val="superscript"/>
        </w:rPr>
        <w:t xml:space="preserve">2</w:t>
      </w:r>
      <w:r>
        <w:t xml:space="preserve">; siete paños miden menos de 6 m</w:t>
      </w:r>
      <w:r>
        <w:rPr>
          <w:vertAlign w:val="superscript"/>
        </w:rPr>
        <w:t xml:space="preserve">2</w:t>
      </w:r>
      <w:r>
        <w:t xml:space="preserve"> </w:t>
      </w:r>
      <w:r>
        <w:t xml:space="preserve">y seis superan los 40 m</w:t>
      </w:r>
      <w:r>
        <w:rPr>
          <w:vertAlign w:val="superscript"/>
        </w:rPr>
        <w:t xml:space="preserve">2</w:t>
      </w:r>
      <w:r>
        <w:t xml:space="preserve"> </w:t>
      </w:r>
      <w:r>
        <w:t xml:space="preserve">(cálculo propio). La losa se apoya en vigas de hormigón armado de secciones variables, de 15 </w:t>
      </w:r>
      <m:oMath>
        <m:r>
          <m:rPr>
            <m:sty m:val="p"/>
          </m:rPr>
          <m:t>×</m:t>
        </m:r>
      </m:oMath>
      <w:r>
        <w:t xml:space="preserve"> 30 a 30 </w:t>
      </w:r>
      <m:oMath>
        <m:r>
          <m:rPr>
            <m:sty m:val="p"/>
          </m:rPr>
          <m:t>×</m:t>
        </m:r>
      </m:oMath>
      <w:r>
        <w:t xml:space="preserve"> 95 cm, además de una viga plana curva de 30 </w:t>
      </w:r>
      <m:oMath>
        <m:r>
          <m:rPr>
            <m:sty m:val="p"/>
          </m:rPr>
          <m:t>×</m:t>
        </m:r>
      </m:oMath>
      <w:r>
        <w:t xml:space="preserve"> 25 cm, y las viguetas siguen la dirección de los ejes literales o numéricos según el paño</w:t>
      </w:r>
      <w:r>
        <w:t xml:space="preserve"> </w:t>
      </w:r>
      <w:r>
        <w:t xml:space="preserve">(UATF, s. f.-d, Plano 03)</w:t>
      </w:r>
      <w:r>
        <w:t xml:space="preserve">.</w:t>
      </w:r>
    </w:p>
    <w:p>
      <w:pPr>
        <w:pStyle w:val="Caption"/>
      </w:pPr>
      <w:bookmarkStart w:id="1428" w:name="fig6"/>
      <w:r>
        <w:t xml:space="preserve"/>
      </w:r>
      <w:r>
        <w:rPr>
          <w:bCs/>
          <w:b/>
        </w:rPr>
        <w:t xml:space="preserve">Figura 6</w:t>
      </w:r>
      <w:r>
        <w:br/>
      </w:r>
      <w:r>
        <w:rPr>
          <w:iCs/>
          <w:i/>
        </w:rPr>
        <w:t xml:space="preserve">Geometría y paños de la primera losa del Edificio de Posgrado</w:t>
      </w:r>
      <w:bookmarkEnd w:id="1428"/>
    </w:p>
    <w:p>
      <w:pPr>
        <w:pStyle w:val="FiguraAPA"/>
      </w:pPr>
      <w:r>
        <w:drawing>
          <wp:inline>
            <wp:extent cx="5943599" cy="4969686"/>
            <wp:effectExtent b="0" l="0" r="0" t="0"/>
            <wp:docPr descr="image" title="" id="124" name="Picture"/>
            <a:graphic>
              <a:graphicData uri="http://schemas.openxmlformats.org/drawingml/2006/picture">
                <pic:pic>
                  <pic:nvPicPr>
                    <pic:cNvPr descr="/home/user/TesisSGC/05_Tesis_LaTeX/figuras/plano01_geometria_primera_losa.png" id="125" name="Picture"/>
                    <pic:cNvPicPr>
                      <a:picLocks noChangeArrowheads="1" noChangeAspect="1"/>
                    </pic:cNvPicPr>
                  </pic:nvPicPr>
                  <pic:blipFill>
                    <a:blip r:embed="rId123"/>
                    <a:stretch>
                      <a:fillRect/>
                    </a:stretch>
                  </pic:blipFill>
                  <pic:spPr bwMode="auto">
                    <a:xfrm>
                      <a:off x="0" y="0"/>
                      <a:ext cx="5943599" cy="4969686"/>
                    </a:xfrm>
                    <a:prstGeom prst="rect">
                      <a:avLst/>
                    </a:prstGeom>
                    <a:noFill/>
                    <a:ln w="9525">
                      <a:noFill/>
                      <a:headEnd/>
                      <a:tailEnd/>
                    </a:ln>
                  </pic:spPr>
                </pic:pic>
              </a:graphicData>
            </a:graphic>
          </wp:inline>
        </w:drawing>
      </w:r>
    </w:p>
    <w:p>
      <w:pPr>
        <w:pStyle w:val="NotaAPA"/>
      </w:pPr>
      <w:r>
        <w:rPr>
          <w:iCs/>
          <w:i/>
        </w:rPr>
        <w:t xml:space="preserve">Nota.</w:t>
      </w:r>
      <w:r>
        <w:t xml:space="preserve"> </w:t>
      </w:r>
      <w:r>
        <w:t xml:space="preserve">Tomado del Plano 01 «Geometría sistema de ejes primera losa» (escala original 1:100). Las áreas A1 a A41 son los paños computados en el ítem 13.</w:t>
      </w:r>
    </w:p>
    <w:p>
      <w:pPr>
        <w:pStyle w:val="BodyText"/>
      </w:pPr>
      <w:r>
        <w:t xml:space="preserve">La Tabla 20 reúne las características del sistema según los documentos del proyecto. La ET define la losa como un sistema de viguetas pretensadas de fabricación industrial con complemento de plastoformo de 20 cm de altura, nervios, diafragmas y sus refuerzos, que se vacía de manera monolítica con las vigas y por franjas</w:t>
      </w:r>
      <w:r>
        <w:t xml:space="preserve"> </w:t>
      </w:r>
      <w:r>
        <w:t xml:space="preserve">(UATF, s. f.-a, p. 3)</w:t>
      </w:r>
      <w:r>
        <w:t xml:space="preserve">. Los documentos no coinciden en la geometría del complemento, como se analiza en la Sección 2.5.2.</w:t>
      </w:r>
    </w:p>
    <w:p>
      <w:pPr>
        <w:pStyle w:val="Caption"/>
      </w:pPr>
      <w:bookmarkStart w:id="1429" w:name="tab20"/>
      <w:r>
        <w:t xml:space="preserve"/>
      </w:r>
      <w:r>
        <w:rPr>
          <w:bCs/>
          <w:b/>
        </w:rPr>
        <w:t xml:space="preserve">Tabla 20</w:t>
      </w:r>
      <w:r>
        <w:br/>
      </w:r>
      <w:r>
        <w:rPr>
          <w:iCs/>
          <w:i/>
        </w:rPr>
        <w:t xml:space="preserve">Características de la losa alivianada según los documentos del proyecto</w:t>
      </w:r>
      <w:bookmarkEnd w:id="1429"/>
    </w:p>
    <w:tbl>
      <w:tblPr>
        <w:tblStyle w:val="Table"/>
        <w:tblW w:w="9360" w:type="dxa"/>
        <w:jc w:val="left"/>
        <w:tblLayout w:type="fixed"/>
        <w:tblCellMar>
          <w:top w:w="0" w:type="dxa"/>
          <w:left w:w="85" w:type="dxa"/>
          <w:bottom w:w="0" w:type="dxa"/>
          <w:right w:w="85" w:type="dxa"/>
        </w:tblCellMar>
        <w:tblLook w:firstRow="1" w:lastRow="0" w:firstColumn="0" w:lastColumn="0" w:noHBand="0" w:noVBand="0" w:val="0020"/>
      </w:tblPr>
      <w:tblGrid>
        <w:gridCol w:w="2483"/>
        <w:gridCol w:w="4791"/>
        <w:gridCol w:w="2086"/>
      </w:tblGrid>
      <w:tr>
        <w:trPr>
          <w:cantSplit/>
          <w:tblHeader w:val="true"/>
        </w:trPr>
        <w:tc>
          <w:tcPr>
            <w:tcW w:w="2483" w:type="dxa"/>
            <w:tcBorders>
              <w:top w:val="single" w:sz="8" w:space="0" w:color="000000"/>
              <w:bottom w:val="single" w:sz="4" w:space="0" w:color="000000"/>
            </w:tcBorders>
          </w:tcPr>
          <w:p>
            <w:pPr>
              <w:pStyle w:val="CeldaAPA"/>
              <w:jc w:val="center"/>
            </w:pPr>
            <w:r>
              <w:rPr>
                <w:bCs/>
                <w:b/>
              </w:rPr>
              <w:t xml:space="preserve">Característica</w:t>
            </w:r>
          </w:p>
        </w:tc>
        <w:tc>
          <w:tcPr>
            <w:tcW w:w="4791" w:type="dxa"/>
            <w:tcBorders>
              <w:top w:val="single" w:sz="8" w:space="0" w:color="000000"/>
              <w:bottom w:val="single" w:sz="4" w:space="0" w:color="000000"/>
            </w:tcBorders>
          </w:tcPr>
          <w:p>
            <w:pPr>
              <w:pStyle w:val="CeldaAPA"/>
              <w:jc w:val="center"/>
            </w:pPr>
            <w:r>
              <w:rPr>
                <w:bCs/>
                <w:b/>
              </w:rPr>
              <w:t xml:space="preserve">Valor</w:t>
            </w:r>
          </w:p>
        </w:tc>
        <w:tc>
          <w:tcPr>
            <w:tcW w:w="2086" w:type="dxa"/>
            <w:tcBorders>
              <w:top w:val="single" w:sz="8" w:space="0" w:color="000000"/>
              <w:bottom w:val="single" w:sz="4" w:space="0" w:color="000000"/>
            </w:tcBorders>
          </w:tcPr>
          <w:p>
            <w:pPr>
              <w:pStyle w:val="CeldaAPA"/>
              <w:jc w:val="center"/>
            </w:pPr>
            <w:r>
              <w:rPr>
                <w:bCs/>
                <w:b/>
              </w:rPr>
              <w:t xml:space="preserve">Fuente</w:t>
            </w:r>
          </w:p>
        </w:tc>
      </w:tr>
      <w:tr>
        <w:tc>
          <w:tcPr>
            <w:tcW w:w="2483" w:type="dxa"/>
          </w:tcPr>
          <w:p>
            <w:pPr>
              <w:pStyle w:val="CeldaAPA"/>
              <w:jc w:val="left"/>
            </w:pPr>
            <w:r>
              <w:rPr/>
              <w:t xml:space="preserve">Espesor total</w:t>
            </w:r>
          </w:p>
        </w:tc>
        <w:tc>
          <w:tcPr>
            <w:tcW w:w="4791" w:type="dxa"/>
          </w:tcPr>
          <w:p>
            <w:pPr>
              <w:pStyle w:val="CeldaAPA"/>
              <w:jc w:val="left"/>
            </w:pPr>
            <w:r>
              <w:rPr/>
              <w:t xml:space="preserve">25 cm: complemento de 20 cm y carpeta de 5 cm</w:t>
            </w:r>
          </w:p>
        </w:tc>
        <w:tc>
          <w:tcPr>
            <w:tcW w:w="2086" w:type="dxa"/>
          </w:tcPr>
          <w:p>
            <w:pPr>
              <w:pStyle w:val="CeldaAPA"/>
              <w:jc w:val="left"/>
            </w:pPr>
            <w:r>
              <w:rPr/>
              <w:t xml:space="preserve">ET, p. 3; PRETENSA</w:t>
            </w:r>
          </w:p>
        </w:tc>
      </w:tr>
      <w:tr>
        <w:tc>
          <w:tcPr>
            <w:tcW w:w="2483" w:type="dxa"/>
          </w:tcPr>
          <w:p>
            <w:pPr>
              <w:pStyle w:val="CeldaAPA"/>
              <w:jc w:val="left"/>
            </w:pPr>
            <w:r>
              <w:rPr/>
              <w:t xml:space="preserve">Altura del complemento en el corte</w:t>
            </w:r>
          </w:p>
        </w:tc>
        <w:tc>
          <w:tcPr>
            <w:tcW w:w="4791" w:type="dxa"/>
          </w:tcPr>
          <w:p>
            <w:pPr>
              <w:pStyle w:val="CeldaAPA"/>
              <w:jc w:val="left"/>
            </w:pPr>
            <w:r>
              <w:rPr/>
              <w:t xml:space="preserve">0,15 m, con carpeta de 0,05 m</w:t>
            </w:r>
          </w:p>
        </w:tc>
        <w:tc>
          <w:tcPr>
            <w:tcW w:w="2086" w:type="dxa"/>
          </w:tcPr>
          <w:p>
            <w:pPr>
              <w:pStyle w:val="CeldaAPA"/>
              <w:jc w:val="left"/>
            </w:pPr>
            <w:r>
              <w:rPr/>
              <w:t xml:space="preserve">Plano 02</w:t>
            </w:r>
          </w:p>
        </w:tc>
      </w:tr>
      <w:tr>
        <w:tc>
          <w:tcPr>
            <w:tcW w:w="2483" w:type="dxa"/>
          </w:tcPr>
          <w:p>
            <w:pPr>
              <w:pStyle w:val="CeldaAPA"/>
              <w:jc w:val="left"/>
            </w:pPr>
            <w:r>
              <w:rPr/>
              <w:t xml:space="preserve">Separación entre ejes de viguetas</w:t>
            </w:r>
          </w:p>
        </w:tc>
        <w:tc>
          <w:tcPr>
            <w:tcW w:w="4791" w:type="dxa"/>
          </w:tcPr>
          <w:p>
            <w:pPr>
              <w:pStyle w:val="CeldaAPA"/>
              <w:jc w:val="left"/>
            </w:pPr>
            <w:r>
              <w:rPr/>
              <w:t xml:space="preserve">50 cm</w:t>
            </w:r>
          </w:p>
        </w:tc>
        <w:tc>
          <w:tcPr>
            <w:tcW w:w="2086" w:type="dxa"/>
          </w:tcPr>
          <w:p>
            <w:pPr>
              <w:pStyle w:val="CeldaAPA"/>
              <w:jc w:val="left"/>
            </w:pPr>
            <w:r>
              <w:rPr/>
              <w:t xml:space="preserve">PRETENSA</w:t>
            </w:r>
          </w:p>
        </w:tc>
      </w:tr>
      <w:tr>
        <w:tc>
          <w:tcPr>
            <w:tcW w:w="2483" w:type="dxa"/>
          </w:tcPr>
          <w:p>
            <w:pPr>
              <w:pStyle w:val="CeldaAPA"/>
              <w:jc w:val="left"/>
            </w:pPr>
            <w:r>
              <w:rPr/>
              <w:t xml:space="preserve">Luz máxima de vigueta</w:t>
            </w:r>
          </w:p>
        </w:tc>
        <w:tc>
          <w:tcPr>
            <w:tcW w:w="4791" w:type="dxa"/>
          </w:tcPr>
          <w:p>
            <w:pPr>
              <w:pStyle w:val="CeldaAPA"/>
              <w:jc w:val="left"/>
            </w:pPr>
            <w:r>
              <w:rPr/>
              <w:t xml:space="preserve">7,50 m, simplemente apoyada</w:t>
            </w:r>
          </w:p>
        </w:tc>
        <w:tc>
          <w:tcPr>
            <w:tcW w:w="2086" w:type="dxa"/>
          </w:tcPr>
          <w:p>
            <w:pPr>
              <w:pStyle w:val="CeldaAPA"/>
              <w:jc w:val="left"/>
            </w:pPr>
            <w:r>
              <w:rPr/>
              <w:t xml:space="preserve">PRETENSA</w:t>
            </w:r>
          </w:p>
        </w:tc>
      </w:tr>
      <w:tr>
        <w:tc>
          <w:tcPr>
            <w:tcW w:w="2483" w:type="dxa"/>
          </w:tcPr>
          <w:p>
            <w:pPr>
              <w:pStyle w:val="CeldaAPA"/>
              <w:jc w:val="left"/>
            </w:pPr>
            <w:r>
              <w:rPr/>
              <w:t xml:space="preserve">Sobrecarga admisible</w:t>
            </w:r>
          </w:p>
        </w:tc>
        <w:tc>
          <w:tcPr>
            <w:tcW w:w="4791" w:type="dxa"/>
          </w:tcPr>
          <w:p>
            <w:pPr>
              <w:pStyle w:val="CeldaAPA"/>
              <w:jc w:val="left"/>
            </w:pPr>
            <w:r>
              <w:rPr/>
              <w:t xml:space="preserve">400 kg/m</w:t>
            </w:r>
            <w:r>
              <w:rPr>
                <w:vertAlign w:val="superscript"/>
              </w:rPr>
              <w:t xml:space="preserve">2</w:t>
            </w:r>
          </w:p>
        </w:tc>
        <w:tc>
          <w:tcPr>
            <w:tcW w:w="2086" w:type="dxa"/>
          </w:tcPr>
          <w:p>
            <w:pPr>
              <w:pStyle w:val="CeldaAPA"/>
              <w:jc w:val="left"/>
            </w:pPr>
            <w:r>
              <w:rPr/>
              <w:t xml:space="preserve">PRETENSA</w:t>
            </w:r>
          </w:p>
        </w:tc>
      </w:tr>
      <w:tr>
        <w:tc>
          <w:tcPr>
            <w:tcW w:w="2483" w:type="dxa"/>
          </w:tcPr>
          <w:p>
            <w:pPr>
              <w:pStyle w:val="CeldaAPA"/>
              <w:jc w:val="left"/>
            </w:pPr>
            <w:r>
              <w:rPr/>
              <w:t xml:space="preserve">Viguetas</w:t>
            </w:r>
          </w:p>
        </w:tc>
        <w:tc>
          <w:tcPr>
            <w:tcW w:w="4791" w:type="dxa"/>
          </w:tcPr>
          <w:p>
            <w:pPr>
              <w:pStyle w:val="CeldaAPA"/>
              <w:jc w:val="left"/>
            </w:pPr>
            <w:r>
              <w:rPr/>
              <w:t xml:space="preserve">Hormigón de 350 a 400 kg/cm</w:t>
            </w:r>
            <w:r>
              <w:rPr>
                <w:vertAlign w:val="superscript"/>
              </w:rPr>
              <w:t xml:space="preserve">2</w:t>
            </w:r>
            <w:r>
              <w:rPr/>
              <w:t xml:space="preserve">; acero de pretensado con rotura de 18.000 kg/cm</w:t>
            </w:r>
            <w:r>
              <w:rPr>
                <w:vertAlign w:val="superscript"/>
              </w:rPr>
              <w:t xml:space="preserve">2</w:t>
            </w:r>
            <w:r>
              <w:rPr/>
              <w:t xml:space="preserve">; certificación IBNORCA e ISO</w:t>
            </w:r>
          </w:p>
        </w:tc>
        <w:tc>
          <w:tcPr>
            <w:tcW w:w="2086" w:type="dxa"/>
          </w:tcPr>
          <w:p>
            <w:pPr>
              <w:pStyle w:val="CeldaAPA"/>
              <w:jc w:val="left"/>
            </w:pPr>
            <w:r>
              <w:rPr/>
              <w:t xml:space="preserve">ET, p. 3</w:t>
            </w:r>
          </w:p>
        </w:tc>
      </w:tr>
      <w:tr>
        <w:tc>
          <w:tcPr>
            <w:tcW w:w="2483" w:type="dxa"/>
          </w:tcPr>
          <w:p>
            <w:pPr>
              <w:pStyle w:val="CeldaAPA"/>
              <w:jc w:val="left"/>
            </w:pPr>
            <w:r>
              <w:rPr/>
              <w:t xml:space="preserve">Hormigón de carpeta y nervios</w:t>
            </w:r>
          </w:p>
        </w:tc>
        <w:tc>
          <w:tcPr>
            <w:tcW w:w="4791" w:type="dxa"/>
          </w:tcPr>
          <w:p>
            <w:pPr>
              <w:pStyle w:val="CeldaAPA"/>
              <w:jc w:val="left"/>
            </w:pPr>
            <w:r>
              <w:rPr/>
              <w:t xml:space="preserve">H25 (f’c = 250 kg/cm</w:t>
            </w:r>
            <w:r>
              <w:rPr>
                <w:vertAlign w:val="superscript"/>
              </w:rPr>
              <w:t xml:space="preserve">2</w:t>
            </w:r>
            <w:r>
              <w:rPr/>
              <w:t xml:space="preserve"> </w:t>
            </w:r>
            <w:r>
              <w:rPr/>
              <w:t xml:space="preserve">a 28 días), cemento</w:t>
            </w:r>
            <w:r>
              <w:rPr/>
              <w:t xml:space="preserve"> </w:t>
            </w:r>
            <m:oMath>
              <m:r>
                <m:rPr>
                  <m:sty m:val="p"/>
                </m:rPr>
                <m:t>≥</m:t>
              </m:r>
            </m:oMath>
            <w:r>
              <w:rPr/>
              <w:t xml:space="preserve"> 400 kg/m</w:t>
            </w:r>
            <w:r>
              <w:rPr>
                <w:vertAlign w:val="superscript"/>
              </w:rPr>
              <w:t xml:space="preserve">3</w:t>
            </w:r>
            <w:r>
              <w:rPr/>
              <w:t xml:space="preserve">; el fabricante exige al menos 21 MPa</w:t>
            </w:r>
          </w:p>
        </w:tc>
        <w:tc>
          <w:tcPr>
            <w:tcW w:w="2086" w:type="dxa"/>
          </w:tcPr>
          <w:p>
            <w:pPr>
              <w:pStyle w:val="CeldaAPA"/>
              <w:jc w:val="left"/>
            </w:pPr>
            <w:r>
              <w:rPr/>
              <w:t xml:space="preserve">ET, pp. 3–4; PRETENSA</w:t>
            </w:r>
          </w:p>
        </w:tc>
      </w:tr>
      <w:tr>
        <w:tc>
          <w:tcPr>
            <w:tcW w:w="2483" w:type="dxa"/>
          </w:tcPr>
          <w:p>
            <w:pPr>
              <w:pStyle w:val="CeldaAPA"/>
              <w:jc w:val="left"/>
            </w:pPr>
            <w:r>
              <w:rPr/>
              <w:t xml:space="preserve">Armadura de distribución</w:t>
            </w:r>
          </w:p>
        </w:tc>
        <w:tc>
          <w:tcPr>
            <w:tcW w:w="4791" w:type="dxa"/>
          </w:tcPr>
          <w:p>
            <w:pPr>
              <w:pStyle w:val="CeldaAPA"/>
              <w:jc w:val="left"/>
            </w:pPr>
            <m:oMath>
              <m:r>
                <m:t>ϕ</m:t>
              </m:r>
            </m:oMath>
            <w:r>
              <w:rPr/>
              <w:t xml:space="preserve">6 c/20 cm en ambas direcciones</w:t>
            </w:r>
          </w:p>
        </w:tc>
        <w:tc>
          <w:tcPr>
            <w:tcW w:w="2086" w:type="dxa"/>
          </w:tcPr>
          <w:p>
            <w:pPr>
              <w:pStyle w:val="CeldaAPA"/>
              <w:jc w:val="left"/>
            </w:pPr>
            <w:r>
              <w:rPr/>
              <w:t xml:space="preserve">Plano 02</w:t>
            </w:r>
          </w:p>
        </w:tc>
      </w:tr>
      <w:tr>
        <w:tc>
          <w:tcPr>
            <w:tcW w:w="2483" w:type="dxa"/>
          </w:tcPr>
          <w:p>
            <w:pPr>
              <w:pStyle w:val="CeldaAPA"/>
              <w:jc w:val="left"/>
            </w:pPr>
            <w:r>
              <w:rPr/>
              <w:t xml:space="preserve">Nervios transversales</w:t>
            </w:r>
          </w:p>
        </w:tc>
        <w:tc>
          <w:tcPr>
            <w:tcW w:w="4791" w:type="dxa"/>
          </w:tcPr>
          <w:p>
            <w:pPr>
              <w:pStyle w:val="CeldaAPA"/>
              <w:jc w:val="left"/>
            </w:pPr>
            <w:r>
              <w:rPr/>
              <w:t xml:space="preserve">Sección de 0,10 </w:t>
            </w:r>
            <m:oMath>
              <m:r>
                <m:rPr>
                  <m:sty m:val="p"/>
                </m:rPr>
                <m:t>×</m:t>
              </m:r>
            </m:oMath>
            <w:r>
              <w:rPr/>
              <w:t xml:space="preserve"> 0,15 m con 2 </w:t>
            </w:r>
            <m:oMath>
              <m:r>
                <m:t>ϕ</m:t>
              </m:r>
            </m:oMath>
            <w:r>
              <w:rPr/>
              <w:t xml:space="preserve">10 inferiores y 2 </w:t>
            </w:r>
            <m:oMath>
              <m:r>
                <m:t>ϕ</m:t>
              </m:r>
            </m:oMath>
            <w:r>
              <w:rPr/>
              <w:t xml:space="preserve">10 superiores</w:t>
            </w:r>
          </w:p>
        </w:tc>
        <w:tc>
          <w:tcPr>
            <w:tcW w:w="2086" w:type="dxa"/>
          </w:tcPr>
          <w:p>
            <w:pPr>
              <w:pStyle w:val="CeldaAPA"/>
              <w:jc w:val="left"/>
            </w:pPr>
            <w:r>
              <w:rPr/>
              <w:t xml:space="preserve">Plano 02</w:t>
            </w:r>
          </w:p>
        </w:tc>
      </w:tr>
      <w:tr>
        <w:tc>
          <w:tcPr>
            <w:tcW w:w="2483" w:type="dxa"/>
          </w:tcPr>
          <w:p>
            <w:pPr>
              <w:pStyle w:val="CeldaAPA"/>
              <w:jc w:val="left"/>
            </w:pPr>
            <w:r>
              <w:rPr/>
              <w:t xml:space="preserve">Complemento según la ET</w:t>
            </w:r>
          </w:p>
        </w:tc>
        <w:tc>
          <w:tcPr>
            <w:tcW w:w="4791" w:type="dxa"/>
          </w:tcPr>
          <w:p>
            <w:pPr>
              <w:pStyle w:val="CeldaAPA"/>
              <w:jc w:val="left"/>
            </w:pPr>
            <w:r>
              <w:rPr/>
              <w:t xml:space="preserve">Plastoformo de 100 </w:t>
            </w:r>
            <m:oMath>
              <m:r>
                <m:rPr>
                  <m:sty m:val="p"/>
                </m:rPr>
                <m:t>×</m:t>
              </m:r>
            </m:oMath>
            <w:r>
              <w:rPr/>
              <w:t xml:space="preserve"> 50 </w:t>
            </w:r>
            <m:oMath>
              <m:r>
                <m:rPr>
                  <m:sty m:val="p"/>
                </m:rPr>
                <m:t>×</m:t>
              </m:r>
            </m:oMath>
            <w:r>
              <w:rPr/>
              <w:t xml:space="preserve"> 20 cm</w:t>
            </w:r>
          </w:p>
        </w:tc>
        <w:tc>
          <w:tcPr>
            <w:tcW w:w="2086" w:type="dxa"/>
          </w:tcPr>
          <w:p>
            <w:pPr>
              <w:pStyle w:val="CeldaAPA"/>
              <w:jc w:val="left"/>
            </w:pPr>
            <w:r>
              <w:rPr/>
              <w:t xml:space="preserve">ET, p. 3</w:t>
            </w:r>
          </w:p>
        </w:tc>
      </w:tr>
      <w:tr>
        <w:tc>
          <w:tcPr>
            <w:tcW w:w="2483" w:type="dxa"/>
          </w:tcPr>
          <w:p>
            <w:pPr>
              <w:pStyle w:val="CeldaAPA"/>
              <w:jc w:val="left"/>
            </w:pPr>
            <w:r>
              <w:rPr/>
              <w:t xml:space="preserve">Complemento suministrado</w:t>
            </w:r>
          </w:p>
        </w:tc>
        <w:tc>
          <w:tcPr>
            <w:tcW w:w="4791" w:type="dxa"/>
          </w:tcPr>
          <w:p>
            <w:pPr>
              <w:pStyle w:val="CeldaAPA"/>
              <w:jc w:val="left"/>
            </w:pPr>
            <w:r>
              <w:rPr/>
              <w:t xml:space="preserve">Plastobloq de 20 </w:t>
            </w:r>
            <m:oMath>
              <m:r>
                <m:rPr>
                  <m:sty m:val="p"/>
                </m:rPr>
                <m:t>×</m:t>
              </m:r>
            </m:oMath>
            <w:r>
              <w:rPr/>
              <w:t xml:space="preserve"> 100 </w:t>
            </w:r>
            <m:oMath>
              <m:r>
                <m:rPr>
                  <m:sty m:val="p"/>
                </m:rPr>
                <m:t>×</m:t>
              </m:r>
            </m:oMath>
            <w:r>
              <w:rPr/>
              <w:t xml:space="preserve"> 44 cm, densidad 10 kg/m</w:t>
            </w:r>
            <w:r>
              <w:rPr>
                <w:vertAlign w:val="superscript"/>
              </w:rPr>
              <w:t xml:space="preserve">3</w:t>
            </w:r>
            <w:r>
              <w:rPr/>
              <w:t xml:space="preserve">, 2.350 piezas</w:t>
            </w:r>
          </w:p>
        </w:tc>
        <w:tc>
          <w:tcPr>
            <w:tcW w:w="2086" w:type="dxa"/>
          </w:tcPr>
          <w:p>
            <w:pPr>
              <w:pStyle w:val="CeldaAPA"/>
              <w:jc w:val="left"/>
            </w:pPr>
            <w:r>
              <w:rPr/>
              <w:t xml:space="preserve">UNICON</w:t>
            </w:r>
          </w:p>
        </w:tc>
      </w:tr>
      <w:tr>
        <w:tc>
          <w:tcPr>
            <w:tcW w:w="2483" w:type="dxa"/>
            <w:tcBorders>
              <w:bottom w:val="single" w:sz="8" w:space="0" w:color="000000"/>
            </w:tcBorders>
          </w:tcPr>
          <w:p>
            <w:pPr>
              <w:pStyle w:val="CeldaAPA"/>
              <w:jc w:val="left"/>
            </w:pPr>
            <w:r>
              <w:rPr/>
              <w:t xml:space="preserve">Medición y pago</w:t>
            </w:r>
          </w:p>
        </w:tc>
        <w:tc>
          <w:tcPr>
            <w:tcW w:w="4791" w:type="dxa"/>
            <w:tcBorders>
              <w:bottom w:val="single" w:sz="8" w:space="0" w:color="000000"/>
            </w:tcBorders>
          </w:tcPr>
          <w:p>
            <w:pPr>
              <w:pStyle w:val="CeldaAPA"/>
              <w:jc w:val="left"/>
            </w:pPr>
            <w:r>
              <w:rPr/>
              <w:t xml:space="preserve">Ítem 13 por m</w:t>
            </w:r>
            <w:r>
              <w:rPr>
                <w:vertAlign w:val="superscript"/>
              </w:rPr>
              <w:t xml:space="preserve">2</w:t>
            </w:r>
            <w:r>
              <w:rPr/>
              <w:t xml:space="preserve"> </w:t>
            </w:r>
            <w:r>
              <w:rPr/>
              <w:t xml:space="preserve">(Bs 215,6753/m</w:t>
            </w:r>
            <w:r>
              <w:rPr>
                <w:vertAlign w:val="superscript"/>
              </w:rPr>
              <w:t xml:space="preserve">2</w:t>
            </w:r>
            <w:r>
              <w:rPr/>
              <w:t xml:space="preserve">); acero de la losa por kg en el ítem 8 (Bs 16,75584/kg)</w:t>
            </w:r>
          </w:p>
        </w:tc>
        <w:tc>
          <w:tcPr>
            <w:tcW w:w="2086" w:type="dxa"/>
            <w:tcBorders>
              <w:bottom w:val="single" w:sz="8" w:space="0" w:color="000000"/>
            </w:tcBorders>
          </w:tcPr>
          <w:p>
            <w:pPr>
              <w:pStyle w:val="CeldaAPA"/>
              <w:jc w:val="left"/>
            </w:pPr>
            <w:r>
              <w:rPr/>
              <w:t xml:space="preserve">PAO2, pp. 16, 20</w:t>
            </w:r>
          </w:p>
        </w:tc>
      </w:tr>
    </w:tbl>
    <w:p>
      <w:pPr>
        <w:pStyle w:val="NotaAPA"/>
      </w:pPr>
      <w:r>
        <w:rPr>
          <w:iCs/>
          <w:i/>
        </w:rPr>
        <w:t xml:space="preserve">Nota.</w:t>
      </w:r>
      <w:r>
        <w:t xml:space="preserve"> </w:t>
      </w:r>
      <w:r>
        <w:t xml:space="preserve">ET: especificaciones técnicas</w:t>
      </w:r>
      <w:r>
        <w:t xml:space="preserve"> </w:t>
      </w:r>
      <w:r>
        <w:t xml:space="preserve">(UATF, s. f.-a)</w:t>
      </w:r>
      <w:r>
        <w:t xml:space="preserve">; Plano 02: sección y detalles de la losa</w:t>
      </w:r>
      <w:r>
        <w:t xml:space="preserve"> </w:t>
      </w:r>
      <w:r>
        <w:t xml:space="preserve">(UATF, s. f.-d)</w:t>
      </w:r>
      <w:r>
        <w:t xml:space="preserve">, reproducido en el Anexo de planos; PRETENSA:</w:t>
      </w:r>
      <w:r>
        <w:t xml:space="preserve"> </w:t>
      </w:r>
      <w:r>
        <w:t xml:space="preserve">PRETENSA (2025)</w:t>
      </w:r>
      <w:r>
        <w:t xml:space="preserve">; UNICON:</w:t>
      </w:r>
      <w:r>
        <w:t xml:space="preserve"> </w:t>
      </w:r>
      <w:r>
        <w:t xml:space="preserve">UNICON (2025)</w:t>
      </w:r>
      <w:r>
        <w:t xml:space="preserve">; PAO2:</w:t>
      </w:r>
      <w:r>
        <w:t xml:space="preserve"> </w:t>
      </w:r>
      <w:r>
        <w:t xml:space="preserve">UATF (2025)</w:t>
      </w:r>
      <w:r>
        <w:t xml:space="preserve">.</w:t>
      </w:r>
    </w:p>
    <w:p>
      <w:pPr>
        <w:pStyle w:val="Heading2"/>
      </w:pPr>
      <w:bookmarkStart w:id="128" w:name="tit92"/>
      <w:r>
        <w:t xml:space="preserve">2.3. Definición de factores y variables</w:t>
      </w:r>
      <w:bookmarkEnd w:id="128"/>
    </w:p>
    <w:p>
      <w:pPr>
        <w:pStyle w:val="FirstParagraph"/>
      </w:pPr>
      <w:r>
        <w:t xml:space="preserve">Los factores del modelo se dividen en controlables, que el SGC puede modificar (recepción de materiales, despacho por paño, inspección antes del vaciado, control del hormigón y conciliación de cantidades), y no controlables, que dependen del entorno (precios, clima y abastecimiento). La Tabla 21 relaciona cada factor o variable con su indicador y con la forma en que se trata en el modelo de la Sección 2.7.2. Las dimensiones, indicadores e instrumentos de cada variable se detallan en el Anexo B.</w:t>
      </w:r>
    </w:p>
    <w:p>
      <w:pPr>
        <w:pStyle w:val="Caption"/>
      </w:pPr>
      <w:bookmarkStart w:id="1430" w:name="tab21"/>
      <w:r>
        <w:t xml:space="preserve"/>
      </w:r>
      <w:r>
        <w:rPr>
          <w:bCs/>
          <w:b/>
        </w:rPr>
        <w:t xml:space="preserve">Tabla 21</w:t>
      </w:r>
      <w:r>
        <w:br/>
      </w:r>
      <w:r>
        <w:rPr>
          <w:iCs/>
          <w:i/>
        </w:rPr>
        <w:t xml:space="preserve">Factores, variables e indicadores del modelo</w:t>
      </w:r>
      <w:bookmarkEnd w:id="1430"/>
    </w:p>
    <w:tbl>
      <w:tblPr>
        <w:tblStyle w:val="Table"/>
        <w:tblW w:w="9360" w:type="dxa"/>
        <w:jc w:val="left"/>
        <w:tblLayout w:type="fixed"/>
        <w:tblCellMar>
          <w:top w:w="0" w:type="dxa"/>
          <w:left w:w="85" w:type="dxa"/>
          <w:bottom w:w="0" w:type="dxa"/>
          <w:right w:w="85" w:type="dxa"/>
        </w:tblCellMar>
        <w:tblLook w:firstRow="1" w:lastRow="0" w:firstColumn="0" w:lastColumn="0" w:noHBand="0" w:noVBand="0" w:val="0020"/>
      </w:tblPr>
      <w:tblGrid>
        <w:gridCol w:w="2022"/>
        <w:gridCol w:w="1770"/>
        <w:gridCol w:w="2237"/>
        <w:gridCol w:w="3331"/>
      </w:tblGrid>
      <w:tr>
        <w:trPr>
          <w:cantSplit/>
          <w:tblHeader w:val="true"/>
        </w:trPr>
        <w:tc>
          <w:tcPr>
            <w:tcW w:w="2022" w:type="dxa"/>
            <w:tcBorders>
              <w:top w:val="single" w:sz="8" w:space="0" w:color="000000"/>
              <w:bottom w:val="single" w:sz="4" w:space="0" w:color="000000"/>
            </w:tcBorders>
          </w:tcPr>
          <w:p>
            <w:pPr>
              <w:pStyle w:val="CeldaAPA"/>
              <w:jc w:val="center"/>
            </w:pPr>
            <w:r>
              <w:rPr>
                <w:bCs/>
                <w:b/>
              </w:rPr>
              <w:t xml:space="preserve">Factor o variable</w:t>
            </w:r>
          </w:p>
        </w:tc>
        <w:tc>
          <w:tcPr>
            <w:tcW w:w="1770" w:type="dxa"/>
            <w:tcBorders>
              <w:top w:val="single" w:sz="8" w:space="0" w:color="000000"/>
              <w:bottom w:val="single" w:sz="4" w:space="0" w:color="000000"/>
            </w:tcBorders>
          </w:tcPr>
          <w:p>
            <w:pPr>
              <w:pStyle w:val="CeldaAPA"/>
              <w:jc w:val="center"/>
            </w:pPr>
            <w:r>
              <w:rPr>
                <w:bCs/>
                <w:b/>
              </w:rPr>
              <w:t xml:space="preserve">Tipo</w:t>
            </w:r>
          </w:p>
        </w:tc>
        <w:tc>
          <w:tcPr>
            <w:tcW w:w="2237" w:type="dxa"/>
            <w:tcBorders>
              <w:top w:val="single" w:sz="8" w:space="0" w:color="000000"/>
              <w:bottom w:val="single" w:sz="4" w:space="0" w:color="000000"/>
            </w:tcBorders>
          </w:tcPr>
          <w:p>
            <w:pPr>
              <w:pStyle w:val="CeldaAPA"/>
              <w:jc w:val="center"/>
            </w:pPr>
            <w:r>
              <w:rPr>
                <w:bCs/>
                <w:b/>
              </w:rPr>
              <w:t xml:space="preserve">Indicador y unidad</w:t>
            </w:r>
          </w:p>
        </w:tc>
        <w:tc>
          <w:tcPr>
            <w:tcW w:w="3331" w:type="dxa"/>
            <w:tcBorders>
              <w:top w:val="single" w:sz="8" w:space="0" w:color="000000"/>
              <w:bottom w:val="single" w:sz="4" w:space="0" w:color="000000"/>
            </w:tcBorders>
          </w:tcPr>
          <w:p>
            <w:pPr>
              <w:pStyle w:val="CeldaAPA"/>
              <w:jc w:val="center"/>
            </w:pPr>
            <w:r>
              <w:rPr>
                <w:bCs/>
                <w:b/>
              </w:rPr>
              <w:t xml:space="preserve">Tratamiento en el modelo</w:t>
            </w:r>
          </w:p>
        </w:tc>
      </w:tr>
      <w:tr>
        <w:tc>
          <w:tcPr>
            <w:tcW w:w="2022" w:type="dxa"/>
          </w:tcPr>
          <w:p>
            <w:pPr>
              <w:pStyle w:val="CeldaAPA"/>
              <w:jc w:val="left"/>
            </w:pPr>
            <w:r>
              <w:rPr/>
              <w:t xml:space="preserve">SGC (control de materiales y del proceso)</w:t>
            </w:r>
          </w:p>
        </w:tc>
        <w:tc>
          <w:tcPr>
            <w:tcW w:w="1770" w:type="dxa"/>
          </w:tcPr>
          <w:p>
            <w:pPr>
              <w:pStyle w:val="CeldaAPA"/>
              <w:jc w:val="left"/>
            </w:pPr>
            <w:r>
              <w:rPr/>
              <w:t xml:space="preserve">Independiente (</w:t>
            </w:r>
            <m:oMath>
              <m:r>
                <m:t>X</m:t>
              </m:r>
            </m:oMath>
            <w:r>
              <w:rPr/>
              <w:t xml:space="preserve">); controlable</w:t>
            </w:r>
          </w:p>
        </w:tc>
        <w:tc>
          <w:tcPr>
            <w:tcW w:w="2237" w:type="dxa"/>
          </w:tcPr>
          <w:p>
            <w:pPr>
              <w:pStyle w:val="CeldaAPA"/>
              <w:jc w:val="left"/>
            </w:pPr>
            <w:r>
              <w:rPr/>
              <w:t xml:space="preserve">Cumplimiento ISO 9001 (%); eficacias</w:t>
            </w:r>
            <w:r>
              <w:rPr/>
              <w:t xml:space="preserve"> </w:t>
            </w:r>
            <m:oMath>
              <m:sSub>
                <m:e>
                  <m:r>
                    <m:t>e</m:t>
                  </m:r>
                </m:e>
                <m:sub>
                  <m:r>
                    <m:t>i</m:t>
                  </m:r>
                </m:sub>
              </m:sSub>
            </m:oMath>
            <w:r>
              <w:rPr/>
              <w:t xml:space="preserve"> </w:t>
            </w:r>
            <w:r>
              <w:rPr/>
              <w:t xml:space="preserve">y</w:t>
            </w:r>
            <w:r>
              <w:rPr/>
              <w:t xml:space="preserve"> </w:t>
            </w:r>
            <m:oMath>
              <m:sSub>
                <m:e>
                  <m:r>
                    <m:t>e</m:t>
                  </m:r>
                </m:e>
                <m:sub>
                  <m:r>
                    <m:t>R</m:t>
                  </m:r>
                </m:sub>
              </m:sSub>
            </m:oMath>
          </w:p>
        </w:tc>
        <w:tc>
          <w:tcPr>
            <w:tcW w:w="3331" w:type="dxa"/>
          </w:tcPr>
          <w:p>
            <w:pPr>
              <w:pStyle w:val="CeldaAPA"/>
              <w:jc w:val="left"/>
            </w:pPr>
            <w:r>
              <w:rPr/>
              <w:t xml:space="preserve">Escenario de tratamiento (con SGC) frente al de control (sin SGC)</w:t>
            </w:r>
          </w:p>
        </w:tc>
      </w:tr>
      <w:tr>
        <w:tc>
          <w:tcPr>
            <w:tcW w:w="2022" w:type="dxa"/>
          </w:tcPr>
          <w:p>
            <w:pPr>
              <w:pStyle w:val="CeldaAPA"/>
              <w:jc w:val="left"/>
            </w:pPr>
            <w:r>
              <w:rPr/>
              <w:t xml:space="preserve">Costo unitario de ejecución</w:t>
            </w:r>
          </w:p>
        </w:tc>
        <w:tc>
          <w:tcPr>
            <w:tcW w:w="1770" w:type="dxa"/>
          </w:tcPr>
          <w:p>
            <w:pPr>
              <w:pStyle w:val="CeldaAPA"/>
              <w:jc w:val="left"/>
            </w:pPr>
            <w:r>
              <w:rPr/>
              <w:t xml:space="preserve">Dependiente (</w:t>
            </w:r>
            <m:oMath>
              <m:r>
                <m:t>Y</m:t>
              </m:r>
            </m:oMath>
            <w:r>
              <w:rPr/>
              <w:t xml:space="preserve">)</w:t>
            </w:r>
          </w:p>
        </w:tc>
        <w:tc>
          <w:tcPr>
            <w:tcW w:w="2237" w:type="dxa"/>
          </w:tcPr>
          <w:p>
            <w:pPr>
              <w:pStyle w:val="CeldaAPA"/>
              <w:jc w:val="left"/>
            </w:pPr>
            <m:oMath>
              <m:r>
                <m:t>C</m:t>
              </m:r>
              <m:r>
                <m:t>U</m:t>
              </m:r>
            </m:oMath>
            <w:r>
              <w:rPr/>
              <w:t xml:space="preserve"> </w:t>
            </w:r>
            <w:r>
              <w:rPr/>
              <w:t xml:space="preserve">(Bs/m</w:t>
            </w:r>
            <w:r>
              <w:rPr>
                <w:vertAlign w:val="superscript"/>
              </w:rPr>
              <w:t xml:space="preserve">2</w:t>
            </w:r>
            <w:r>
              <w:rPr/>
              <w:t xml:space="preserve">), ecuación (9)</w:t>
            </w:r>
          </w:p>
        </w:tc>
        <w:tc>
          <w:tcPr>
            <w:tcW w:w="3331" w:type="dxa"/>
          </w:tcPr>
          <w:p>
            <w:pPr>
              <w:pStyle w:val="CeldaAPA"/>
              <w:jc w:val="left"/>
            </w:pPr>
            <w:r>
              <w:rPr/>
              <w:t xml:space="preserve">Se descompone en costo directo teórico, CNC y costo de la calidad (ecuación 17)</w:t>
            </w:r>
          </w:p>
        </w:tc>
      </w:tr>
      <w:tr>
        <w:tc>
          <w:tcPr>
            <w:tcW w:w="2022" w:type="dxa"/>
          </w:tcPr>
          <w:p>
            <w:pPr>
              <w:pStyle w:val="CeldaAPA"/>
              <w:jc w:val="left"/>
            </w:pPr>
            <w:r>
              <w:rPr/>
              <w:t xml:space="preserve">Desperdicio de materiales</w:t>
            </w:r>
          </w:p>
        </w:tc>
        <w:tc>
          <w:tcPr>
            <w:tcW w:w="1770" w:type="dxa"/>
          </w:tcPr>
          <w:p>
            <w:pPr>
              <w:pStyle w:val="CeldaAPA"/>
              <w:jc w:val="left"/>
            </w:pPr>
            <w:r>
              <w:rPr/>
              <w:t xml:space="preserve">Dependiente (HE1)</w:t>
            </w:r>
          </w:p>
        </w:tc>
        <w:tc>
          <w:tcPr>
            <w:tcW w:w="2237" w:type="dxa"/>
          </w:tcPr>
          <w:p>
            <w:pPr>
              <w:pStyle w:val="CeldaAPA"/>
              <w:jc w:val="left"/>
            </w:pPr>
            <m:oMath>
              <m:r>
                <m:t>I</m:t>
              </m:r>
              <m:r>
                <m:t>D</m:t>
              </m:r>
              <m:sSub>
                <m:e>
                  <m:r>
                    <m:t>M</m:t>
                  </m:r>
                </m:e>
                <m:sub>
                  <m:r>
                    <m:t>i</m:t>
                  </m:r>
                </m:sub>
              </m:sSub>
            </m:oMath>
            <w:r>
              <w:rPr/>
              <w:t xml:space="preserve"> </w:t>
            </w:r>
            <w:r>
              <w:rPr/>
              <w:t xml:space="preserve">(%), ecuación (8)</w:t>
            </w:r>
          </w:p>
        </w:tc>
        <w:tc>
          <w:tcPr>
            <w:tcW w:w="3331" w:type="dxa"/>
          </w:tcPr>
          <w:p>
            <w:pPr>
              <w:pStyle w:val="CeldaAPA"/>
              <w:jc w:val="left"/>
            </w:pPr>
            <w:r>
              <w:rPr/>
              <w:t xml:space="preserve">Distribución triangular por material; línea base documentada o de literatura</w:t>
            </w:r>
          </w:p>
        </w:tc>
      </w:tr>
      <w:tr>
        <w:tc>
          <w:tcPr>
            <w:tcW w:w="2022" w:type="dxa"/>
          </w:tcPr>
          <w:p>
            <w:pPr>
              <w:pStyle w:val="CeldaAPA"/>
              <w:jc w:val="left"/>
            </w:pPr>
            <w:r>
              <w:rPr/>
              <w:t xml:space="preserve">Costo de no calidad</w:t>
            </w:r>
          </w:p>
        </w:tc>
        <w:tc>
          <w:tcPr>
            <w:tcW w:w="1770" w:type="dxa"/>
          </w:tcPr>
          <w:p>
            <w:pPr>
              <w:pStyle w:val="CeldaAPA"/>
              <w:jc w:val="left"/>
            </w:pPr>
            <w:r>
              <w:rPr/>
              <w:t xml:space="preserve">Dependiente (HE2)</w:t>
            </w:r>
          </w:p>
        </w:tc>
        <w:tc>
          <w:tcPr>
            <w:tcW w:w="2237" w:type="dxa"/>
          </w:tcPr>
          <w:p>
            <w:pPr>
              <w:pStyle w:val="CeldaAPA"/>
              <w:jc w:val="left"/>
            </w:pPr>
            <m:oMath>
              <m:r>
                <m:t>C</m:t>
              </m:r>
              <m:r>
                <m:t>N</m:t>
              </m:r>
              <m:r>
                <m:t>C</m:t>
              </m:r>
            </m:oMath>
            <w:r>
              <w:rPr/>
              <w:t xml:space="preserve"> </w:t>
            </w:r>
            <w:r>
              <w:rPr/>
              <w:t xml:space="preserve">(Bs/m</w:t>
            </w:r>
            <w:r>
              <w:rPr>
                <w:vertAlign w:val="superscript"/>
              </w:rPr>
              <w:t xml:space="preserve">2</w:t>
            </w:r>
            <w:r>
              <w:rPr/>
              <w:t xml:space="preserve">; %), ecuación (10)</w:t>
            </w:r>
          </w:p>
        </w:tc>
        <w:tc>
          <w:tcPr>
            <w:tcW w:w="3331" w:type="dxa"/>
          </w:tcPr>
          <w:p>
            <w:pPr>
              <w:pStyle w:val="CeldaAPA"/>
              <w:jc w:val="left"/>
            </w:pPr>
            <w:r>
              <w:rPr/>
              <w:t xml:space="preserve">Desperdicio valorado más retrabajo (ecuación 18)</w:t>
            </w:r>
          </w:p>
        </w:tc>
      </w:tr>
      <w:tr>
        <w:tc>
          <w:tcPr>
            <w:tcW w:w="2022" w:type="dxa"/>
          </w:tcPr>
          <w:p>
            <w:pPr>
              <w:pStyle w:val="CeldaAPA"/>
              <w:jc w:val="left"/>
            </w:pPr>
            <w:r>
              <w:rPr/>
              <w:t xml:space="preserve">Costo de la calidad</w:t>
            </w:r>
          </w:p>
        </w:tc>
        <w:tc>
          <w:tcPr>
            <w:tcW w:w="1770" w:type="dxa"/>
          </w:tcPr>
          <w:p>
            <w:pPr>
              <w:pStyle w:val="CeldaAPA"/>
              <w:jc w:val="left"/>
            </w:pPr>
            <w:r>
              <w:rPr/>
              <w:t xml:space="preserve">Interviniente</w:t>
            </w:r>
          </w:p>
        </w:tc>
        <w:tc>
          <w:tcPr>
            <w:tcW w:w="2237" w:type="dxa"/>
          </w:tcPr>
          <w:p>
            <w:pPr>
              <w:pStyle w:val="CeldaAPA"/>
              <w:jc w:val="left"/>
            </w:pPr>
            <m:oMath>
              <m:r>
                <m:t>C</m:t>
              </m:r>
              <m:r>
                <m:t>C</m:t>
              </m:r>
            </m:oMath>
            <w:r>
              <w:rPr/>
              <w:t xml:space="preserve"> </w:t>
            </w:r>
            <w:r>
              <w:rPr/>
              <w:t xml:space="preserve">(Bs/m</w:t>
            </w:r>
            <w:r>
              <w:rPr>
                <w:vertAlign w:val="superscript"/>
              </w:rPr>
              <w:t xml:space="preserve">2</w:t>
            </w:r>
            <w:r>
              <w:rPr/>
              <w:t xml:space="preserve">)</w:t>
            </w:r>
          </w:p>
        </w:tc>
        <w:tc>
          <w:tcPr>
            <w:tcW w:w="3331" w:type="dxa"/>
          </w:tcPr>
          <w:p>
            <w:pPr>
              <w:pStyle w:val="CeldaAPA"/>
              <w:jc w:val="left"/>
            </w:pPr>
            <w:r>
              <w:rPr/>
              <w:t xml:space="preserve">Costos de prevención y evaluación del SGC repartidos en el saldo</w:t>
            </w:r>
          </w:p>
        </w:tc>
      </w:tr>
      <w:tr>
        <w:tc>
          <w:tcPr>
            <w:tcW w:w="2022" w:type="dxa"/>
          </w:tcPr>
          <w:p>
            <w:pPr>
              <w:pStyle w:val="CeldaAPA"/>
              <w:jc w:val="left"/>
            </w:pPr>
            <w:r>
              <w:rPr/>
              <w:t xml:space="preserve">Geometría de los paños</w:t>
            </w:r>
          </w:p>
        </w:tc>
        <w:tc>
          <w:tcPr>
            <w:tcW w:w="1770" w:type="dxa"/>
          </w:tcPr>
          <w:p>
            <w:pPr>
              <w:pStyle w:val="CeldaAPA"/>
              <w:jc w:val="left"/>
            </w:pPr>
            <w:r>
              <w:rPr/>
              <w:t xml:space="preserve">Controlada</w:t>
            </w:r>
          </w:p>
        </w:tc>
        <w:tc>
          <w:tcPr>
            <w:tcW w:w="2237" w:type="dxa"/>
          </w:tcPr>
          <w:p>
            <w:pPr>
              <w:pStyle w:val="CeldaAPA"/>
              <w:jc w:val="left"/>
            </w:pPr>
            <w:r>
              <w:rPr/>
              <w:t xml:space="preserve">Área, número y longitud de viguetas</w:t>
            </w:r>
          </w:p>
        </w:tc>
        <w:tc>
          <w:tcPr>
            <w:tcW w:w="3331" w:type="dxa"/>
          </w:tcPr>
          <w:p>
            <w:pPr>
              <w:pStyle w:val="CeldaAPA"/>
              <w:jc w:val="left"/>
            </w:pPr>
            <w:r>
              <w:rPr/>
              <w:t xml:space="preserve">Igual en ambos escenarios (paños homólogos)</w:t>
            </w:r>
          </w:p>
        </w:tc>
      </w:tr>
      <w:tr>
        <w:tc>
          <w:tcPr>
            <w:tcW w:w="2022" w:type="dxa"/>
          </w:tcPr>
          <w:p>
            <w:pPr>
              <w:pStyle w:val="CeldaAPA"/>
              <w:jc w:val="left"/>
            </w:pPr>
            <w:r>
              <w:rPr/>
              <w:t xml:space="preserve">Precios de los insumos</w:t>
            </w:r>
          </w:p>
        </w:tc>
        <w:tc>
          <w:tcPr>
            <w:tcW w:w="1770" w:type="dxa"/>
          </w:tcPr>
          <w:p>
            <w:pPr>
              <w:pStyle w:val="CeldaAPA"/>
              <w:jc w:val="left"/>
            </w:pPr>
            <w:r>
              <w:rPr/>
              <w:t xml:space="preserve">Controlada</w:t>
            </w:r>
          </w:p>
        </w:tc>
        <w:tc>
          <w:tcPr>
            <w:tcW w:w="2237" w:type="dxa"/>
          </w:tcPr>
          <w:p>
            <w:pPr>
              <w:pStyle w:val="CeldaAPA"/>
              <w:jc w:val="left"/>
            </w:pPr>
            <w:r>
              <w:rPr/>
              <w:t xml:space="preserve">Bs a precios del contrato</w:t>
            </w:r>
          </w:p>
        </w:tc>
        <w:tc>
          <w:tcPr>
            <w:tcW w:w="3331" w:type="dxa"/>
          </w:tcPr>
          <w:p>
            <w:pPr>
              <w:pStyle w:val="CeldaAPA"/>
              <w:jc w:val="left"/>
            </w:pPr>
            <w:r>
              <w:rPr/>
              <w:t xml:space="preserve">Constantes en ambos escenarios</w:t>
            </w:r>
          </w:p>
        </w:tc>
      </w:tr>
      <w:tr>
        <w:tc>
          <w:tcPr>
            <w:tcW w:w="2022" w:type="dxa"/>
            <w:tcBorders>
              <w:bottom w:val="single" w:sz="8" w:space="0" w:color="000000"/>
            </w:tcBorders>
          </w:tcPr>
          <w:p>
            <w:pPr>
              <w:pStyle w:val="CeldaAPA"/>
              <w:jc w:val="left"/>
            </w:pPr>
            <w:r>
              <w:rPr/>
              <w:t xml:space="preserve">Clima, abastecimiento e inflación</w:t>
            </w:r>
          </w:p>
        </w:tc>
        <w:tc>
          <w:tcPr>
            <w:tcW w:w="1770" w:type="dxa"/>
            <w:tcBorders>
              <w:bottom w:val="single" w:sz="8" w:space="0" w:color="000000"/>
            </w:tcBorders>
          </w:tcPr>
          <w:p>
            <w:pPr>
              <w:pStyle w:val="CeldaAPA"/>
              <w:jc w:val="left"/>
            </w:pPr>
            <w:r>
              <w:rPr/>
              <w:t xml:space="preserve">No controlable</w:t>
            </w:r>
          </w:p>
        </w:tc>
        <w:tc>
          <w:tcPr>
            <w:tcW w:w="2237" w:type="dxa"/>
            <w:tcBorders>
              <w:bottom w:val="single" w:sz="8" w:space="0" w:color="000000"/>
            </w:tcBorders>
          </w:tcPr>
          <w:p>
            <w:pPr>
              <w:pStyle w:val="CeldaAPA"/>
              <w:jc w:val="left"/>
            </w:pPr>
            <w:r>
              <w:rPr/>
              <w:t xml:space="preserve">Días de lluvia; demoras; variación de precios</w:t>
            </w:r>
          </w:p>
        </w:tc>
        <w:tc>
          <w:tcPr>
            <w:tcW w:w="3331" w:type="dxa"/>
            <w:tcBorders>
              <w:bottom w:val="single" w:sz="8" w:space="0" w:color="000000"/>
            </w:tcBorders>
          </w:tcPr>
          <w:p>
            <w:pPr>
              <w:pStyle w:val="CeldaAPA"/>
              <w:jc w:val="left"/>
            </w:pPr>
            <w:r>
              <w:rPr/>
              <w:t xml:space="preserve">Fuera del modelo de costos; se gestionan como riesgos del SGC</w:t>
            </w:r>
          </w:p>
        </w:tc>
      </w:tr>
    </w:tbl>
    <w:p>
      <w:pPr>
        <w:pStyle w:val="NotaAPA"/>
      </w:pPr>
      <w:r>
        <w:rPr>
          <w:iCs/>
          <w:i/>
        </w:rPr>
        <w:t xml:space="preserve">Nota.</w:t>
      </w:r>
      <w:r>
        <w:t xml:space="preserve"> </w:t>
      </w:r>
      <w:r>
        <w:t xml:space="preserve">Elaboración propia. HE1 y HE2: hipótesis específicas. Las ecuaciones (17) y (18) se presentan en la Sección 2.7.2.</w:t>
      </w:r>
    </w:p>
    <w:p>
      <w:pPr>
        <w:pStyle w:val="BodyText"/>
      </w:pPr>
      <w:r>
        <w:t xml:space="preserve">Los indicadores principales se calculan de la siguiente manera.</w:t>
      </w:r>
    </w:p>
    <w:p>
      <w:pPr>
        <w:pStyle w:val="BodyText"/>
      </w:pPr>
      <w:r>
        <w:rPr>
          <w:bCs/>
          <w:b/>
        </w:rPr>
        <w:t xml:space="preserve">Índice de desperdicio del material</w:t>
      </w:r>
      <w:r>
        <w:rPr>
          <w:bCs/>
          <w:b/>
        </w:rPr>
        <w:t xml:space="preserve"> </w:t>
      </w:r>
      <m:oMath>
        <m:r>
          <m:t>i</m:t>
        </m:r>
      </m:oMath>
      <w:r>
        <w:rPr>
          <w:bCs/>
          <w:b/>
        </w:rPr>
        <w:t xml:space="preserve">:</w:t>
      </w:r>
    </w:p>
    <w:tbl>
      <w:tblPr>
        <w:tblW w:w="9360" w:type="dxa"/>
        <w:tblLayout w:type="fixed"/>
        <w:tblCellMar>
          <w:left w:w="0" w:type="dxa"/>
          <w:right w:w="0" w:type="dxa"/>
        </w:tblCellMar>
        <w:tblLook w:val="0000" w:firstRow="0" w:lastRow="0" w:firstColumn="0" w:lastColumn="0" w:noHBand="1" w:noVBand="1"/>
        <w:tblCaption w:val="Ecuación"/>
      </w:tblPr>
      <w:tblGrid>
        <w:gridCol w:w="1134"/>
        <w:gridCol w:w="7092"/>
        <w:gridCol w:w="1134"/>
      </w:tblGrid>
      <w:tr>
        <w:trPr>
          <w:cantSplit/>
        </w:trPr>
        <w:tc>
          <w:tcPr>
            <w:tcW w:w="1134" w:type="dxa"/>
            <w:vAlign w:val="center"/>
          </w:tcPr>
          <w:p>
            <w:pPr>
              <w:pStyle w:val="EcuacionAPA"/>
            </w:pPr>
          </w:p>
        </w:tc>
        <w:tc>
          <w:tcPr>
            <w:tcW w:w="7092" w:type="dxa"/>
            <w:vAlign w:val="center"/>
          </w:tcPr>
          <w:p>
            <w:pPr>
              <w:pStyle w:val="EcuacionAPA"/>
            </w:pPr>
            <m:oMathPara>
              <m:oMathParaPr>
                <m:jc m:val="center"/>
              </m:oMathParaPr>
              <m:oMath>
                <m:r>
                  <m:t>I</m:t>
                </m:r>
                <m:r>
                  <m:t>D</m:t>
                </m:r>
                <m:sSub>
                  <m:e>
                    <m:r>
                      <m:t>M</m:t>
                    </m:r>
                  </m:e>
                  <m:sub>
                    <m:r>
                      <m:t>i</m:t>
                    </m:r>
                  </m:sub>
                </m:sSub>
                <m:r>
                  <m:rPr>
                    <m:sty m:val="p"/>
                  </m:rPr>
                  <m:t>=</m:t>
                </m:r>
                <m:f>
                  <m:fPr>
                    <m:type m:val="bar"/>
                  </m:fPr>
                  <m:num>
                    <m:sSub>
                      <m:e>
                        <m:r>
                          <m:t>Q</m:t>
                        </m:r>
                      </m:e>
                      <m:sub>
                        <m:r>
                          <m:rPr>
                            <m:nor/>
                            <m:sty m:val="p"/>
                          </m:rPr>
                          <m:t>real</m:t>
                        </m:r>
                        <m:r>
                          <m:rPr>
                            <m:sty m:val="p"/>
                          </m:rPr>
                          <m:t>,</m:t>
                        </m:r>
                        <m:r>
                          <m:t>i</m:t>
                        </m:r>
                      </m:sub>
                    </m:sSub>
                    <m:r>
                      <m:rPr>
                        <m:sty m:val="p"/>
                      </m:rPr>
                      <m:t>−</m:t>
                    </m:r>
                    <m:sSub>
                      <m:e>
                        <m:r>
                          <m:t>Q</m:t>
                        </m:r>
                      </m:e>
                      <m:sub>
                        <m:r>
                          <m:rPr>
                            <m:nor/>
                            <m:sty m:val="p"/>
                          </m:rPr>
                          <m:t>teórica</m:t>
                        </m:r>
                        <m:r>
                          <m:rPr>
                            <m:sty m:val="p"/>
                          </m:rPr>
                          <m:t>,</m:t>
                        </m:r>
                        <m:r>
                          <m:t>i</m:t>
                        </m:r>
                      </m:sub>
                    </m:sSub>
                  </m:num>
                  <m:den>
                    <m:sSub>
                      <m:e>
                        <m:r>
                          <m:t>Q</m:t>
                        </m:r>
                      </m:e>
                      <m:sub>
                        <m:r>
                          <m:rPr>
                            <m:nor/>
                            <m:sty m:val="p"/>
                          </m:rPr>
                          <m:t>teórica</m:t>
                        </m:r>
                        <m:r>
                          <m:rPr>
                            <m:sty m:val="p"/>
                          </m:rPr>
                          <m:t>,</m:t>
                        </m:r>
                        <m:r>
                          <m:t>i</m:t>
                        </m:r>
                      </m:sub>
                    </m:sSub>
                  </m:den>
                </m:f>
                <m:r>
                  <m:rPr>
                    <m:sty m:val="p"/>
                  </m:rPr>
                  <m:t>×</m:t>
                </m:r>
                <m:r>
                  <m:t>100</m:t>
                </m:r>
              </m:oMath>
            </m:oMathPara>
          </w:p>
        </w:tc>
        <w:tc>
          <w:tcPr>
            <w:tcW w:w="1134" w:type="dxa"/>
            <w:vAlign w:val="center"/>
          </w:tcPr>
          <w:p>
            <w:pPr>
              <w:pStyle w:val="EcuacionAPA"/>
              <w:jc w:val="right"/>
            </w:pPr>
            <w:r>
              <w:t>(8)</w:t>
            </w:r>
          </w:p>
        </w:tc>
      </w:tr>
    </w:tbl>
    <w:p>
      <w:pPr>
        <w:pStyle w:val="FirstParagraph"/>
        <w:ind w:firstLine="0"/>
      </w:pPr>
      <w:r>
        <w:t xml:space="preserve"/>
      </w:r>
      <w:r>
        <w:t xml:space="preserve"/>
      </w:r>
      <w:r>
        <w:t xml:space="preserve">donde</w:t>
      </w:r>
      <w:r>
        <w:t xml:space="preserve"> </w:t>
      </w:r>
      <m:oMath>
        <m:sSub>
          <m:e>
            <m:r>
              <m:t>Q</m:t>
            </m:r>
          </m:e>
          <m:sub>
            <m:r>
              <m:rPr>
                <m:nor/>
                <m:sty m:val="p"/>
              </m:rPr>
              <m:t>real</m:t>
            </m:r>
            <m:r>
              <m:rPr>
                <m:sty m:val="p"/>
              </m:rPr>
              <m:t>,</m:t>
            </m:r>
            <m:r>
              <m:t>i</m:t>
            </m:r>
          </m:sub>
        </m:sSub>
      </m:oMath>
      <w:r>
        <w:t xml:space="preserve"> </w:t>
      </w:r>
      <w:r>
        <w:t xml:space="preserve">es la cantidad consumida (entregada menos sobrante recuperable) y</w:t>
      </w:r>
      <w:r>
        <w:t xml:space="preserve"> </w:t>
      </w:r>
      <m:oMath>
        <m:sSub>
          <m:e>
            <m:r>
              <m:t>Q</m:t>
            </m:r>
          </m:e>
          <m:sub>
            <m:r>
              <m:rPr>
                <m:nor/>
                <m:sty m:val="p"/>
              </m:rPr>
              <m:t>teórica</m:t>
            </m:r>
            <m:r>
              <m:rPr>
                <m:sty m:val="p"/>
              </m:rPr>
              <m:t>,</m:t>
            </m:r>
            <m:r>
              <m:t>i</m:t>
            </m:r>
          </m:sub>
        </m:sSub>
      </m:oMath>
      <w:r>
        <w:t xml:space="preserve"> </w:t>
      </w:r>
      <w:r>
        <w:t xml:space="preserve">es la cantidad según planos y cómputos. En el modelo,</w:t>
      </w:r>
      <w:r>
        <w:t xml:space="preserve"> </w:t>
      </w:r>
      <m:oMath>
        <m:r>
          <m:t>I</m:t>
        </m:r>
        <m:r>
          <m:t>D</m:t>
        </m:r>
        <m:sSub>
          <m:e>
            <m:r>
              <m:t>M</m:t>
            </m:r>
          </m:e>
          <m:sub>
            <m:r>
              <m:t>i</m:t>
            </m:r>
            <m:r>
              <m:rPr>
                <m:sty m:val="p"/>
              </m:rPr>
              <m:t>,</m:t>
            </m:r>
            <m:r>
              <m:t>s</m:t>
            </m:r>
          </m:sub>
        </m:sSub>
      </m:oMath>
      <w:r>
        <w:t xml:space="preserve"> </w:t>
      </w:r>
      <w:r>
        <w:t xml:space="preserve">es este mismo índice en el escenario</w:t>
      </w:r>
      <w:r>
        <w:t xml:space="preserve"> </w:t>
      </w:r>
      <m:oMath>
        <m:r>
          <m:t>s</m:t>
        </m:r>
      </m:oMath>
      <w:r>
        <w:t xml:space="preserve"> </w:t>
      </w:r>
      <w:r>
        <w:t xml:space="preserve">(sin o con SGC), expresado como fracción. Como el hormigón solo puede medirse por vaciado, para ese material la unidad del indicador es el vaciado y su desperdicio se asigna a los paños en proporción a su volumen teórico.</w:t>
      </w:r>
    </w:p>
    <w:p>
      <w:pPr>
        <w:pStyle w:val="BodyText"/>
      </w:pPr>
      <w:r>
        <w:rPr>
          <w:bCs/>
          <w:b/>
        </w:rPr>
        <w:t xml:space="preserve">Costo unitario a precios constantes del contrato:</w:t>
      </w:r>
    </w:p>
    <w:tbl>
      <w:tblPr>
        <w:tblW w:w="9360" w:type="dxa"/>
        <w:tblLayout w:type="fixed"/>
        <w:tblCellMar>
          <w:left w:w="0" w:type="dxa"/>
          <w:right w:w="0" w:type="dxa"/>
        </w:tblCellMar>
        <w:tblLook w:val="0000" w:firstRow="0" w:lastRow="0" w:firstColumn="0" w:lastColumn="0" w:noHBand="1" w:noVBand="1"/>
        <w:tblCaption w:val="Ecuación"/>
      </w:tblPr>
      <w:tblGrid>
        <w:gridCol w:w="1134"/>
        <w:gridCol w:w="7092"/>
        <w:gridCol w:w="1134"/>
      </w:tblGrid>
      <w:tr>
        <w:trPr>
          <w:cantSplit/>
        </w:trPr>
        <w:tc>
          <w:tcPr>
            <w:tcW w:w="1134" w:type="dxa"/>
            <w:vAlign w:val="center"/>
          </w:tcPr>
          <w:p>
            <w:pPr>
              <w:pStyle w:val="EcuacionAPA"/>
            </w:pPr>
          </w:p>
        </w:tc>
        <w:tc>
          <w:tcPr>
            <w:tcW w:w="7092" w:type="dxa"/>
            <w:vAlign w:val="center"/>
          </w:tcPr>
          <w:p>
            <w:pPr>
              <w:pStyle w:val="EcuacionAPA"/>
            </w:pPr>
            <m:oMathPara>
              <m:oMathParaPr>
                <m:jc m:val="center"/>
              </m:oMathParaPr>
              <m:oMath>
                <m:r>
                  <m:t>C</m:t>
                </m:r>
                <m:r>
                  <m:t>U</m:t>
                </m:r>
                <m:r>
                  <m:rPr>
                    <m:sty m:val="p"/>
                  </m:rPr>
                  <m:t>=</m:t>
                </m:r>
                <m:f>
                  <m:fPr>
                    <m:type m:val="bar"/>
                  </m:fPr>
                  <m:num>
                    <m:nary>
                      <m:naryPr>
                        <m:chr m:val="∑"/>
                        <m:limLoc m:val="undOvr"/>
                        <m:subHide m:val="off"/>
                        <m:supHide m:val="on"/>
                      </m:naryPr>
                      <m:sub>
                        <m:r>
                          <m:t>j</m:t>
                        </m:r>
                      </m:sub>
                      <m:sup>
                        <m:r>
                          <m:t>​</m:t>
                        </m:r>
                      </m:sup>
                      <m:e>
                        <m:sSub>
                          <m:e>
                            <m:r>
                              <m:t>Q</m:t>
                            </m:r>
                          </m:e>
                          <m:sub>
                            <m:r>
                              <m:t>j</m:t>
                            </m:r>
                          </m:sub>
                        </m:sSub>
                      </m:e>
                    </m:nary>
                    <m:r>
                      <m:t> </m:t>
                    </m:r>
                    <m:sSub>
                      <m:e>
                        <m:r>
                          <m:t>p</m:t>
                        </m:r>
                      </m:e>
                      <m:sub>
                        <m:r>
                          <m:t>j</m:t>
                        </m:r>
                      </m:sub>
                    </m:sSub>
                    <m:r>
                      <m:rPr>
                        <m:sty m:val="p"/>
                      </m:rPr>
                      <m:t>+</m:t>
                    </m:r>
                    <m:sSub>
                      <m:e>
                        <m:r>
                          <m:t>C</m:t>
                        </m:r>
                      </m:e>
                      <m:sub>
                        <m:r>
                          <m:t>M</m:t>
                        </m:r>
                        <m:r>
                          <m:t>O</m:t>
                        </m:r>
                      </m:sub>
                    </m:sSub>
                    <m:r>
                      <m:rPr>
                        <m:sty m:val="p"/>
                      </m:rPr>
                      <m:t>+</m:t>
                    </m:r>
                    <m:sSub>
                      <m:e>
                        <m:r>
                          <m:t>C</m:t>
                        </m:r>
                      </m:e>
                      <m:sub>
                        <m:r>
                          <m:t>E</m:t>
                        </m:r>
                        <m:r>
                          <m:t>Q</m:t>
                        </m:r>
                      </m:sub>
                    </m:sSub>
                  </m:num>
                  <m:den>
                    <m:r>
                      <m:t>A</m:t>
                    </m:r>
                  </m:den>
                </m:f>
              </m:oMath>
            </m:oMathPara>
          </w:p>
        </w:tc>
        <w:tc>
          <w:tcPr>
            <w:tcW w:w="1134" w:type="dxa"/>
            <w:vAlign w:val="center"/>
          </w:tcPr>
          <w:p>
            <w:pPr>
              <w:pStyle w:val="EcuacionAPA"/>
              <w:jc w:val="right"/>
            </w:pPr>
            <w:r>
              <w:t>(9)</w:t>
            </w:r>
          </w:p>
        </w:tc>
      </w:tr>
    </w:tbl>
    <w:p>
      <w:pPr>
        <w:pStyle w:val="FirstParagraph"/>
        <w:ind w:firstLine="0"/>
      </w:pPr>
      <w:r>
        <w:t xml:space="preserve"/>
      </w:r>
      <w:r>
        <w:t xml:space="preserve"/>
      </w:r>
      <w:r>
        <w:t xml:space="preserve">donde</w:t>
      </w:r>
      <w:r>
        <w:t xml:space="preserve"> </w:t>
      </w:r>
      <m:oMath>
        <m:sSub>
          <m:e>
            <m:r>
              <m:t>Q</m:t>
            </m:r>
          </m:e>
          <m:sub>
            <m:r>
              <m:t>j</m:t>
            </m:r>
          </m:sub>
        </m:sSub>
      </m:oMath>
      <w:r>
        <w:t xml:space="preserve"> </w:t>
      </w:r>
      <w:r>
        <w:t xml:space="preserve">es la cantidad real del insumo</w:t>
      </w:r>
      <w:r>
        <w:t xml:space="preserve"> </w:t>
      </w:r>
      <m:oMath>
        <m:r>
          <m:t>j</m:t>
        </m:r>
      </m:oMath>
      <w:r>
        <w:t xml:space="preserve">,</w:t>
      </w:r>
      <w:r>
        <w:t xml:space="preserve"> </w:t>
      </w:r>
      <m:oMath>
        <m:sSub>
          <m:e>
            <m:r>
              <m:t>p</m:t>
            </m:r>
          </m:e>
          <m:sub>
            <m:r>
              <m:t>j</m:t>
            </m:r>
          </m:sub>
        </m:sSub>
      </m:oMath>
      <w:r>
        <w:t xml:space="preserve"> </w:t>
      </w:r>
      <w:r>
        <w:t xml:space="preserve">su precio en el análisis de precios unitarios,</w:t>
      </w:r>
      <w:r>
        <w:t xml:space="preserve"> </w:t>
      </w:r>
      <m:oMath>
        <m:sSub>
          <m:e>
            <m:r>
              <m:t>C</m:t>
            </m:r>
          </m:e>
          <m:sub>
            <m:r>
              <m:t>M</m:t>
            </m:r>
            <m:r>
              <m:t>O</m:t>
            </m:r>
          </m:sub>
        </m:sSub>
      </m:oMath>
      <w:r>
        <w:t xml:space="preserve"> </w:t>
      </w:r>
      <w:r>
        <w:t xml:space="preserve">y</w:t>
      </w:r>
      <w:r>
        <w:t xml:space="preserve"> </w:t>
      </w:r>
      <m:oMath>
        <m:sSub>
          <m:e>
            <m:r>
              <m:t>C</m:t>
            </m:r>
          </m:e>
          <m:sub>
            <m:r>
              <m:t>E</m:t>
            </m:r>
            <m:r>
              <m:t>Q</m:t>
            </m:r>
          </m:sub>
        </m:sSub>
      </m:oMath>
      <w:r>
        <w:t xml:space="preserve"> </w:t>
      </w:r>
      <w:r>
        <w:t xml:space="preserve">los costos de mano de obra y equipo, y</w:t>
      </w:r>
      <w:r>
        <w:t xml:space="preserve"> </w:t>
      </w:r>
      <m:oMath>
        <m:r>
          <m:t>A</m:t>
        </m:r>
      </m:oMath>
      <w:r>
        <w:t xml:space="preserve"> </w:t>
      </w:r>
      <w:r>
        <w:t xml:space="preserve">la superficie ejecutada (m</w:t>
      </w:r>
      <w:r>
        <w:rPr>
          <w:vertAlign w:val="superscript"/>
        </w:rPr>
        <w:t xml:space="preserve">2</w:t>
      </w:r>
      <w:r>
        <w:t xml:space="preserve">). Si en la ecuación (9) se reemplaza la cantidad real por la teórica más el desperdicio,</w:t>
      </w:r>
      <w:r>
        <w:t xml:space="preserve"> </w:t>
      </w:r>
      <m:oMath>
        <m:sSub>
          <m:e>
            <m:r>
              <m:t>Q</m:t>
            </m:r>
          </m:e>
          <m:sub>
            <m:r>
              <m:t>j</m:t>
            </m:r>
          </m:sub>
        </m:sSub>
        <m:r>
          <m:rPr>
            <m:sty m:val="p"/>
          </m:rPr>
          <m:t>=</m:t>
        </m:r>
        <m:sSub>
          <m:e>
            <m:r>
              <m:t>q</m:t>
            </m:r>
          </m:e>
          <m:sub>
            <m:r>
              <m:t>t</m:t>
            </m:r>
            <m:r>
              <m:t>e</m:t>
            </m:r>
            <m:r>
              <m:t>o</m:t>
            </m:r>
            <m:r>
              <m:rPr>
                <m:sty m:val="p"/>
              </m:rPr>
              <m:t>,</m:t>
            </m:r>
            <m:r>
              <m:t>j</m:t>
            </m:r>
          </m:sub>
        </m:sSub>
        <m:r>
          <m:t> </m:t>
        </m:r>
        <m:r>
          <m:t>A</m:t>
        </m:r>
        <m:r>
          <m:t> </m:t>
        </m:r>
        <m:d>
          <m:dPr>
            <m:begChr m:val="("/>
            <m:endChr m:val=")"/>
            <m:sepChr m:val=""/>
            <m:grow/>
          </m:dPr>
          <m:e>
            <m:r>
              <m:t>1</m:t>
            </m:r>
            <m:r>
              <m:rPr>
                <m:sty m:val="p"/>
              </m:rPr>
              <m:t>+</m:t>
            </m:r>
            <m:r>
              <m:t>I</m:t>
            </m:r>
            <m:r>
              <m:t>D</m:t>
            </m:r>
            <m:sSub>
              <m:e>
                <m:r>
                  <m:t>M</m:t>
                </m:r>
              </m:e>
              <m:sub>
                <m:r>
                  <m:t>j</m:t>
                </m:r>
              </m:sub>
            </m:sSub>
          </m:e>
        </m:d>
      </m:oMath>
      <w:r>
        <w:t xml:space="preserve">, el costo unitario se separa en el costo directo teórico (</w:t>
      </w:r>
      <m:oMath>
        <m:r>
          <m:t>C</m:t>
        </m:r>
        <m:sSub>
          <m:e>
            <m:r>
              <m:t>D</m:t>
            </m:r>
          </m:e>
          <m:sub>
            <m:r>
              <m:t>t</m:t>
            </m:r>
            <m:r>
              <m:t>e</m:t>
            </m:r>
            <m:r>
              <m:t>o</m:t>
            </m:r>
          </m:sub>
        </m:sSub>
      </m:oMath>
      <w:r>
        <w:t xml:space="preserve">), que no depende del SGC, y el costo del desperdicio, que sí depende de él. Esa separación es la base de la ecuación (17), que añade el retrabajo y el costo de la calidad.</w:t>
      </w:r>
    </w:p>
    <w:p>
      <w:pPr>
        <w:pStyle w:val="BodyText"/>
      </w:pPr>
      <w:r>
        <w:rPr>
          <w:bCs/>
          <w:b/>
        </w:rPr>
        <w:t xml:space="preserve">Costo de la calidad y costo de no calidad (modelo PAF):</w:t>
      </w:r>
    </w:p>
    <w:tbl>
      <w:tblPr>
        <w:tblW w:w="9360" w:type="dxa"/>
        <w:tblLayout w:type="fixed"/>
        <w:tblCellMar>
          <w:left w:w="0" w:type="dxa"/>
          <w:right w:w="0" w:type="dxa"/>
        </w:tblCellMar>
        <w:tblLook w:val="0000" w:firstRow="0" w:lastRow="0" w:firstColumn="0" w:lastColumn="0" w:noHBand="1" w:noVBand="1"/>
        <w:tblCaption w:val="Ecuación"/>
      </w:tblPr>
      <w:tblGrid>
        <w:gridCol w:w="1134"/>
        <w:gridCol w:w="7092"/>
        <w:gridCol w:w="1134"/>
      </w:tblGrid>
      <w:tr>
        <w:trPr>
          <w:cantSplit/>
        </w:trPr>
        <w:tc>
          <w:tcPr>
            <w:tcW w:w="1134" w:type="dxa"/>
            <w:vAlign w:val="center"/>
          </w:tcPr>
          <w:p>
            <w:pPr>
              <w:pStyle w:val="EcuacionAPA"/>
            </w:pPr>
          </w:p>
        </w:tc>
        <w:tc>
          <w:tcPr>
            <w:tcW w:w="7092" w:type="dxa"/>
            <w:vAlign w:val="center"/>
          </w:tcPr>
          <w:p>
            <w:pPr>
              <w:pStyle w:val="EcuacionAPA"/>
            </w:pPr>
            <m:oMathPara>
              <m:oMathParaPr>
                <m:jc m:val="center"/>
              </m:oMathParaPr>
              <m:oMath>
                <m:r>
                  <m:t>C</m:t>
                </m:r>
                <m:r>
                  <m:t>C</m:t>
                </m:r>
                <m:r>
                  <m:rPr>
                    <m:sty m:val="p"/>
                  </m:rPr>
                  <m:t>=</m:t>
                </m:r>
                <m:sSub>
                  <m:e>
                    <m:r>
                      <m:t>C</m:t>
                    </m:r>
                  </m:e>
                  <m:sub>
                    <m:r>
                      <m:t>P</m:t>
                    </m:r>
                  </m:sub>
                </m:sSub>
                <m:r>
                  <m:rPr>
                    <m:sty m:val="p"/>
                  </m:rPr>
                  <m:t>+</m:t>
                </m:r>
                <m:sSub>
                  <m:e>
                    <m:r>
                      <m:t>C</m:t>
                    </m:r>
                  </m:e>
                  <m:sub>
                    <m:r>
                      <m:t>E</m:t>
                    </m:r>
                  </m:sub>
                </m:sSub>
                <m:r>
                  <m:rPr>
                    <m:sty m:val="p"/>
                  </m:rPr>
                  <m:t>,</m:t>
                </m:r>
                <m:r>
                  <m:t>  </m:t>
                </m:r>
                <m:r>
                  <m:t>C</m:t>
                </m:r>
                <m:r>
                  <m:t>N</m:t>
                </m:r>
                <m:r>
                  <m:t>C</m:t>
                </m:r>
                <m:r>
                  <m:rPr>
                    <m:sty m:val="p"/>
                  </m:rPr>
                  <m:t>=</m:t>
                </m:r>
                <m:sSub>
                  <m:e>
                    <m:r>
                      <m:t>C</m:t>
                    </m:r>
                  </m:e>
                  <m:sub>
                    <m:r>
                      <m:t>F</m:t>
                    </m:r>
                    <m:r>
                      <m:t>I</m:t>
                    </m:r>
                  </m:sub>
                </m:sSub>
                <m:r>
                  <m:rPr>
                    <m:sty m:val="p"/>
                  </m:rPr>
                  <m:t>+</m:t>
                </m:r>
                <m:sSub>
                  <m:e>
                    <m:r>
                      <m:t>C</m:t>
                    </m:r>
                  </m:e>
                  <m:sub>
                    <m:r>
                      <m:t>F</m:t>
                    </m:r>
                    <m:r>
                      <m:t>E</m:t>
                    </m:r>
                  </m:sub>
                </m:sSub>
                <m:r>
                  <m:rPr>
                    <m:sty m:val="p"/>
                  </m:rPr>
                  <m:t>,</m:t>
                </m:r>
                <m:r>
                  <m:t>  </m:t>
                </m:r>
                <m:r>
                  <m:rPr>
                    <m:sty m:val="p"/>
                  </m:rPr>
                  <m:t>%</m:t>
                </m:r>
                <m:r>
                  <m:t>C</m:t>
                </m:r>
                <m:r>
                  <m:t>N</m:t>
                </m:r>
                <m:r>
                  <m:t>C</m:t>
                </m:r>
                <m:r>
                  <m:rPr>
                    <m:sty m:val="p"/>
                  </m:rPr>
                  <m:t>=</m:t>
                </m:r>
                <m:f>
                  <m:fPr>
                    <m:type m:val="bar"/>
                  </m:fPr>
                  <m:num>
                    <m:r>
                      <m:t>C</m:t>
                    </m:r>
                    <m:r>
                      <m:t>N</m:t>
                    </m:r>
                    <m:r>
                      <m:t>C</m:t>
                    </m:r>
                  </m:num>
                  <m:den>
                    <m:sSub>
                      <m:e>
                        <m:r>
                          <m:t>C</m:t>
                        </m:r>
                      </m:e>
                      <m:sub>
                        <m:r>
                          <m:rPr>
                            <m:nor/>
                            <m:sty m:val="p"/>
                          </m:rPr>
                          <m:t>ítem</m:t>
                        </m:r>
                      </m:sub>
                    </m:sSub>
                  </m:den>
                </m:f>
                <m:r>
                  <m:rPr>
                    <m:sty m:val="p"/>
                  </m:rPr>
                  <m:t>×</m:t>
                </m:r>
                <m:r>
                  <m:t>100</m:t>
                </m:r>
              </m:oMath>
            </m:oMathPara>
          </w:p>
        </w:tc>
        <w:tc>
          <w:tcPr>
            <w:tcW w:w="1134" w:type="dxa"/>
            <w:vAlign w:val="center"/>
          </w:tcPr>
          <w:p>
            <w:pPr>
              <w:pStyle w:val="EcuacionAPA"/>
              <w:jc w:val="right"/>
            </w:pPr>
            <w:r>
              <w:t>(10)</w:t>
            </w:r>
          </w:p>
        </w:tc>
      </w:tr>
    </w:tbl>
    <w:p>
      <w:pPr>
        <w:pStyle w:val="FirstParagraph"/>
        <w:ind w:firstLine="0"/>
      </w:pPr>
      <w:r>
        <w:t xml:space="preserve"/>
      </w:r>
      <w:r>
        <w:t xml:space="preserve"/>
      </w:r>
      <w:r>
        <w:t xml:space="preserve">donde</w:t>
      </w:r>
      <w:r>
        <w:t xml:space="preserve"> </w:t>
      </w:r>
      <m:oMath>
        <m:sSub>
          <m:e>
            <m:r>
              <m:t>C</m:t>
            </m:r>
          </m:e>
          <m:sub>
            <m:r>
              <m:t>P</m:t>
            </m:r>
          </m:sub>
        </m:sSub>
      </m:oMath>
      <w:r>
        <w:t xml:space="preserve"> </w:t>
      </w:r>
      <w:r>
        <w:t xml:space="preserve">son los costos de prevención,</w:t>
      </w:r>
      <w:r>
        <w:t xml:space="preserve"> </w:t>
      </w:r>
      <m:oMath>
        <m:sSub>
          <m:e>
            <m:r>
              <m:t>C</m:t>
            </m:r>
          </m:e>
          <m:sub>
            <m:r>
              <m:t>E</m:t>
            </m:r>
          </m:sub>
        </m:sSub>
      </m:oMath>
      <w:r>
        <w:t xml:space="preserve"> </w:t>
      </w:r>
      <w:r>
        <w:t xml:space="preserve">los de evaluación,</w:t>
      </w:r>
      <w:r>
        <w:t xml:space="preserve"> </w:t>
      </w:r>
      <m:oMath>
        <m:sSub>
          <m:e>
            <m:r>
              <m:t>C</m:t>
            </m:r>
          </m:e>
          <m:sub>
            <m:r>
              <m:t>F</m:t>
            </m:r>
            <m:r>
              <m:t>I</m:t>
            </m:r>
          </m:sub>
        </m:sSub>
      </m:oMath>
      <w:r>
        <w:t xml:space="preserve"> </w:t>
      </w:r>
      <w:r>
        <w:t xml:space="preserve">los de fallas internas (desperdicio, retrabajo y reparaciones) y</w:t>
      </w:r>
      <w:r>
        <w:t xml:space="preserve"> </w:t>
      </w:r>
      <m:oMath>
        <m:sSub>
          <m:e>
            <m:r>
              <m:t>C</m:t>
            </m:r>
          </m:e>
          <m:sub>
            <m:r>
              <m:t>F</m:t>
            </m:r>
            <m:r>
              <m:t>E</m:t>
            </m:r>
          </m:sub>
        </m:sSub>
      </m:oMath>
      <w:r>
        <w:t xml:space="preserve"> </w:t>
      </w:r>
      <w:r>
        <w:t xml:space="preserve">los de fallas externas (sobremediciones corregidas, ampliaciones y multas). El modelo de la Sección 2.7.2 cuantifica las fallas internas, que consumen recursos de la losa; las fallas externas de la línea base se documentan en el diagnóstico (Sección 2.5.2), pero no se simulan, porque son correcciones de pago o sanciones y no consumo de materiales.</w:t>
      </w:r>
    </w:p>
    <w:p>
      <w:pPr>
        <w:pStyle w:val="BodyText"/>
      </w:pPr>
      <w:r>
        <w:rPr>
          <w:bCs/>
          <w:b/>
        </w:rPr>
        <w:t xml:space="preserve">Reducción relativa del costo en el paño homólogo</w:t>
      </w:r>
      <w:r>
        <w:rPr>
          <w:bCs/>
          <w:b/>
        </w:rPr>
        <w:t xml:space="preserve"> </w:t>
      </w:r>
      <m:oMath>
        <m:r>
          <m:t>k</m:t>
        </m:r>
      </m:oMath>
      <w:r>
        <w:rPr>
          <w:bCs/>
          <w:b/>
        </w:rPr>
        <w:t xml:space="preserve">:</w:t>
      </w:r>
    </w:p>
    <w:tbl>
      <w:tblPr>
        <w:tblW w:w="9360" w:type="dxa"/>
        <w:tblLayout w:type="fixed"/>
        <w:tblCellMar>
          <w:left w:w="0" w:type="dxa"/>
          <w:right w:w="0" w:type="dxa"/>
        </w:tblCellMar>
        <w:tblLook w:val="0000" w:firstRow="0" w:lastRow="0" w:firstColumn="0" w:lastColumn="0" w:noHBand="1" w:noVBand="1"/>
        <w:tblCaption w:val="Ecuación"/>
      </w:tblPr>
      <w:tblGrid>
        <w:gridCol w:w="1134"/>
        <w:gridCol w:w="7092"/>
        <w:gridCol w:w="1134"/>
      </w:tblGrid>
      <w:tr>
        <w:trPr>
          <w:cantSplit/>
        </w:trPr>
        <w:tc>
          <w:tcPr>
            <w:tcW w:w="1134" w:type="dxa"/>
            <w:vAlign w:val="center"/>
          </w:tcPr>
          <w:p>
            <w:pPr>
              <w:pStyle w:val="EcuacionAPA"/>
            </w:pPr>
          </w:p>
        </w:tc>
        <w:tc>
          <w:tcPr>
            <w:tcW w:w="7092" w:type="dxa"/>
            <w:vAlign w:val="center"/>
          </w:tcPr>
          <w:p>
            <w:pPr>
              <w:pStyle w:val="EcuacionAPA"/>
            </w:pPr>
            <m:oMathPara>
              <m:oMathParaPr>
                <m:jc m:val="center"/>
              </m:oMathParaPr>
              <m:oMath>
                <m:sSub>
                  <m:e>
                    <m:r>
                      <m:t>r</m:t>
                    </m:r>
                  </m:e>
                  <m:sub>
                    <m:r>
                      <m:t>k</m:t>
                    </m:r>
                  </m:sub>
                </m:sSub>
                <m:r>
                  <m:rPr>
                    <m:sty m:val="p"/>
                  </m:rPr>
                  <m:t>=</m:t>
                </m:r>
                <m:f>
                  <m:fPr>
                    <m:type m:val="bar"/>
                  </m:fPr>
                  <m:num>
                    <m:r>
                      <m:t>C</m:t>
                    </m:r>
                    <m:sSub>
                      <m:e>
                        <m:r>
                          <m:t>U</m:t>
                        </m:r>
                      </m:e>
                      <m:sub>
                        <m:r>
                          <m:rPr>
                            <m:nor/>
                            <m:sty m:val="p"/>
                          </m:rPr>
                          <m:t>sin</m:t>
                        </m:r>
                        <m:r>
                          <m:rPr>
                            <m:sty m:val="p"/>
                          </m:rPr>
                          <m:t>,</m:t>
                        </m:r>
                        <m:r>
                          <m:t>k</m:t>
                        </m:r>
                      </m:sub>
                    </m:sSub>
                    <m:r>
                      <m:rPr>
                        <m:sty m:val="p"/>
                      </m:rPr>
                      <m:t>−</m:t>
                    </m:r>
                    <m:r>
                      <m:t>C</m:t>
                    </m:r>
                    <m:sSub>
                      <m:e>
                        <m:r>
                          <m:t>U</m:t>
                        </m:r>
                      </m:e>
                      <m:sub>
                        <m:r>
                          <m:rPr>
                            <m:nor/>
                            <m:sty m:val="p"/>
                          </m:rPr>
                          <m:t>con</m:t>
                        </m:r>
                        <m:r>
                          <m:rPr>
                            <m:sty m:val="p"/>
                          </m:rPr>
                          <m:t>,</m:t>
                        </m:r>
                        <m:r>
                          <m:t>k</m:t>
                        </m:r>
                      </m:sub>
                    </m:sSub>
                  </m:num>
                  <m:den>
                    <m:r>
                      <m:t>C</m:t>
                    </m:r>
                    <m:sSub>
                      <m:e>
                        <m:r>
                          <m:t>U</m:t>
                        </m:r>
                      </m:e>
                      <m:sub>
                        <m:r>
                          <m:rPr>
                            <m:nor/>
                            <m:sty m:val="p"/>
                          </m:rPr>
                          <m:t>sin</m:t>
                        </m:r>
                        <m:r>
                          <m:rPr>
                            <m:sty m:val="p"/>
                          </m:rPr>
                          <m:t>,</m:t>
                        </m:r>
                        <m:r>
                          <m:t>k</m:t>
                        </m:r>
                      </m:sub>
                    </m:sSub>
                  </m:den>
                </m:f>
              </m:oMath>
            </m:oMathPara>
          </w:p>
        </w:tc>
        <w:tc>
          <w:tcPr>
            <w:tcW w:w="1134" w:type="dxa"/>
            <w:vAlign w:val="center"/>
          </w:tcPr>
          <w:p>
            <w:pPr>
              <w:pStyle w:val="EcuacionAPA"/>
              <w:jc w:val="right"/>
            </w:pPr>
            <w:r>
              <w:t>(11)</w:t>
            </w:r>
          </w:p>
        </w:tc>
      </w:tr>
    </w:tbl>
    <w:p>
      <w:pPr>
        <w:pStyle w:val="FirstParagraph"/>
        <w:ind w:firstLine="0"/>
      </w:pPr>
      <w:r>
        <w:t xml:space="preserve"/>
      </w:r>
      <w:r>
        <w:t xml:space="preserve"/>
      </w:r>
      <w:r>
        <w:t xml:space="preserve">La ecuación (11) es el indicador de la verificación futura con datos de obra, paño por paño (Sección 2.9.1); en la evaluación</w:t>
      </w:r>
      <w:r>
        <w:t xml:space="preserve"> </w:t>
      </w:r>
      <w:r>
        <w:rPr>
          <w:iCs/>
          <w:i/>
        </w:rPr>
        <w:t xml:space="preserve">ex ante</w:t>
      </w:r>
      <w:r>
        <w:t xml:space="preserve"> </w:t>
      </w:r>
      <w:r>
        <w:t xml:space="preserve">se aplica al costo unitario del saldo completo (ecuación 20).</w:t>
      </w:r>
    </w:p>
    <w:p>
      <w:pPr>
        <w:pStyle w:val="Heading2"/>
      </w:pPr>
      <w:bookmarkStart w:id="129" w:name="tit93"/>
      <w:r>
        <w:t xml:space="preserve">2.4. Población y muestra</w:t>
      </w:r>
      <w:bookmarkEnd w:id="129"/>
    </w:p>
    <w:p>
      <w:pPr>
        <w:pStyle w:val="FirstParagraph"/>
      </w:pPr>
      <w:r>
        <w:rPr>
          <w:bCs/>
          <w:b/>
        </w:rPr>
        <w:t xml:space="preserve">Población.</w:t>
      </w:r>
      <w:r>
        <w:t xml:space="preserve"> </w:t>
      </w:r>
      <w:r>
        <w:t xml:space="preserve">La población son las losas alivianadas con viguetas pretensadas de la fase contratada: tres losas con 3.344,44 m</w:t>
      </w:r>
      <w:r>
        <w:rPr>
          <w:vertAlign w:val="superscript"/>
        </w:rPr>
        <w:t xml:space="preserve">2</w:t>
      </w:r>
      <w:r>
        <w:t xml:space="preserve">, que es la cantidad del ítem 13 en el contrato modificado; la cantidad original era de 3.348,75 m</w:t>
      </w:r>
      <w:r>
        <w:rPr>
          <w:vertAlign w:val="superscript"/>
        </w:rPr>
        <w:t xml:space="preserve">2</w:t>
      </w:r>
      <w:r>
        <w:t xml:space="preserve"> </w:t>
      </w:r>
      <w:r>
        <w:t xml:space="preserve">(UATF, 2025, p. 16)</w:t>
      </w:r>
      <w:r>
        <w:t xml:space="preserve">.</w:t>
      </w:r>
    </w:p>
    <w:p>
      <w:pPr>
        <w:pStyle w:val="BodyText"/>
      </w:pPr>
      <w:r>
        <w:rPr>
          <w:bCs/>
          <w:b/>
        </w:rPr>
        <w:t xml:space="preserve">Unidad de análisis.</w:t>
      </w:r>
      <w:r>
        <w:t xml:space="preserve"> </w:t>
      </w:r>
      <w:r>
        <w:t xml:space="preserve">La unidad de análisis es el paño de losa, delimitado por vigas y caracterizado por su área, el número y la longitud de sus viguetas y el número de complementos. Para el hormigón, la unidad es el vaciado (Sección 2.3).</w:t>
      </w:r>
    </w:p>
    <w:p>
      <w:pPr>
        <w:pStyle w:val="BodyText"/>
      </w:pPr>
      <w:r>
        <w:rPr>
          <w:bCs/>
          <w:b/>
        </w:rPr>
        <w:t xml:space="preserve">Línea base censal.</w:t>
      </w:r>
      <w:r>
        <w:t xml:space="preserve"> </w:t>
      </w:r>
      <w:r>
        <w:t xml:space="preserve">La línea base estudia los 41 paños de la primera losa (1.109,84 m</w:t>
      </w:r>
      <w:r>
        <w:rPr>
          <w:vertAlign w:val="superscript"/>
        </w:rPr>
        <w:t xml:space="preserve">2</w:t>
      </w:r>
      <w:r>
        <w:t xml:space="preserve">), es decir, todos los paños ejecutados; por ello es un censo y no una muestra</w:t>
      </w:r>
      <w:r>
        <w:t xml:space="preserve"> </w:t>
      </w:r>
      <w:r>
        <w:t xml:space="preserve">(Hernández-Sampieri y Mendoza Torres, 2018, p. 196)</w:t>
      </w:r>
      <w:r>
        <w:t xml:space="preserve">. Su elección no fue probabilística: es la única losa que se ejecutó antes de la resolución del contrato</w:t>
      </w:r>
      <w:r>
        <w:t xml:space="preserve"> </w:t>
      </w:r>
      <w:r>
        <w:t xml:space="preserve">(Hernández-Sampieri y Mendoza Torres, 2018, p. 200)</w:t>
      </w:r>
      <w:r>
        <w:t xml:space="preserve">.</w:t>
      </w:r>
    </w:p>
    <w:p>
      <w:pPr>
        <w:pStyle w:val="BodyText"/>
      </w:pPr>
      <w:r>
        <w:rPr>
          <w:bCs/>
          <w:b/>
        </w:rPr>
        <w:t xml:space="preserve">Saldo y paños homólogos.</w:t>
      </w:r>
      <w:r>
        <w:t xml:space="preserve"> </w:t>
      </w:r>
      <w:r>
        <w:t xml:space="preserve">La evaluación</w:t>
      </w:r>
      <w:r>
        <w:t xml:space="preserve"> </w:t>
      </w:r>
      <w:r>
        <w:rPr>
          <w:iCs/>
          <w:i/>
        </w:rPr>
        <w:t xml:space="preserve">ex ante</w:t>
      </w:r>
      <w:r>
        <w:t xml:space="preserve"> </w:t>
      </w:r>
      <w:r>
        <w:t xml:space="preserve">se aplica al saldo no ejecutado del ítem: 2.234,60 m</w:t>
      </w:r>
      <w:r>
        <w:rPr>
          <w:vertAlign w:val="superscript"/>
        </w:rPr>
        <w:t xml:space="preserve">2</w:t>
      </w:r>
      <w:r>
        <w:t xml:space="preserve"> </w:t>
      </w:r>
      <w:r>
        <w:t xml:space="preserve">de la segunda y la tercera losa</w:t>
      </w:r>
      <w:r>
        <w:t xml:space="preserve"> </w:t>
      </w:r>
      <w:r>
        <w:t xml:space="preserve">(UATF, 2025, p. 16)</w:t>
      </w:r>
      <w:r>
        <w:t xml:space="preserve">. El cómputo del contrato modificado calcula la «segunda y tercera losa» con los mismos 41 paños de la primera, cada uno multiplicado por dos</w:t>
      </w:r>
      <w:r>
        <w:t xml:space="preserve"> </w:t>
      </w:r>
      <w:r>
        <w:t xml:space="preserve">(UATF, s. f.-b, pp. 18–19)</w:t>
      </w:r>
      <w:r>
        <w:t xml:space="preserve">. Solo cambian cinco áreas: A1 y A34 (38,11 m</w:t>
      </w:r>
      <w:r>
        <w:rPr>
          <w:vertAlign w:val="superscript"/>
        </w:rPr>
        <w:t xml:space="preserve">2</w:t>
      </w:r>
      <w:r>
        <w:t xml:space="preserve"> </w:t>
      </w:r>
      <w:r>
        <w:t xml:space="preserve">en lugar de 35,86), A2 y A35 (36,00 en lugar de 34,67) y A40 (28,76 en lugar de 28,46). Por ello cada losa superior mide 1.117,30 m</w:t>
      </w:r>
      <w:r>
        <w:rPr>
          <w:vertAlign w:val="superscript"/>
        </w:rPr>
        <w:t xml:space="preserve">2</w:t>
      </w:r>
      <w:r>
        <w:t xml:space="preserve">, 7,46 m</w:t>
      </w:r>
      <w:r>
        <w:rPr>
          <w:vertAlign w:val="superscript"/>
        </w:rPr>
        <w:t xml:space="preserve">2</w:t>
      </w:r>
      <w:r>
        <w:t xml:space="preserve"> </w:t>
      </w:r>
      <w:r>
        <w:t xml:space="preserve">(0,7 %) más que la primera, y las dos suman exactamente el saldo:</w:t>
      </w:r>
      <w:r>
        <w:t xml:space="preserve"> </w:t>
      </w:r>
      <m:oMath>
        <m:r>
          <m:t>2</m:t>
        </m:r>
        <m:r>
          <m:rPr>
            <m:sty m:val="p"/>
          </m:rPr>
          <m:t>×</m:t>
        </m:r>
        <m:r>
          <m:t>1.117</m:t>
        </m:r>
        <m:r>
          <m:rPr>
            <m:sty m:val="p"/>
          </m:rPr>
          <m:t>,</m:t>
        </m:r>
        <m:r>
          <m:t>30</m:t>
        </m:r>
        <m:r>
          <m:rPr>
            <m:sty m:val="p"/>
          </m:rPr>
          <m:t>=</m:t>
        </m:r>
        <m:r>
          <m:t>2.234</m:t>
        </m:r>
        <m:r>
          <m:rPr>
            <m:sty m:val="p"/>
          </m:rPr>
          <m:t>,</m:t>
        </m:r>
        <m:r>
          <m:t>60</m:t>
        </m:r>
      </m:oMath>
      <w:r>
        <w:t xml:space="preserve"> m</w:t>
      </w:r>
      <w:r>
        <w:rPr>
          <w:vertAlign w:val="superscript"/>
        </w:rPr>
        <w:t xml:space="preserve">2</w:t>
      </w:r>
      <w:r>
        <w:t xml:space="preserve"> </w:t>
      </w:r>
      <w:r>
        <w:t xml:space="preserve">(cálculo propio). Como la geometría, el número de paños y el sistema de viguetas se repiten, los paños de las losas superiores se consideran homólogos de los de la primera, y el modelo aplica al saldo las cantidades teóricas por m</w:t>
      </w:r>
      <w:r>
        <w:rPr>
          <w:vertAlign w:val="superscript"/>
        </w:rPr>
        <w:t xml:space="preserve">2</w:t>
      </w:r>
      <w:r>
        <w:t xml:space="preserve"> </w:t>
      </w:r>
      <w:r>
        <w:t xml:space="preserve">de la primera losa (Sección 2.5.4).</w:t>
      </w:r>
    </w:p>
    <w:p>
      <w:pPr>
        <w:pStyle w:val="BodyText"/>
      </w:pPr>
      <w:r>
        <w:t xml:space="preserve">El mismo cómputo explica una pequeña diferencia documental. Su total es de 3.344,74 m</w:t>
      </w:r>
      <w:r>
        <w:rPr>
          <w:vertAlign w:val="superscript"/>
        </w:rPr>
        <w:t xml:space="preserve">2</w:t>
      </w:r>
      <w:r>
        <w:t xml:space="preserve">, porque registra la primera losa con 1.110,14 m</w:t>
      </w:r>
      <w:r>
        <w:rPr>
          <w:vertAlign w:val="superscript"/>
        </w:rPr>
        <w:t xml:space="preserve">2</w:t>
      </w:r>
      <w:r>
        <w:t xml:space="preserve"> </w:t>
      </w:r>
      <w:r>
        <w:t xml:space="preserve">(A40 = 28,76 m</w:t>
      </w:r>
      <w:r>
        <w:rPr>
          <w:vertAlign w:val="superscript"/>
        </w:rPr>
        <w:t xml:space="preserve">2</w:t>
      </w:r>
      <w:r>
        <w:t xml:space="preserve">)</w:t>
      </w:r>
      <w:r>
        <w:t xml:space="preserve"> </w:t>
      </w:r>
      <w:r>
        <w:t xml:space="preserve">(UATF, s. f.-b, p. 18)</w:t>
      </w:r>
      <w:r>
        <w:t xml:space="preserve">; la tabla de tiempos de la contratista usa también 3.344,74 m</w:t>
      </w:r>
      <w:r>
        <w:rPr>
          <w:vertAlign w:val="superscript"/>
        </w:rPr>
        <w:t xml:space="preserve">2</w:t>
      </w:r>
      <w:r>
        <w:t xml:space="preserve"> </w:t>
      </w:r>
      <w:r>
        <w:t xml:space="preserve">(UATF, s. f.-b, p. 25)</w:t>
      </w:r>
      <w:r>
        <w:t xml:space="preserve">. El contrato modificado y las planillas, en cambio, consignan 3.344,44 m</w:t>
      </w:r>
      <w:r>
        <w:rPr>
          <w:vertAlign w:val="superscript"/>
        </w:rPr>
        <w:t xml:space="preserve">2</w:t>
      </w:r>
      <w:r>
        <w:t xml:space="preserve"> </w:t>
      </w:r>
      <w:r>
        <w:t xml:space="preserve">(UATF, 2025, p. 16)</w:t>
      </w:r>
      <w:r>
        <w:t xml:space="preserve">: la diferencia de 0,30 m</w:t>
      </w:r>
      <w:r>
        <w:rPr>
          <w:vertAlign w:val="superscript"/>
        </w:rPr>
        <w:t xml:space="preserve">2</w:t>
      </w:r>
      <w:r>
        <w:t xml:space="preserve"> </w:t>
      </w:r>
      <w:r>
        <w:t xml:space="preserve">corresponde al paño A40 de la primera losa, que se midió con 28,46 m</w:t>
      </w:r>
      <w:r>
        <w:rPr>
          <w:vertAlign w:val="superscript"/>
        </w:rPr>
        <w:t xml:space="preserve">2</w:t>
      </w:r>
      <w:r>
        <w:t xml:space="preserve"> </w:t>
      </w:r>
      <w:r>
        <w:t xml:space="preserve">(cálculo propio).</w:t>
      </w:r>
    </w:p>
    <w:p>
      <w:pPr>
        <w:pStyle w:val="Heading2"/>
      </w:pPr>
      <w:bookmarkStart w:id="151" w:name="tit94"/>
      <w:r>
        <w:t xml:space="preserve">2.5. Diagnóstico de la situación actual (línea base)</w:t>
      </w:r>
      <w:bookmarkEnd w:id="151"/>
    </w:p>
    <w:p>
      <w:pPr>
        <w:pStyle w:val="FirstParagraph"/>
      </w:pPr>
      <w:r>
        <w:t xml:space="preserve">El diagnóstico caracteriza la gestión de la calidad y el control de materiales con que se ejecutó la primera losa (OE1) y cuantifica su línea base (OE2). Tiene cuatro partes: las brechas frente a la norma ISO 9001:2026 (Sección 2.5.1), el análisis documental de la primera losa (Sección 2.5.2), las no conformidades y sus causas (Sección 2.5.3) y la línea base cuantitativa (Sección 2.5.4). Todos los hallazgos provienen de documentos del repositorio de la tesis y se citan con su página. Los que se refieren a cantidades o pagos se presentan como inconsistencias documentales que la Supervisión y la Fiscalización deben verificar con los respaldos que no forman parte de la documentación revisada; no constituyen una imputación de errores ni de pagos indebidos.</w:t>
      </w:r>
    </w:p>
    <w:p>
      <w:pPr>
        <w:pStyle w:val="Heading3"/>
      </w:pPr>
      <w:bookmarkStart w:id="133" w:name="tit95"/>
      <w:r>
        <w:t xml:space="preserve">2.5.1. Brechas frente a la norma ISO 9001:2026</w:t>
      </w:r>
      <w:bookmarkEnd w:id="133"/>
    </w:p>
    <w:p>
      <w:pPr>
        <w:pStyle w:val="FirstParagraph"/>
      </w:pPr>
      <w:r>
        <w:t xml:space="preserve">Para medir la distancia entre la gestión real y los requisitos de la norma se aplicó, de manera documental, la lista de verificación C.1 del Anexo C. La lista contiene 50 requisitos redactados por el autor para el proceso de la losa, a partir de la estructura de cláusulas 4 a 10 de la norma ISO 9001:2026</w:t>
      </w:r>
      <w:r>
        <w:t xml:space="preserve"> </w:t>
      </w:r>
      <w:r>
        <w:t xml:space="preserve">(ISO, 2026b)</w:t>
      </w:r>
      <w:r>
        <w:t xml:space="preserve">; dos de ellos no aplican: el diseño y desarrollo, que corresponde al proyectista de la UATF, y la propiedad del cliente, porque la entidad no suministró materiales. Cada uno de los 48 requisitos aplicables se calificó con 1 (cumple), 0,5 (cumple parcialmente) o 0 (no cumple o sin evidencia documental), con la evidencia encontrada en los documentos y su página. El porcentaje de cada cláusula es la suma de las calificaciones dividida entre el número de requisitos aplicables. La Tabla 22 y la Figura 7 presentan los resultados y los comparan con dos diagnósticos bolivianos recientes.</w:t>
      </w:r>
    </w:p>
    <w:p>
      <w:pPr>
        <w:pStyle w:val="Caption"/>
      </w:pPr>
      <w:bookmarkStart w:id="1431" w:name="tab22"/>
      <w:r>
        <w:t xml:space="preserve"/>
      </w:r>
      <w:r>
        <w:rPr>
          <w:bCs/>
          <w:b/>
        </w:rPr>
        <w:t xml:space="preserve">Tabla 22</w:t>
      </w:r>
      <w:r>
        <w:br/>
      </w:r>
      <w:r>
        <w:rPr>
          <w:iCs/>
          <w:i/>
        </w:rPr>
        <w:t xml:space="preserve">Cumplimiento de los requisitos de ISO 9001 por cláusula: primera losa y diagnósticos de referencia</w:t>
      </w:r>
      <w:bookmarkEnd w:id="1431"/>
    </w:p>
    <w:tbl>
      <w:tblPr>
        <w:tblStyle w:val="Table"/>
        <w:tblW w:w="9359" w:type="dxa"/>
        <w:jc w:val="left"/>
        <w:tblLayout w:type="fixed"/>
        <w:tblCellMar>
          <w:top w:w="0" w:type="dxa"/>
          <w:left w:w="85" w:type="dxa"/>
          <w:bottom w:w="0" w:type="dxa"/>
          <w:right w:w="85" w:type="dxa"/>
        </w:tblCellMar>
        <w:tblLook w:firstRow="1" w:lastRow="0" w:firstColumn="0" w:lastColumn="0" w:noHBand="0" w:noVBand="0" w:val="0020"/>
      </w:tblPr>
      <w:tblGrid>
        <w:gridCol w:w="2652"/>
        <w:gridCol w:w="1418"/>
        <w:gridCol w:w="1167"/>
        <w:gridCol w:w="1349"/>
        <w:gridCol w:w="1402"/>
        <w:gridCol w:w="1371"/>
      </w:tblGrid>
      <w:tr>
        <w:trPr>
          <w:cantSplit/>
          <w:tblHeader w:val="true"/>
        </w:trPr>
        <w:tc>
          <w:tcPr>
            <w:tcW w:w="2652" w:type="dxa"/>
            <w:tcBorders>
              <w:top w:val="single" w:sz="8" w:space="0" w:color="000000"/>
              <w:bottom w:val="single" w:sz="4" w:space="0" w:color="000000"/>
            </w:tcBorders>
          </w:tcPr>
          <w:p>
            <w:pPr>
              <w:pStyle w:val="CeldaAPA"/>
              <w:jc w:val="center"/>
            </w:pPr>
            <w:r>
              <w:rPr>
                <w:bCs/>
                <w:b/>
              </w:rPr>
              <w:t xml:space="preserve">Cláusula</w:t>
            </w:r>
          </w:p>
        </w:tc>
        <w:tc>
          <w:tcPr>
            <w:tcW w:w="1418" w:type="dxa"/>
            <w:tcBorders>
              <w:top w:val="single" w:sz="8" w:space="0" w:color="000000"/>
              <w:bottom w:val="single" w:sz="4" w:space="0" w:color="000000"/>
            </w:tcBorders>
          </w:tcPr>
          <w:p>
            <w:pPr>
              <w:pStyle w:val="CeldaAPA"/>
              <w:jc w:val="center"/>
            </w:pPr>
            <w:r>
              <w:rPr>
                <w:bCs/>
                <w:b/>
              </w:rPr>
              <w:t xml:space="preserve">Requisitos aplicables</w:t>
            </w:r>
          </w:p>
        </w:tc>
        <w:tc>
          <w:tcPr>
            <w:tcW w:w="1167" w:type="dxa"/>
            <w:tcBorders>
              <w:top w:val="single" w:sz="8" w:space="0" w:color="000000"/>
              <w:bottom w:val="single" w:sz="4" w:space="0" w:color="000000"/>
            </w:tcBorders>
          </w:tcPr>
          <w:p>
            <w:pPr>
              <w:pStyle w:val="CeldaAPA"/>
              <w:jc w:val="center"/>
            </w:pPr>
            <w:r>
              <w:rPr>
                <w:bCs/>
                <w:b/>
              </w:rPr>
              <w:t xml:space="preserve">Puntaje</w:t>
            </w:r>
          </w:p>
        </w:tc>
        <w:tc>
          <w:tcPr>
            <w:tcW w:w="1349" w:type="dxa"/>
            <w:tcBorders>
              <w:top w:val="single" w:sz="8" w:space="0" w:color="000000"/>
              <w:bottom w:val="single" w:sz="4" w:space="0" w:color="000000"/>
            </w:tcBorders>
          </w:tcPr>
          <w:p>
            <w:pPr>
              <w:pStyle w:val="CeldaAPA"/>
              <w:jc w:val="center"/>
            </w:pPr>
            <w:r>
              <w:rPr>
                <w:bCs/>
                <w:b/>
              </w:rPr>
              <w:t xml:space="preserve">Primera losa (esta tesis)</w:t>
            </w:r>
          </w:p>
        </w:tc>
        <w:tc>
          <w:tcPr>
            <w:tcW w:w="1402" w:type="dxa"/>
            <w:tcBorders>
              <w:top w:val="single" w:sz="8" w:space="0" w:color="000000"/>
              <w:bottom w:val="single" w:sz="4" w:space="0" w:color="000000"/>
            </w:tcBorders>
          </w:tcPr>
          <w:p>
            <w:pPr>
              <w:pStyle w:val="CeldaAPA"/>
              <w:jc w:val="center"/>
            </w:pPr>
            <w:r>
              <w:rPr>
                <w:bCs/>
                <w:b/>
              </w:rPr>
              <w:t xml:space="preserve">Mamani Calsina (2025)</w:t>
            </w:r>
          </w:p>
        </w:tc>
        <w:tc>
          <w:tcPr>
            <w:tcW w:w="1371" w:type="dxa"/>
            <w:tcBorders>
              <w:top w:val="single" w:sz="8" w:space="0" w:color="000000"/>
              <w:bottom w:val="single" w:sz="4" w:space="0" w:color="000000"/>
            </w:tcBorders>
          </w:tcPr>
          <w:p>
            <w:pPr>
              <w:pStyle w:val="CeldaAPA"/>
              <w:jc w:val="center"/>
            </w:pPr>
            <w:r>
              <w:rPr>
                <w:bCs/>
                <w:b/>
              </w:rPr>
              <w:t xml:space="preserve">Peña Callisaya (2024)</w:t>
            </w:r>
          </w:p>
        </w:tc>
      </w:tr>
      <w:tr>
        <w:tc>
          <w:tcPr>
            <w:tcW w:w="2652" w:type="dxa"/>
          </w:tcPr>
          <w:p>
            <w:pPr>
              <w:pStyle w:val="CeldaAPA"/>
              <w:jc w:val="left"/>
            </w:pPr>
            <w:r>
              <w:rPr/>
              <w:t xml:space="preserve">4. Contexto de la organización</w:t>
            </w:r>
          </w:p>
        </w:tc>
        <w:tc>
          <w:tcPr>
            <w:tcW w:w="1418" w:type="dxa"/>
          </w:tcPr>
          <w:p>
            <w:pPr>
              <w:pStyle w:val="CeldaAPA"/>
              <w:jc w:val="center"/>
            </w:pPr>
            <w:r>
              <w:rPr/>
              <w:t xml:space="preserve">4</w:t>
            </w:r>
          </w:p>
        </w:tc>
        <w:tc>
          <w:tcPr>
            <w:tcW w:w="1167" w:type="dxa"/>
          </w:tcPr>
          <w:p>
            <w:pPr>
              <w:pStyle w:val="CeldaAPA"/>
              <w:jc w:val="center"/>
            </w:pPr>
            <w:r>
              <w:rPr/>
              <w:t xml:space="preserve">1,0</w:t>
            </w:r>
          </w:p>
        </w:tc>
        <w:tc>
          <w:tcPr>
            <w:tcW w:w="1349" w:type="dxa"/>
          </w:tcPr>
          <w:p>
            <w:pPr>
              <w:pStyle w:val="CeldaAPA"/>
              <w:jc w:val="center"/>
            </w:pPr>
            <w:r>
              <w:rPr/>
              <w:t xml:space="preserve">25,0 %</w:t>
            </w:r>
          </w:p>
        </w:tc>
        <w:tc>
          <w:tcPr>
            <w:tcW w:w="1402" w:type="dxa"/>
          </w:tcPr>
          <w:p>
            <w:pPr>
              <w:pStyle w:val="CeldaAPA"/>
              <w:jc w:val="center"/>
            </w:pPr>
            <w:r>
              <w:rPr/>
              <w:t xml:space="preserve">19 %</w:t>
            </w:r>
          </w:p>
        </w:tc>
        <w:tc>
          <w:tcPr>
            <w:tcW w:w="1371" w:type="dxa"/>
          </w:tcPr>
          <w:p>
            <w:pPr>
              <w:pStyle w:val="CeldaAPA"/>
              <w:jc w:val="center"/>
            </w:pPr>
            <w:r>
              <w:rPr/>
              <w:t xml:space="preserve">30 %</w:t>
            </w:r>
          </w:p>
        </w:tc>
      </w:tr>
      <w:tr>
        <w:tc>
          <w:tcPr>
            <w:tcW w:w="2652" w:type="dxa"/>
          </w:tcPr>
          <w:p>
            <w:pPr>
              <w:pStyle w:val="CeldaAPA"/>
              <w:jc w:val="left"/>
            </w:pPr>
            <w:r>
              <w:rPr/>
              <w:t xml:space="preserve">5. Liderazgo</w:t>
            </w:r>
          </w:p>
        </w:tc>
        <w:tc>
          <w:tcPr>
            <w:tcW w:w="1418" w:type="dxa"/>
          </w:tcPr>
          <w:p>
            <w:pPr>
              <w:pStyle w:val="CeldaAPA"/>
              <w:jc w:val="center"/>
            </w:pPr>
            <w:r>
              <w:rPr/>
              <w:t xml:space="preserve">5</w:t>
            </w:r>
          </w:p>
        </w:tc>
        <w:tc>
          <w:tcPr>
            <w:tcW w:w="1167" w:type="dxa"/>
          </w:tcPr>
          <w:p>
            <w:pPr>
              <w:pStyle w:val="CeldaAPA"/>
              <w:jc w:val="center"/>
            </w:pPr>
            <w:r>
              <w:rPr/>
              <w:t xml:space="preserve">1,0</w:t>
            </w:r>
          </w:p>
        </w:tc>
        <w:tc>
          <w:tcPr>
            <w:tcW w:w="1349" w:type="dxa"/>
          </w:tcPr>
          <w:p>
            <w:pPr>
              <w:pStyle w:val="CeldaAPA"/>
              <w:jc w:val="center"/>
            </w:pPr>
            <w:r>
              <w:rPr/>
              <w:t xml:space="preserve">20,0 %</w:t>
            </w:r>
          </w:p>
        </w:tc>
        <w:tc>
          <w:tcPr>
            <w:tcW w:w="1402" w:type="dxa"/>
          </w:tcPr>
          <w:p>
            <w:pPr>
              <w:pStyle w:val="CeldaAPA"/>
              <w:jc w:val="center"/>
            </w:pPr>
            <w:r>
              <w:rPr/>
              <w:t xml:space="preserve">38 %</w:t>
            </w:r>
          </w:p>
        </w:tc>
        <w:tc>
          <w:tcPr>
            <w:tcW w:w="1371" w:type="dxa"/>
          </w:tcPr>
          <w:p>
            <w:pPr>
              <w:pStyle w:val="CeldaAPA"/>
              <w:jc w:val="center"/>
            </w:pPr>
            <w:r>
              <w:rPr/>
              <w:t xml:space="preserve">60 %</w:t>
            </w:r>
          </w:p>
        </w:tc>
      </w:tr>
      <w:tr>
        <w:tc>
          <w:tcPr>
            <w:tcW w:w="2652" w:type="dxa"/>
          </w:tcPr>
          <w:p>
            <w:pPr>
              <w:pStyle w:val="CeldaAPA"/>
              <w:jc w:val="left"/>
            </w:pPr>
            <w:r>
              <w:rPr/>
              <w:t xml:space="preserve">6. Planificación</w:t>
            </w:r>
          </w:p>
        </w:tc>
        <w:tc>
          <w:tcPr>
            <w:tcW w:w="1418" w:type="dxa"/>
          </w:tcPr>
          <w:p>
            <w:pPr>
              <w:pStyle w:val="CeldaAPA"/>
              <w:jc w:val="center"/>
            </w:pPr>
            <w:r>
              <w:rPr/>
              <w:t xml:space="preserve">4</w:t>
            </w:r>
          </w:p>
        </w:tc>
        <w:tc>
          <w:tcPr>
            <w:tcW w:w="1167" w:type="dxa"/>
          </w:tcPr>
          <w:p>
            <w:pPr>
              <w:pStyle w:val="CeldaAPA"/>
              <w:jc w:val="center"/>
            </w:pPr>
            <w:r>
              <w:rPr/>
              <w:t xml:space="preserve">0,5</w:t>
            </w:r>
          </w:p>
        </w:tc>
        <w:tc>
          <w:tcPr>
            <w:tcW w:w="1349" w:type="dxa"/>
          </w:tcPr>
          <w:p>
            <w:pPr>
              <w:pStyle w:val="CeldaAPA"/>
              <w:jc w:val="center"/>
            </w:pPr>
            <w:r>
              <w:rPr/>
              <w:t xml:space="preserve">12,5 %</w:t>
            </w:r>
          </w:p>
        </w:tc>
        <w:tc>
          <w:tcPr>
            <w:tcW w:w="1402" w:type="dxa"/>
          </w:tcPr>
          <w:p>
            <w:pPr>
              <w:pStyle w:val="CeldaAPA"/>
              <w:jc w:val="center"/>
            </w:pPr>
            <w:r>
              <w:rPr/>
              <w:t xml:space="preserve">26 %</w:t>
            </w:r>
          </w:p>
        </w:tc>
        <w:tc>
          <w:tcPr>
            <w:tcW w:w="1371" w:type="dxa"/>
          </w:tcPr>
          <w:p>
            <w:pPr>
              <w:pStyle w:val="CeldaAPA"/>
              <w:jc w:val="center"/>
            </w:pPr>
            <w:r>
              <w:rPr/>
              <w:t xml:space="preserve">26 %</w:t>
            </w:r>
          </w:p>
        </w:tc>
      </w:tr>
      <w:tr>
        <w:tc>
          <w:tcPr>
            <w:tcW w:w="2652" w:type="dxa"/>
          </w:tcPr>
          <w:p>
            <w:pPr>
              <w:pStyle w:val="CeldaAPA"/>
              <w:jc w:val="left"/>
            </w:pPr>
            <w:r>
              <w:rPr/>
              <w:t xml:space="preserve">7. Apoyo</w:t>
            </w:r>
          </w:p>
        </w:tc>
        <w:tc>
          <w:tcPr>
            <w:tcW w:w="1418" w:type="dxa"/>
          </w:tcPr>
          <w:p>
            <w:pPr>
              <w:pStyle w:val="CeldaAPA"/>
              <w:jc w:val="center"/>
            </w:pPr>
            <w:r>
              <w:rPr/>
              <w:t xml:space="preserve">10</w:t>
            </w:r>
          </w:p>
        </w:tc>
        <w:tc>
          <w:tcPr>
            <w:tcW w:w="1167" w:type="dxa"/>
          </w:tcPr>
          <w:p>
            <w:pPr>
              <w:pStyle w:val="CeldaAPA"/>
              <w:jc w:val="center"/>
            </w:pPr>
            <w:r>
              <w:rPr/>
              <w:t xml:space="preserve">2,5</w:t>
            </w:r>
          </w:p>
        </w:tc>
        <w:tc>
          <w:tcPr>
            <w:tcW w:w="1349" w:type="dxa"/>
          </w:tcPr>
          <w:p>
            <w:pPr>
              <w:pStyle w:val="CeldaAPA"/>
              <w:jc w:val="center"/>
            </w:pPr>
            <w:r>
              <w:rPr/>
              <w:t xml:space="preserve">25,0 %</w:t>
            </w:r>
          </w:p>
        </w:tc>
        <w:tc>
          <w:tcPr>
            <w:tcW w:w="1402" w:type="dxa"/>
          </w:tcPr>
          <w:p>
            <w:pPr>
              <w:pStyle w:val="CeldaAPA"/>
              <w:jc w:val="center"/>
            </w:pPr>
            <w:r>
              <w:rPr/>
              <w:t xml:space="preserve">26 %</w:t>
            </w:r>
          </w:p>
        </w:tc>
        <w:tc>
          <w:tcPr>
            <w:tcW w:w="1371" w:type="dxa"/>
          </w:tcPr>
          <w:p>
            <w:pPr>
              <w:pStyle w:val="CeldaAPA"/>
              <w:jc w:val="center"/>
            </w:pPr>
            <w:r>
              <w:rPr/>
              <w:t xml:space="preserve">47 %</w:t>
            </w:r>
          </w:p>
        </w:tc>
      </w:tr>
      <w:tr>
        <w:tc>
          <w:tcPr>
            <w:tcW w:w="2652" w:type="dxa"/>
          </w:tcPr>
          <w:p>
            <w:pPr>
              <w:pStyle w:val="CeldaAPA"/>
              <w:jc w:val="left"/>
            </w:pPr>
            <w:r>
              <w:rPr/>
              <w:t xml:space="preserve">8. Operación</w:t>
            </w:r>
          </w:p>
        </w:tc>
        <w:tc>
          <w:tcPr>
            <w:tcW w:w="1418" w:type="dxa"/>
          </w:tcPr>
          <w:p>
            <w:pPr>
              <w:pStyle w:val="CeldaAPA"/>
              <w:jc w:val="center"/>
            </w:pPr>
            <w:r>
              <w:rPr/>
              <w:t xml:space="preserve">14</w:t>
            </w:r>
          </w:p>
        </w:tc>
        <w:tc>
          <w:tcPr>
            <w:tcW w:w="1167" w:type="dxa"/>
          </w:tcPr>
          <w:p>
            <w:pPr>
              <w:pStyle w:val="CeldaAPA"/>
              <w:jc w:val="center"/>
            </w:pPr>
            <w:r>
              <w:rPr/>
              <w:t xml:space="preserve">2,5</w:t>
            </w:r>
          </w:p>
        </w:tc>
        <w:tc>
          <w:tcPr>
            <w:tcW w:w="1349" w:type="dxa"/>
          </w:tcPr>
          <w:p>
            <w:pPr>
              <w:pStyle w:val="CeldaAPA"/>
              <w:jc w:val="center"/>
            </w:pPr>
            <w:r>
              <w:rPr/>
              <w:t xml:space="preserve">17,9 %</w:t>
            </w:r>
          </w:p>
        </w:tc>
        <w:tc>
          <w:tcPr>
            <w:tcW w:w="1402" w:type="dxa"/>
          </w:tcPr>
          <w:p>
            <w:pPr>
              <w:pStyle w:val="CeldaAPA"/>
              <w:jc w:val="center"/>
            </w:pPr>
            <w:r>
              <w:rPr/>
              <w:t xml:space="preserve">37 %</w:t>
            </w:r>
          </w:p>
        </w:tc>
        <w:tc>
          <w:tcPr>
            <w:tcW w:w="1371" w:type="dxa"/>
          </w:tcPr>
          <w:p>
            <w:pPr>
              <w:pStyle w:val="CeldaAPA"/>
              <w:jc w:val="center"/>
            </w:pPr>
            <w:r>
              <w:rPr/>
              <w:t xml:space="preserve">42 %</w:t>
            </w:r>
          </w:p>
        </w:tc>
      </w:tr>
      <w:tr>
        <w:tc>
          <w:tcPr>
            <w:tcW w:w="2652" w:type="dxa"/>
          </w:tcPr>
          <w:p>
            <w:pPr>
              <w:pStyle w:val="CeldaAPA"/>
              <w:jc w:val="left"/>
            </w:pPr>
            <w:r>
              <w:rPr/>
              <w:t xml:space="preserve">9. Evaluación del desempeño</w:t>
            </w:r>
          </w:p>
        </w:tc>
        <w:tc>
          <w:tcPr>
            <w:tcW w:w="1418" w:type="dxa"/>
          </w:tcPr>
          <w:p>
            <w:pPr>
              <w:pStyle w:val="CeldaAPA"/>
              <w:jc w:val="center"/>
            </w:pPr>
            <w:r>
              <w:rPr/>
              <w:t xml:space="preserve">6</w:t>
            </w:r>
          </w:p>
        </w:tc>
        <w:tc>
          <w:tcPr>
            <w:tcW w:w="1167" w:type="dxa"/>
          </w:tcPr>
          <w:p>
            <w:pPr>
              <w:pStyle w:val="CeldaAPA"/>
              <w:jc w:val="center"/>
            </w:pPr>
            <w:r>
              <w:rPr/>
              <w:t xml:space="preserve">1,5</w:t>
            </w:r>
          </w:p>
        </w:tc>
        <w:tc>
          <w:tcPr>
            <w:tcW w:w="1349" w:type="dxa"/>
          </w:tcPr>
          <w:p>
            <w:pPr>
              <w:pStyle w:val="CeldaAPA"/>
              <w:jc w:val="center"/>
            </w:pPr>
            <w:r>
              <w:rPr/>
              <w:t xml:space="preserve">25,0 %</w:t>
            </w:r>
          </w:p>
        </w:tc>
        <w:tc>
          <w:tcPr>
            <w:tcW w:w="1402" w:type="dxa"/>
          </w:tcPr>
          <w:p>
            <w:pPr>
              <w:pStyle w:val="CeldaAPA"/>
              <w:jc w:val="center"/>
            </w:pPr>
            <w:r>
              <w:rPr/>
              <w:t xml:space="preserve">11 %</w:t>
            </w:r>
          </w:p>
        </w:tc>
        <w:tc>
          <w:tcPr>
            <w:tcW w:w="1371" w:type="dxa"/>
          </w:tcPr>
          <w:p>
            <w:pPr>
              <w:pStyle w:val="CeldaAPA"/>
              <w:jc w:val="center"/>
            </w:pPr>
            <w:r>
              <w:rPr/>
              <w:t xml:space="preserve">n. e.</w:t>
            </w:r>
          </w:p>
        </w:tc>
      </w:tr>
      <w:tr>
        <w:tc>
          <w:tcPr>
            <w:tcW w:w="2652" w:type="dxa"/>
          </w:tcPr>
          <w:p>
            <w:pPr>
              <w:pStyle w:val="CeldaAPA"/>
              <w:jc w:val="left"/>
            </w:pPr>
            <w:r>
              <w:rPr/>
              <w:t xml:space="preserve">10. Mejora</w:t>
            </w:r>
          </w:p>
        </w:tc>
        <w:tc>
          <w:tcPr>
            <w:tcW w:w="1418" w:type="dxa"/>
          </w:tcPr>
          <w:p>
            <w:pPr>
              <w:pStyle w:val="CeldaAPA"/>
              <w:jc w:val="center"/>
            </w:pPr>
            <w:r>
              <w:rPr/>
              <w:t xml:space="preserve">5</w:t>
            </w:r>
          </w:p>
        </w:tc>
        <w:tc>
          <w:tcPr>
            <w:tcW w:w="1167" w:type="dxa"/>
          </w:tcPr>
          <w:p>
            <w:pPr>
              <w:pStyle w:val="CeldaAPA"/>
              <w:jc w:val="center"/>
            </w:pPr>
            <w:r>
              <w:rPr/>
              <w:t xml:space="preserve">0,5</w:t>
            </w:r>
          </w:p>
        </w:tc>
        <w:tc>
          <w:tcPr>
            <w:tcW w:w="1349" w:type="dxa"/>
          </w:tcPr>
          <w:p>
            <w:pPr>
              <w:pStyle w:val="CeldaAPA"/>
              <w:jc w:val="center"/>
            </w:pPr>
            <w:r>
              <w:rPr/>
              <w:t xml:space="preserve">10,0 %</w:t>
            </w:r>
          </w:p>
        </w:tc>
        <w:tc>
          <w:tcPr>
            <w:tcW w:w="1402" w:type="dxa"/>
          </w:tcPr>
          <w:p>
            <w:pPr>
              <w:pStyle w:val="CeldaAPA"/>
              <w:jc w:val="center"/>
            </w:pPr>
            <w:r>
              <w:rPr/>
              <w:t xml:space="preserve">24 %</w:t>
            </w:r>
          </w:p>
        </w:tc>
        <w:tc>
          <w:tcPr>
            <w:tcW w:w="1371" w:type="dxa"/>
          </w:tcPr>
          <w:p>
            <w:pPr>
              <w:pStyle w:val="CeldaAPA"/>
              <w:jc w:val="center"/>
            </w:pPr>
            <w:r>
              <w:rPr/>
              <w:t xml:space="preserve">n. e.</w:t>
            </w:r>
          </w:p>
        </w:tc>
      </w:tr>
      <w:tr>
        <w:tc>
          <w:tcPr>
            <w:tcW w:w="2652" w:type="dxa"/>
            <w:tcBorders>
              <w:top w:val="single" w:sz="4" w:space="0" w:color="000000"/>
              <w:bottom w:val="single" w:sz="8" w:space="0" w:color="000000"/>
            </w:tcBorders>
          </w:tcPr>
          <w:p>
            <w:pPr>
              <w:pStyle w:val="CeldaAPA"/>
              <w:jc w:val="left"/>
            </w:pPr>
            <w:r>
              <w:rPr>
                <w:bCs/>
                <w:b/>
              </w:rPr>
              <w:t xml:space="preserve">Global</w:t>
            </w:r>
          </w:p>
        </w:tc>
        <w:tc>
          <w:tcPr>
            <w:tcW w:w="1418" w:type="dxa"/>
            <w:tcBorders>
              <w:top w:val="single" w:sz="4" w:space="0" w:color="000000"/>
              <w:bottom w:val="single" w:sz="8" w:space="0" w:color="000000"/>
            </w:tcBorders>
          </w:tcPr>
          <w:p>
            <w:pPr>
              <w:pStyle w:val="CeldaAPA"/>
              <w:jc w:val="center"/>
            </w:pPr>
            <w:r>
              <w:rPr>
                <w:bCs/>
                <w:b/>
              </w:rPr>
              <w:t xml:space="preserve">48</w:t>
            </w:r>
          </w:p>
        </w:tc>
        <w:tc>
          <w:tcPr>
            <w:tcW w:w="1167" w:type="dxa"/>
            <w:tcBorders>
              <w:top w:val="single" w:sz="4" w:space="0" w:color="000000"/>
              <w:bottom w:val="single" w:sz="8" w:space="0" w:color="000000"/>
            </w:tcBorders>
          </w:tcPr>
          <w:p>
            <w:pPr>
              <w:pStyle w:val="CeldaAPA"/>
              <w:jc w:val="center"/>
            </w:pPr>
            <w:r>
              <w:rPr>
                <w:bCs/>
                <w:b/>
              </w:rPr>
              <w:t xml:space="preserve">9,5</w:t>
            </w:r>
          </w:p>
        </w:tc>
        <w:tc>
          <w:tcPr>
            <w:tcW w:w="1349" w:type="dxa"/>
            <w:tcBorders>
              <w:top w:val="single" w:sz="4" w:space="0" w:color="000000"/>
              <w:bottom w:val="single" w:sz="8" w:space="0" w:color="000000"/>
            </w:tcBorders>
          </w:tcPr>
          <w:p>
            <w:pPr>
              <w:pStyle w:val="CeldaAPA"/>
              <w:jc w:val="center"/>
            </w:pPr>
            <w:r>
              <w:rPr>
                <w:bCs/>
                <w:b/>
              </w:rPr>
              <w:t xml:space="preserve">19,8 %</w:t>
            </w:r>
          </w:p>
        </w:tc>
        <w:tc>
          <w:tcPr>
            <w:tcW w:w="1402" w:type="dxa"/>
            <w:tcBorders>
              <w:top w:val="single" w:sz="4" w:space="0" w:color="000000"/>
              <w:bottom w:val="single" w:sz="8" w:space="0" w:color="000000"/>
            </w:tcBorders>
          </w:tcPr>
          <w:p>
            <w:pPr>
              <w:pStyle w:val="CeldaAPA"/>
              <w:jc w:val="center"/>
            </w:pPr>
            <w:r>
              <w:rPr>
                <w:bCs/>
                <w:b/>
              </w:rPr>
              <w:t xml:space="preserve">24 %</w:t>
            </w:r>
          </w:p>
        </w:tc>
        <w:tc>
          <w:tcPr>
            <w:tcW w:w="1371" w:type="dxa"/>
            <w:tcBorders>
              <w:top w:val="single" w:sz="4" w:space="0" w:color="000000"/>
              <w:bottom w:val="single" w:sz="8" w:space="0" w:color="000000"/>
            </w:tcBorders>
          </w:tcPr>
          <w:p>
            <w:pPr>
              <w:pStyle w:val="CeldaAPA"/>
              <w:jc w:val="center"/>
            </w:pPr>
            <w:r>
              <w:rPr>
                <w:bCs/>
                <w:b/>
              </w:rPr>
              <w:t xml:space="preserve">43 %</w:t>
            </w:r>
          </w:p>
        </w:tc>
      </w:tr>
    </w:tbl>
    <w:p>
      <w:pPr>
        <w:pStyle w:val="NotaAPA"/>
      </w:pPr>
      <w:r>
        <w:rPr>
          <w:iCs/>
          <w:i/>
        </w:rPr>
        <w:t xml:space="preserve">Nota.</w:t>
      </w:r>
      <w:r>
        <w:t xml:space="preserve"> </w:t>
      </w:r>
      <w:r>
        <w:t xml:space="preserve">Elaboración propia con la lista de verificación C.1 (Anexo C). Los diagnósticos de referencia corresponden a dos plantas industriales de viguetas pretensadas: Prensocret</w:t>
      </w:r>
      <w:r>
        <w:t xml:space="preserve"> </w:t>
      </w:r>
      <w:r>
        <w:t xml:space="preserve">(Mamani Calsina, 2025, pp. 47, 49)</w:t>
      </w:r>
      <w:r>
        <w:t xml:space="preserve"> </w:t>
      </w:r>
      <w:r>
        <w:t xml:space="preserve">e ISOCRET</w:t>
      </w:r>
      <w:r>
        <w:t xml:space="preserve"> </w:t>
      </w:r>
      <w:r>
        <w:t xml:space="preserve">(Peña Callisaya, 2024, p. 71)</w:t>
      </w:r>
      <w:r>
        <w:t xml:space="preserve">, evaluadas con la edición 2015 de la norma y con escalas de calificación propias. n. e.: cláusula no evaluada. El cumplimiento global de esta tesis es el puntaje total entre los requisitos aplicables (9,5/48); el promedio simple de las siete cláusulas es 19,3 %.</w:t>
      </w:r>
    </w:p>
    <w:p>
      <w:pPr>
        <w:pStyle w:val="Caption"/>
      </w:pPr>
      <w:bookmarkStart w:id="1432" w:name="fig7"/>
      <w:r>
        <w:t xml:space="preserve"/>
      </w:r>
      <w:r>
        <w:rPr>
          <w:bCs/>
          <w:b/>
        </w:rPr>
        <w:t xml:space="preserve">Figura 7</w:t>
      </w:r>
      <w:r>
        <w:br/>
      </w:r>
      <w:r>
        <w:rPr>
          <w:iCs/>
          <w:i/>
        </w:rPr>
        <w:t xml:space="preserve">Cumplimiento de los requisitos de ISO 9001 por cláusula en la primera losa y en dos diagnósticos de referencia</w:t>
      </w:r>
      <w:bookmarkEnd w:id="1432"/>
    </w:p>
    <w:p>
      <w:pPr>
        <w:pStyle w:val="FiguraAPA"/>
      </w:pPr>
      <w:r>
        <w:drawing>
          <wp:inline>
            <wp:extent cx="5943599" cy="3291839"/>
            <wp:effectExtent b="0" l="0" r="0" t="0"/>
            <wp:docPr descr="image" title="" id="131" name="Picture"/>
            <a:graphic>
              <a:graphicData uri="http://schemas.openxmlformats.org/drawingml/2006/picture">
                <pic:pic>
                  <pic:nvPicPr>
                    <pic:cNvPr descr="/home/user/TesisSGC/05_Tesis_LaTeX/figuras/fig_brechas_iso9001.png" id="132" name="Picture"/>
                    <pic:cNvPicPr>
                      <a:picLocks noChangeArrowheads="1" noChangeAspect="1"/>
                    </pic:cNvPicPr>
                  </pic:nvPicPr>
                  <pic:blipFill>
                    <a:blip r:embed="rId130"/>
                    <a:stretch>
                      <a:fillRect/>
                    </a:stretch>
                  </pic:blipFill>
                  <pic:spPr bwMode="auto">
                    <a:xfrm>
                      <a:off x="0" y="0"/>
                      <a:ext cx="5943599" cy="3291839"/>
                    </a:xfrm>
                    <a:prstGeom prst="rect">
                      <a:avLst/>
                    </a:prstGeom>
                    <a:noFill/>
                    <a:ln w="9525">
                      <a:noFill/>
                      <a:headEnd/>
                      <a:tailEnd/>
                    </a:ln>
                  </pic:spPr>
                </pic:pic>
              </a:graphicData>
            </a:graphic>
          </wp:inline>
        </w:drawing>
      </w:r>
    </w:p>
    <w:p>
      <w:pPr>
        <w:pStyle w:val="NotaAPA"/>
      </w:pPr>
      <w:r>
        <w:rPr>
          <w:iCs/>
          <w:i/>
        </w:rPr>
        <w:t xml:space="preserve">Nota.</w:t>
      </w:r>
      <w:r>
        <w:t xml:space="preserve"> </w:t>
      </w:r>
      <w:r>
        <w:t xml:space="preserve">Elaboración propia con los datos de la Tabla 22. Las referencias son plantas de viguetas pretensadas</w:t>
      </w:r>
      <w:r>
        <w:t xml:space="preserve"> </w:t>
      </w:r>
      <w:r>
        <w:t xml:space="preserve">(Mamani Calsina, 2025; Peña Callisaya, 2024)</w:t>
      </w:r>
      <w:r>
        <w:t xml:space="preserve">; n. e.: no evaluado. Figura generada con el script</w:t>
      </w:r>
      <w:r>
        <w:t xml:space="preserve"> </w:t>
      </w:r>
      <w:r>
        <w:rPr>
          <w:rStyle w:val="VerbatimChar"/>
        </w:rPr>
        <w:t xml:space="preserve">cap2_diagnostico_figuras.py</w:t>
      </w:r>
      <w:r>
        <w:t xml:space="preserve"> </w:t>
      </w:r>
      <w:r>
        <w:t xml:space="preserve">de la carpeta de extracción de datos de obra.</w:t>
      </w:r>
    </w:p>
    <w:p>
      <w:pPr>
        <w:pStyle w:val="BodyText"/>
      </w:pPr>
      <w:r>
        <w:t xml:space="preserve">El cumplimiento global fue de 19,8 %. Ningún requisito alcanzó el cumplimiento pleno: 19 se cumplieron parcialmente y 29 no se cumplieron. Con la escala de</w:t>
      </w:r>
      <w:r>
        <w:t xml:space="preserve"> </w:t>
      </w:r>
      <w:r>
        <w:t xml:space="preserve">Mamani Calsina (2025, p. 42)</w:t>
      </w:r>
      <w:r>
        <w:t xml:space="preserve">, todas las cláusulas se ubican en el rango «deficiente o no implementado» (0 a 25 %); con el criterio de</w:t>
      </w:r>
      <w:r>
        <w:t xml:space="preserve"> </w:t>
      </w:r>
      <w:r>
        <w:t xml:space="preserve">Peña Callisaya (2024, p. 70)</w:t>
      </w:r>
      <w:r>
        <w:t xml:space="preserve">, que recomienda diseñar el sistema cuando el resultado no supera el 50 %, el caso exige diseñar un SGC y no solo mejorar prácticas existentes. Las cláusulas más débiles fueron la mejora (10,0 %), porque no hubo registro de no conformidades ni análisis de causas, y la planificación (12,5 %), porque los riesgos de suministro, precios y clima no se identificaron antes de materializarse. La operación (17,9 %) concentró la mayor cantidad de requisitos incumplidos (9 de 14), en particular el control del hormigón, la verificación de los suministros, la trazabilidad y el control de las salidas no conformes. Los puntajes parciales provienen sobre todo de controles contractuales que sí funcionaron: el Libro de Órdenes como canal de comunicación, la verificación del armado antes de cada vaciado, la medición conjunta de cantidades y los cambios contractuales tramitados formalmente.</w:t>
      </w:r>
    </w:p>
    <w:p>
      <w:pPr>
        <w:pStyle w:val="BodyText"/>
      </w:pPr>
      <w:r>
        <w:t xml:space="preserve">El resultado es menor que el de las dos plantas industriales de viguetas pretensadas tomadas como referencia: 24 % en Prensocret, con un mínimo de 11 % en la evaluación del desempeño</w:t>
      </w:r>
      <w:r>
        <w:t xml:space="preserve"> </w:t>
      </w:r>
      <w:r>
        <w:t xml:space="preserve">(Mamani Calsina, 2025, pp. 48–49)</w:t>
      </w:r>
      <w:r>
        <w:t xml:space="preserve">, y 43 % en ISOCRET, con un mínimo de 26 % en la planificación</w:t>
      </w:r>
      <w:r>
        <w:t xml:space="preserve"> </w:t>
      </w:r>
      <w:r>
        <w:t xml:space="preserve">(Peña Callisaya, 2024, p. 71)</w:t>
      </w:r>
      <w:r>
        <w:t xml:space="preserve">. La diferencia es coherente con la naturaleza de cada organización: una planta tiene procesos repetitivos, personal estable y documentación propia, mientras que la ejecución de una losa en una obra pública es un proceso temporal, cuyo control descansa casi por completo en la Supervisión. Coinciden, en cambio, en que la planificación, la evaluación y la mejora están entre las cláusulas más débiles. La comparación es solo indicativa, porque las escalas, la edición de la norma y las técnicas difieren: Peña Callisaya se basó en entrevistas y observación de los procesos</w:t>
      </w:r>
      <w:r>
        <w:t xml:space="preserve"> </w:t>
      </w:r>
      <w:r>
        <w:t xml:space="preserve">(Peña Callisaya, 2024, p. 67)</w:t>
      </w:r>
      <w:r>
        <w:t xml:space="preserve"> </w:t>
      </w:r>
      <w:r>
        <w:t xml:space="preserve">y no evaluó las cláusulas 9 y 10.</w:t>
      </w:r>
    </w:p>
    <w:p>
      <w:pPr>
        <w:pStyle w:val="BodyText"/>
      </w:pPr>
      <w:r>
        <w:rPr>
          <w:bCs/>
          <w:b/>
        </w:rPr>
        <w:t xml:space="preserve">Limitación.</w:t>
      </w:r>
      <w:r>
        <w:t xml:space="preserve"> </w:t>
      </w:r>
      <w:r>
        <w:t xml:space="preserve">La evaluación fue documental y la realizó el investigador. Una calificación de 0 indica que el requisito no dejó evidencia en los documentos revisados, no que la práctica no haya existido. Las entrevistas de la guía C.7 (Anexo C) a la Dirección de Obra, a la Supervisión y a la Fiscalización quedan como verificación complementaria.</w:t>
      </w:r>
    </w:p>
    <w:p>
      <w:pPr>
        <w:pStyle w:val="Heading3"/>
      </w:pPr>
      <w:bookmarkStart w:id="142" w:name="tit96"/>
      <w:r>
        <w:t xml:space="preserve">2.5.2. Análisis documental de la primera losa</w:t>
      </w:r>
      <w:bookmarkEnd w:id="142"/>
    </w:p>
    <w:p>
      <w:pPr>
        <w:pStyle w:val="FirstParagraph"/>
      </w:pPr>
      <w:r>
        <w:t xml:space="preserve">El análisis documental revisó, página por página, la Planilla de avance N.</w:t>
      </w:r>
      <w:r>
        <w:rPr>
          <w:vertAlign w:val="superscript"/>
        </w:rPr>
        <w:t xml:space="preserve">o</w:t>
      </w:r>
      <w:r>
        <w:t xml:space="preserve"> 2, de 139 páginas, que incluye el informe de Supervisión, los cómputos, los croquis, las fotografías, el certificado de laboratorio, los certificados de materiales, el contrato, el Libro de Órdenes y los cronogramas</w:t>
      </w:r>
      <w:r>
        <w:t xml:space="preserve"> </w:t>
      </w:r>
      <w:r>
        <w:t xml:space="preserve">(UATF, 2025)</w:t>
      </w:r>
      <w:r>
        <w:t xml:space="preserve">; la planilla y los cómputos de cierre</w:t>
      </w:r>
      <w:r>
        <w:t xml:space="preserve"> </w:t>
      </w:r>
      <w:r>
        <w:t xml:space="preserve">(UATF, s. f.-c)</w:t>
      </w:r>
      <w:r>
        <w:t xml:space="preserve">; el expediente del ítem 13</w:t>
      </w:r>
      <w:r>
        <w:t xml:space="preserve"> </w:t>
      </w:r>
      <w:r>
        <w:t xml:space="preserve">(UATF, s. f.-b)</w:t>
      </w:r>
      <w:r>
        <w:t xml:space="preserve">; las ET</w:t>
      </w:r>
      <w:r>
        <w:t xml:space="preserve"> </w:t>
      </w:r>
      <w:r>
        <w:t xml:space="preserve">(UATF, s. f.-a)</w:t>
      </w:r>
      <w:r>
        <w:t xml:space="preserve">, y los planos 01 a 03. Cada dato se contrastó en al menos dos fuentes. Las coincidencias confirmaron el dato; por ejemplo, las 41 áreas de paño y su total de 1.109,84 m</w:t>
      </w:r>
      <w:r>
        <w:rPr>
          <w:vertAlign w:val="superscript"/>
        </w:rPr>
        <w:t xml:space="preserve">2</w:t>
      </w:r>
      <w:r>
        <w:t xml:space="preserve"> </w:t>
      </w:r>
      <w:r>
        <w:t xml:space="preserve">son idénticas en cuatro documentos. Las diferencias se registraron como hallazgos y se agrupan en siete temas.</w:t>
      </w:r>
    </w:p>
    <w:p>
      <w:pPr>
        <w:pStyle w:val="Heading4"/>
      </w:pPr>
      <w:bookmarkStart w:id="134" w:name="tit97"/>
      <w:r>
        <w:t xml:space="preserve">2.5.2.1. Control de la resistencia del hormigón.</w:t>
      </w:r>
      <w:bookmarkEnd w:id="134"/>
    </w:p>
    <w:p>
      <w:pPr>
        <w:pStyle w:val="FirstParagraph"/>
      </w:pPr>
      <w:r>
        <w:t xml:space="preserve">El certificado de laboratorio N.</w:t>
      </w:r>
      <w:r>
        <w:rPr>
          <w:vertAlign w:val="superscript"/>
        </w:rPr>
        <w:t xml:space="preserve">o</w:t>
      </w:r>
      <w:r>
        <w:t xml:space="preserve"> 000293 es el único registro de ensayos de compresión adjunto a la Planilla N.</w:t>
      </w:r>
      <w:r>
        <w:rPr>
          <w:vertAlign w:val="superscript"/>
        </w:rPr>
        <w:t xml:space="preserve">o</w:t>
      </w:r>
      <w:r>
        <w:t xml:space="preserve"> 2. Comprende 12 probetas cilíndricas de 6 </w:t>
      </w:r>
      <m:oMath>
        <m:r>
          <m:rPr>
            <m:sty m:val="p"/>
          </m:rPr>
          <m:t>×</m:t>
        </m:r>
      </m:oMath>
      <w:r>
        <w:t xml:space="preserve"> 12 pulgadas (área de 182,4 cm</w:t>
      </w:r>
      <w:r>
        <w:rPr>
          <w:vertAlign w:val="superscript"/>
        </w:rPr>
        <w:t xml:space="preserve">2</w:t>
      </w:r>
      <w:r>
        <w:t xml:space="preserve">) de columnas y vigas, ensayadas el 5 de diciembre de 2025 a edades de 55 a 76 días y «proyectadas» a 28 días con un factor de tiempo (Tabla 23). El laboratorio aclaró que «las probetas fueron traidas [</w:t>
      </w:r>
      <w:r>
        <w:rPr>
          <w:iCs/>
          <w:i/>
        </w:rPr>
        <w:t xml:space="preserve">sic</w:t>
      </w:r>
      <w:r>
        <w:t xml:space="preserve">] y elaboradas por la empresa solicitante»</w:t>
      </w:r>
      <w:r>
        <w:t xml:space="preserve"> </w:t>
      </w:r>
      <w:r>
        <w:t xml:space="preserve">(UATF, 2025, p. 78)</w:t>
      </w:r>
      <w:r>
        <w:t xml:space="preserve">.</w:t>
      </w:r>
    </w:p>
    <w:p>
      <w:pPr>
        <w:pStyle w:val="Caption"/>
      </w:pPr>
      <w:bookmarkStart w:id="1433" w:name="tab23"/>
      <w:r>
        <w:t xml:space="preserve"/>
      </w:r>
      <w:r>
        <w:rPr>
          <w:bCs/>
          <w:b/>
        </w:rPr>
        <w:t xml:space="preserve">Tabla 23</w:t>
      </w:r>
      <w:r>
        <w:br/>
      </w:r>
      <w:r>
        <w:rPr>
          <w:iCs/>
          <w:i/>
        </w:rPr>
        <w:t xml:space="preserve">Resultados del certificado de laboratorio N.</w:t>
      </w:r>
      <w:r>
        <w:rPr>
          <w:vertAlign w:val="superscript"/>
          <w:iCs/>
          <w:i/>
        </w:rPr>
        <w:t xml:space="preserve">o</w:t>
      </w:r>
      <w:r>
        <w:rPr>
          <w:iCs/>
          <w:i/>
        </w:rPr>
        <w:t xml:space="preserve"> 000293 por probeta</w:t>
      </w:r>
      <w:bookmarkEnd w:id="1433"/>
    </w:p>
    <w:tbl>
      <w:tblPr>
        <w:tblStyle w:val="Table"/>
        <w:tblW w:w="9698" w:type="dxa"/>
        <w:jc w:val="left"/>
        <w:tblLayout w:type="fixed"/>
        <w:tblCellMar>
          <w:top w:w="0" w:type="dxa"/>
          <w:left w:w="85" w:type="dxa"/>
          <w:bottom w:w="0" w:type="dxa"/>
          <w:right w:w="85" w:type="dxa"/>
        </w:tblCellMar>
        <w:tblLook w:firstRow="1" w:lastRow="0" w:firstColumn="0" w:lastColumn="0" w:noHBand="0" w:noVBand="0" w:val="0020"/>
      </w:tblPr>
      <w:tblGrid>
        <w:gridCol w:w="666"/>
        <w:gridCol w:w="1369"/>
        <w:gridCol w:w="1545"/>
        <w:gridCol w:w="1005"/>
        <w:gridCol w:w="961"/>
        <w:gridCol w:w="1553"/>
        <w:gridCol w:w="1046"/>
        <w:gridCol w:w="1553"/>
      </w:tblGrid>
      <w:tr>
        <w:trPr>
          <w:cantSplit/>
          <w:tblHeader w:val="true"/>
        </w:trPr>
        <w:tc>
          <w:tcPr>
            <w:tcW w:w="666" w:type="dxa"/>
            <w:tcBorders>
              <w:top w:val="single" w:sz="8" w:space="0" w:color="000000"/>
              <w:bottom w:val="single" w:sz="4" w:space="0" w:color="000000"/>
            </w:tcBorders>
          </w:tcPr>
          <w:p>
            <w:pPr>
              <w:pStyle w:val="CeldaAPA"/>
              <w:jc w:val="center"/>
            </w:pPr>
            <w:r>
              <w:rPr>
                <w:bCs/>
                <w:b/>
              </w:rPr>
              <w:t xml:space="preserve">N.</w:t>
            </w:r>
            <w:r>
              <w:rPr>
                <w:vertAlign w:val="superscript"/>
                <w:bCs/>
                <w:b/>
              </w:rPr>
              <w:t xml:space="preserve">o</w:t>
            </w:r>
          </w:p>
        </w:tc>
        <w:tc>
          <w:tcPr>
            <w:tcW w:w="1369" w:type="dxa"/>
            <w:tcBorders>
              <w:top w:val="single" w:sz="8" w:space="0" w:color="000000"/>
              <w:bottom w:val="single" w:sz="4" w:space="0" w:color="000000"/>
            </w:tcBorders>
          </w:tcPr>
          <w:p>
            <w:pPr>
              <w:pStyle w:val="CeldaAPA"/>
              <w:jc w:val="center"/>
            </w:pPr>
            <w:r>
              <w:rPr>
                <w:bCs/>
                <w:b/>
              </w:rPr>
              <w:t xml:space="preserve">Elemento</w:t>
            </w:r>
          </w:p>
        </w:tc>
        <w:tc>
          <w:tcPr>
            <w:tcW w:w="1545" w:type="dxa"/>
            <w:tcBorders>
              <w:top w:val="single" w:sz="8" w:space="0" w:color="000000"/>
              <w:bottom w:val="single" w:sz="4" w:space="0" w:color="000000"/>
            </w:tcBorders>
          </w:tcPr>
          <w:p>
            <w:pPr>
              <w:pStyle w:val="CeldaAPA"/>
              <w:jc w:val="center"/>
            </w:pPr>
            <w:r>
              <w:rPr>
                <w:bCs/>
                <w:b/>
              </w:rPr>
              <w:t xml:space="preserve">Fecha de la probeta</w:t>
            </w:r>
          </w:p>
        </w:tc>
        <w:tc>
          <w:tcPr>
            <w:tcW w:w="1005" w:type="dxa"/>
            <w:tcBorders>
              <w:top w:val="single" w:sz="8" w:space="0" w:color="000000"/>
              <w:bottom w:val="single" w:sz="4" w:space="0" w:color="000000"/>
            </w:tcBorders>
          </w:tcPr>
          <w:p>
            <w:pPr>
              <w:pStyle w:val="CeldaAPA"/>
              <w:jc w:val="center"/>
            </w:pPr>
            <w:r>
              <w:rPr>
                <w:bCs/>
                <w:b/>
              </w:rPr>
              <w:t xml:space="preserve">Edad (días)</w:t>
            </w:r>
          </w:p>
        </w:tc>
        <w:tc>
          <w:tcPr>
            <w:tcW w:w="961" w:type="dxa"/>
            <w:tcBorders>
              <w:top w:val="single" w:sz="8" w:space="0" w:color="000000"/>
              <w:bottom w:val="single" w:sz="4" w:space="0" w:color="000000"/>
            </w:tcBorders>
          </w:tcPr>
          <w:p>
            <w:pPr>
              <w:pStyle w:val="CeldaAPA"/>
              <w:jc w:val="center"/>
            </w:pPr>
            <w:r>
              <w:rPr>
                <w:bCs/>
                <w:b/>
              </w:rPr>
              <w:t xml:space="preserve">Carga (kg)</w:t>
            </w:r>
          </w:p>
        </w:tc>
        <w:tc>
          <w:tcPr>
            <w:tcW w:w="1553" w:type="dxa"/>
            <w:tcBorders>
              <w:top w:val="single" w:sz="8" w:space="0" w:color="000000"/>
              <w:bottom w:val="single" w:sz="4" w:space="0" w:color="000000"/>
            </w:tcBorders>
          </w:tcPr>
          <w:p>
            <w:pPr>
              <w:pStyle w:val="CeldaAPA"/>
              <w:jc w:val="center"/>
            </w:pPr>
            <w:r>
              <w:rPr>
                <w:bCs/>
                <w:b/>
              </w:rPr>
              <w:t xml:space="preserve">Resistencia a la edad de ensayo (kg/cm</w:t>
            </w:r>
            <w:r>
              <w:rPr>
                <w:vertAlign w:val="superscript"/>
                <w:bCs/>
                <w:b/>
              </w:rPr>
              <w:t xml:space="preserve">2</w:t>
            </w:r>
            <w:r>
              <w:rPr>
                <w:bCs/>
                <w:b/>
              </w:rPr>
              <w:t xml:space="preserve">)</w:t>
            </w:r>
          </w:p>
        </w:tc>
        <w:tc>
          <w:tcPr>
            <w:tcW w:w="1046" w:type="dxa"/>
            <w:tcBorders>
              <w:top w:val="single" w:sz="8" w:space="0" w:color="000000"/>
              <w:bottom w:val="single" w:sz="4" w:space="0" w:color="000000"/>
            </w:tcBorders>
          </w:tcPr>
          <w:p>
            <w:pPr>
              <w:pStyle w:val="CeldaAPA"/>
              <w:jc w:val="center"/>
            </w:pPr>
            <w:r>
              <w:rPr>
                <w:bCs/>
                <w:b/>
              </w:rPr>
              <w:t xml:space="preserve">Factor de tiempo</w:t>
            </w:r>
          </w:p>
        </w:tc>
        <w:tc>
          <w:tcPr>
            <w:tcW w:w="1553" w:type="dxa"/>
            <w:tcBorders>
              <w:top w:val="single" w:sz="8" w:space="0" w:color="000000"/>
              <w:bottom w:val="single" w:sz="4" w:space="0" w:color="000000"/>
            </w:tcBorders>
          </w:tcPr>
          <w:p>
            <w:pPr>
              <w:pStyle w:val="CeldaAPA"/>
              <w:jc w:val="center"/>
            </w:pPr>
            <w:r>
              <w:rPr>
                <w:bCs/>
                <w:b/>
              </w:rPr>
              <w:t xml:space="preserve">Resistencia proyectada a 28 días (kg/cm</w:t>
            </w:r>
            <w:r>
              <w:rPr>
                <w:vertAlign w:val="superscript"/>
                <w:bCs/>
                <w:b/>
              </w:rPr>
              <w:t xml:space="preserve">2</w:t>
            </w:r>
            <w:r>
              <w:rPr>
                <w:bCs/>
                <w:b/>
              </w:rPr>
              <w:t xml:space="preserve">)</w:t>
            </w:r>
          </w:p>
        </w:tc>
      </w:tr>
      <w:tr>
        <w:tc>
          <w:tcPr>
            <w:tcW w:w="666" w:type="dxa"/>
          </w:tcPr>
          <w:p>
            <w:pPr>
              <w:pStyle w:val="CeldaAPA"/>
              <w:jc w:val="center"/>
            </w:pPr>
            <w:r>
              <w:rPr/>
              <w:t xml:space="preserve">1</w:t>
            </w:r>
          </w:p>
        </w:tc>
        <w:tc>
          <w:tcPr>
            <w:tcW w:w="1369" w:type="dxa"/>
          </w:tcPr>
          <w:p>
            <w:pPr>
              <w:pStyle w:val="CeldaAPA"/>
              <w:jc w:val="left"/>
            </w:pPr>
            <w:r>
              <w:rPr/>
              <w:t xml:space="preserve">Columna</w:t>
            </w:r>
          </w:p>
        </w:tc>
        <w:tc>
          <w:tcPr>
            <w:tcW w:w="1545" w:type="dxa"/>
          </w:tcPr>
          <w:p>
            <w:pPr>
              <w:pStyle w:val="CeldaAPA"/>
              <w:jc w:val="center"/>
            </w:pPr>
            <w:r>
              <w:rPr/>
              <w:t xml:space="preserve">01/10/2025</w:t>
            </w:r>
          </w:p>
        </w:tc>
        <w:tc>
          <w:tcPr>
            <w:tcW w:w="1005" w:type="dxa"/>
          </w:tcPr>
          <w:p>
            <w:pPr>
              <w:pStyle w:val="CeldaAPA"/>
              <w:jc w:val="center"/>
            </w:pPr>
            <w:r>
              <w:rPr/>
              <w:t xml:space="preserve">65</w:t>
            </w:r>
          </w:p>
        </w:tc>
        <w:tc>
          <w:tcPr>
            <w:tcW w:w="961" w:type="dxa"/>
          </w:tcPr>
          <w:p>
            <w:pPr>
              <w:pStyle w:val="CeldaAPA"/>
              <w:jc w:val="center"/>
            </w:pPr>
            <w:r>
              <w:rPr/>
              <w:t xml:space="preserve">56.200</w:t>
            </w:r>
          </w:p>
        </w:tc>
        <w:tc>
          <w:tcPr>
            <w:tcW w:w="1553" w:type="dxa"/>
          </w:tcPr>
          <w:p>
            <w:pPr>
              <w:pStyle w:val="CeldaAPA"/>
              <w:jc w:val="center"/>
            </w:pPr>
            <w:r>
              <w:rPr/>
              <w:t xml:space="preserve">308,1</w:t>
            </w:r>
          </w:p>
        </w:tc>
        <w:tc>
          <w:tcPr>
            <w:tcW w:w="1046" w:type="dxa"/>
          </w:tcPr>
          <w:p>
            <w:pPr>
              <w:pStyle w:val="CeldaAPA"/>
              <w:jc w:val="center"/>
            </w:pPr>
            <w:r>
              <w:rPr/>
              <w:t xml:space="preserve">0,877</w:t>
            </w:r>
          </w:p>
        </w:tc>
        <w:tc>
          <w:tcPr>
            <w:tcW w:w="1553" w:type="dxa"/>
          </w:tcPr>
          <w:p>
            <w:pPr>
              <w:pStyle w:val="CeldaAPA"/>
              <w:jc w:val="center"/>
            </w:pPr>
            <w:r>
              <w:rPr/>
              <w:t xml:space="preserve">270,2</w:t>
            </w:r>
          </w:p>
        </w:tc>
      </w:tr>
      <w:tr>
        <w:tc>
          <w:tcPr>
            <w:tcW w:w="666" w:type="dxa"/>
          </w:tcPr>
          <w:p>
            <w:pPr>
              <w:pStyle w:val="CeldaAPA"/>
              <w:jc w:val="center"/>
            </w:pPr>
            <w:r>
              <w:rPr/>
              <w:t xml:space="preserve">2</w:t>
            </w:r>
          </w:p>
        </w:tc>
        <w:tc>
          <w:tcPr>
            <w:tcW w:w="1369" w:type="dxa"/>
          </w:tcPr>
          <w:p>
            <w:pPr>
              <w:pStyle w:val="CeldaAPA"/>
              <w:jc w:val="left"/>
            </w:pPr>
            <w:r>
              <w:rPr/>
              <w:t xml:space="preserve">Columna</w:t>
            </w:r>
          </w:p>
        </w:tc>
        <w:tc>
          <w:tcPr>
            <w:tcW w:w="1545" w:type="dxa"/>
          </w:tcPr>
          <w:p>
            <w:pPr>
              <w:pStyle w:val="CeldaAPA"/>
              <w:jc w:val="center"/>
            </w:pPr>
            <w:r>
              <w:rPr/>
              <w:t xml:space="preserve">02/10/2025</w:t>
            </w:r>
          </w:p>
        </w:tc>
        <w:tc>
          <w:tcPr>
            <w:tcW w:w="1005" w:type="dxa"/>
          </w:tcPr>
          <w:p>
            <w:pPr>
              <w:pStyle w:val="CeldaAPA"/>
              <w:jc w:val="center"/>
            </w:pPr>
            <w:r>
              <w:rPr/>
              <w:t xml:space="preserve">64</w:t>
            </w:r>
          </w:p>
        </w:tc>
        <w:tc>
          <w:tcPr>
            <w:tcW w:w="961" w:type="dxa"/>
          </w:tcPr>
          <w:p>
            <w:pPr>
              <w:pStyle w:val="CeldaAPA"/>
              <w:jc w:val="center"/>
            </w:pPr>
            <w:r>
              <w:rPr/>
              <w:t xml:space="preserve">53.200</w:t>
            </w:r>
          </w:p>
        </w:tc>
        <w:tc>
          <w:tcPr>
            <w:tcW w:w="1553" w:type="dxa"/>
          </w:tcPr>
          <w:p>
            <w:pPr>
              <w:pStyle w:val="CeldaAPA"/>
              <w:jc w:val="center"/>
            </w:pPr>
            <w:r>
              <w:rPr/>
              <w:t xml:space="preserve">291,6</w:t>
            </w:r>
          </w:p>
        </w:tc>
        <w:tc>
          <w:tcPr>
            <w:tcW w:w="1046" w:type="dxa"/>
          </w:tcPr>
          <w:p>
            <w:pPr>
              <w:pStyle w:val="CeldaAPA"/>
              <w:jc w:val="center"/>
            </w:pPr>
            <w:r>
              <w:rPr/>
              <w:t xml:space="preserve">0,879</w:t>
            </w:r>
          </w:p>
        </w:tc>
        <w:tc>
          <w:tcPr>
            <w:tcW w:w="1553" w:type="dxa"/>
          </w:tcPr>
          <w:p>
            <w:pPr>
              <w:pStyle w:val="CeldaAPA"/>
              <w:jc w:val="center"/>
            </w:pPr>
            <w:r>
              <w:rPr/>
              <w:t xml:space="preserve">256,2</w:t>
            </w:r>
          </w:p>
        </w:tc>
      </w:tr>
      <w:tr>
        <w:tc>
          <w:tcPr>
            <w:tcW w:w="666" w:type="dxa"/>
          </w:tcPr>
          <w:p>
            <w:pPr>
              <w:pStyle w:val="CeldaAPA"/>
              <w:jc w:val="center"/>
            </w:pPr>
            <w:r>
              <w:rPr/>
              <w:t xml:space="preserve">3</w:t>
            </w:r>
          </w:p>
        </w:tc>
        <w:tc>
          <w:tcPr>
            <w:tcW w:w="1369" w:type="dxa"/>
          </w:tcPr>
          <w:p>
            <w:pPr>
              <w:pStyle w:val="CeldaAPA"/>
              <w:jc w:val="left"/>
            </w:pPr>
            <w:r>
              <w:rPr/>
              <w:t xml:space="preserve">Columna</w:t>
            </w:r>
          </w:p>
        </w:tc>
        <w:tc>
          <w:tcPr>
            <w:tcW w:w="1545" w:type="dxa"/>
          </w:tcPr>
          <w:p>
            <w:pPr>
              <w:pStyle w:val="CeldaAPA"/>
              <w:jc w:val="center"/>
            </w:pPr>
            <w:r>
              <w:rPr/>
              <w:t xml:space="preserve">02/10/2025</w:t>
            </w:r>
          </w:p>
        </w:tc>
        <w:tc>
          <w:tcPr>
            <w:tcW w:w="1005" w:type="dxa"/>
          </w:tcPr>
          <w:p>
            <w:pPr>
              <w:pStyle w:val="CeldaAPA"/>
              <w:jc w:val="center"/>
            </w:pPr>
            <w:r>
              <w:rPr/>
              <w:t xml:space="preserve">64</w:t>
            </w:r>
          </w:p>
        </w:tc>
        <w:tc>
          <w:tcPr>
            <w:tcW w:w="961" w:type="dxa"/>
          </w:tcPr>
          <w:p>
            <w:pPr>
              <w:pStyle w:val="CeldaAPA"/>
              <w:jc w:val="center"/>
            </w:pPr>
            <w:r>
              <w:rPr/>
              <w:t xml:space="preserve">53.600</w:t>
            </w:r>
          </w:p>
        </w:tc>
        <w:tc>
          <w:tcPr>
            <w:tcW w:w="1553" w:type="dxa"/>
          </w:tcPr>
          <w:p>
            <w:pPr>
              <w:pStyle w:val="CeldaAPA"/>
              <w:jc w:val="center"/>
            </w:pPr>
            <w:r>
              <w:rPr/>
              <w:t xml:space="preserve">293,8</w:t>
            </w:r>
          </w:p>
        </w:tc>
        <w:tc>
          <w:tcPr>
            <w:tcW w:w="1046" w:type="dxa"/>
          </w:tcPr>
          <w:p>
            <w:pPr>
              <w:pStyle w:val="CeldaAPA"/>
              <w:jc w:val="center"/>
            </w:pPr>
            <w:r>
              <w:rPr/>
              <w:t xml:space="preserve">0,879</w:t>
            </w:r>
          </w:p>
        </w:tc>
        <w:tc>
          <w:tcPr>
            <w:tcW w:w="1553" w:type="dxa"/>
          </w:tcPr>
          <w:p>
            <w:pPr>
              <w:pStyle w:val="CeldaAPA"/>
              <w:jc w:val="center"/>
            </w:pPr>
            <w:r>
              <w:rPr/>
              <w:t xml:space="preserve">258,2</w:t>
            </w:r>
          </w:p>
        </w:tc>
      </w:tr>
      <w:tr>
        <w:tc>
          <w:tcPr>
            <w:tcW w:w="666" w:type="dxa"/>
          </w:tcPr>
          <w:p>
            <w:pPr>
              <w:pStyle w:val="CeldaAPA"/>
              <w:jc w:val="center"/>
            </w:pPr>
            <w:r>
              <w:rPr/>
              <w:t xml:space="preserve">4</w:t>
            </w:r>
          </w:p>
        </w:tc>
        <w:tc>
          <w:tcPr>
            <w:tcW w:w="1369" w:type="dxa"/>
          </w:tcPr>
          <w:p>
            <w:pPr>
              <w:pStyle w:val="CeldaAPA"/>
              <w:jc w:val="left"/>
            </w:pPr>
            <w:r>
              <w:rPr/>
              <w:t xml:space="preserve">Columna</w:t>
            </w:r>
          </w:p>
        </w:tc>
        <w:tc>
          <w:tcPr>
            <w:tcW w:w="1545" w:type="dxa"/>
          </w:tcPr>
          <w:p>
            <w:pPr>
              <w:pStyle w:val="CeldaAPA"/>
              <w:jc w:val="center"/>
            </w:pPr>
            <w:r>
              <w:rPr/>
              <w:t xml:space="preserve">04/10/2025</w:t>
            </w:r>
          </w:p>
        </w:tc>
        <w:tc>
          <w:tcPr>
            <w:tcW w:w="1005" w:type="dxa"/>
          </w:tcPr>
          <w:p>
            <w:pPr>
              <w:pStyle w:val="CeldaAPA"/>
              <w:jc w:val="center"/>
            </w:pPr>
            <w:r>
              <w:rPr/>
              <w:t xml:space="preserve">62</w:t>
            </w:r>
          </w:p>
        </w:tc>
        <w:tc>
          <w:tcPr>
            <w:tcW w:w="961" w:type="dxa"/>
          </w:tcPr>
          <w:p>
            <w:pPr>
              <w:pStyle w:val="CeldaAPA"/>
              <w:jc w:val="center"/>
            </w:pPr>
            <w:r>
              <w:rPr/>
              <w:t xml:space="preserve">56.000</w:t>
            </w:r>
          </w:p>
        </w:tc>
        <w:tc>
          <w:tcPr>
            <w:tcW w:w="1553" w:type="dxa"/>
          </w:tcPr>
          <w:p>
            <w:pPr>
              <w:pStyle w:val="CeldaAPA"/>
              <w:jc w:val="center"/>
            </w:pPr>
            <w:r>
              <w:rPr/>
              <w:t xml:space="preserve">307,0</w:t>
            </w:r>
          </w:p>
        </w:tc>
        <w:tc>
          <w:tcPr>
            <w:tcW w:w="1046" w:type="dxa"/>
          </w:tcPr>
          <w:p>
            <w:pPr>
              <w:pStyle w:val="CeldaAPA"/>
              <w:jc w:val="center"/>
            </w:pPr>
            <w:r>
              <w:rPr/>
              <w:t xml:space="preserve">0,882</w:t>
            </w:r>
          </w:p>
        </w:tc>
        <w:tc>
          <w:tcPr>
            <w:tcW w:w="1553" w:type="dxa"/>
          </w:tcPr>
          <w:p>
            <w:pPr>
              <w:pStyle w:val="CeldaAPA"/>
              <w:jc w:val="center"/>
            </w:pPr>
            <w:r>
              <w:rPr/>
              <w:t xml:space="preserve">270,8</w:t>
            </w:r>
          </w:p>
        </w:tc>
      </w:tr>
      <w:tr>
        <w:tc>
          <w:tcPr>
            <w:tcW w:w="666" w:type="dxa"/>
          </w:tcPr>
          <w:p>
            <w:pPr>
              <w:pStyle w:val="CeldaAPA"/>
              <w:jc w:val="center"/>
            </w:pPr>
            <w:r>
              <w:rPr/>
              <w:t xml:space="preserve">5</w:t>
            </w:r>
          </w:p>
        </w:tc>
        <w:tc>
          <w:tcPr>
            <w:tcW w:w="1369" w:type="dxa"/>
          </w:tcPr>
          <w:p>
            <w:pPr>
              <w:pStyle w:val="CeldaAPA"/>
              <w:jc w:val="left"/>
            </w:pPr>
            <w:r>
              <w:rPr/>
              <w:t xml:space="preserve">Columna</w:t>
            </w:r>
          </w:p>
        </w:tc>
        <w:tc>
          <w:tcPr>
            <w:tcW w:w="1545" w:type="dxa"/>
          </w:tcPr>
          <w:p>
            <w:pPr>
              <w:pStyle w:val="CeldaAPA"/>
              <w:jc w:val="center"/>
            </w:pPr>
            <w:r>
              <w:rPr/>
              <w:t xml:space="preserve">04/10/2025</w:t>
            </w:r>
          </w:p>
        </w:tc>
        <w:tc>
          <w:tcPr>
            <w:tcW w:w="1005" w:type="dxa"/>
          </w:tcPr>
          <w:p>
            <w:pPr>
              <w:pStyle w:val="CeldaAPA"/>
              <w:jc w:val="center"/>
            </w:pPr>
            <w:r>
              <w:rPr/>
              <w:t xml:space="preserve">62</w:t>
            </w:r>
          </w:p>
        </w:tc>
        <w:tc>
          <w:tcPr>
            <w:tcW w:w="961" w:type="dxa"/>
          </w:tcPr>
          <w:p>
            <w:pPr>
              <w:pStyle w:val="CeldaAPA"/>
              <w:jc w:val="center"/>
            </w:pPr>
            <w:r>
              <w:rPr/>
              <w:t xml:space="preserve">55.000</w:t>
            </w:r>
          </w:p>
        </w:tc>
        <w:tc>
          <w:tcPr>
            <w:tcW w:w="1553" w:type="dxa"/>
          </w:tcPr>
          <w:p>
            <w:pPr>
              <w:pStyle w:val="CeldaAPA"/>
              <w:jc w:val="center"/>
            </w:pPr>
            <w:r>
              <w:rPr/>
              <w:t xml:space="preserve">301,5</w:t>
            </w:r>
          </w:p>
        </w:tc>
        <w:tc>
          <w:tcPr>
            <w:tcW w:w="1046" w:type="dxa"/>
          </w:tcPr>
          <w:p>
            <w:pPr>
              <w:pStyle w:val="CeldaAPA"/>
              <w:jc w:val="center"/>
            </w:pPr>
            <w:r>
              <w:rPr/>
              <w:t xml:space="preserve">0,882</w:t>
            </w:r>
          </w:p>
        </w:tc>
        <w:tc>
          <w:tcPr>
            <w:tcW w:w="1553" w:type="dxa"/>
          </w:tcPr>
          <w:p>
            <w:pPr>
              <w:pStyle w:val="CeldaAPA"/>
              <w:jc w:val="center"/>
            </w:pPr>
            <w:r>
              <w:rPr/>
              <w:t xml:space="preserve">266,0</w:t>
            </w:r>
          </w:p>
        </w:tc>
      </w:tr>
      <w:tr>
        <w:tc>
          <w:tcPr>
            <w:tcW w:w="666" w:type="dxa"/>
          </w:tcPr>
          <w:p>
            <w:pPr>
              <w:pStyle w:val="CeldaAPA"/>
              <w:jc w:val="center"/>
            </w:pPr>
            <w:r>
              <w:rPr/>
              <w:t xml:space="preserve">6</w:t>
            </w:r>
          </w:p>
        </w:tc>
        <w:tc>
          <w:tcPr>
            <w:tcW w:w="1369" w:type="dxa"/>
          </w:tcPr>
          <w:p>
            <w:pPr>
              <w:pStyle w:val="CeldaAPA"/>
              <w:jc w:val="left"/>
            </w:pPr>
            <w:r>
              <w:rPr/>
              <w:t xml:space="preserve">Columna</w:t>
            </w:r>
          </w:p>
        </w:tc>
        <w:tc>
          <w:tcPr>
            <w:tcW w:w="1545" w:type="dxa"/>
          </w:tcPr>
          <w:p>
            <w:pPr>
              <w:pStyle w:val="CeldaAPA"/>
              <w:jc w:val="center"/>
            </w:pPr>
            <w:r>
              <w:rPr/>
              <w:t xml:space="preserve">08/10/2025</w:t>
            </w:r>
          </w:p>
        </w:tc>
        <w:tc>
          <w:tcPr>
            <w:tcW w:w="1005" w:type="dxa"/>
          </w:tcPr>
          <w:p>
            <w:pPr>
              <w:pStyle w:val="CeldaAPA"/>
              <w:jc w:val="center"/>
            </w:pPr>
            <w:r>
              <w:rPr/>
              <w:t xml:space="preserve">58</w:t>
            </w:r>
          </w:p>
        </w:tc>
        <w:tc>
          <w:tcPr>
            <w:tcW w:w="961" w:type="dxa"/>
          </w:tcPr>
          <w:p>
            <w:pPr>
              <w:pStyle w:val="CeldaAPA"/>
              <w:jc w:val="center"/>
            </w:pPr>
            <w:r>
              <w:rPr/>
              <w:t xml:space="preserve">59.000</w:t>
            </w:r>
          </w:p>
        </w:tc>
        <w:tc>
          <w:tcPr>
            <w:tcW w:w="1553" w:type="dxa"/>
          </w:tcPr>
          <w:p>
            <w:pPr>
              <w:pStyle w:val="CeldaAPA"/>
              <w:jc w:val="center"/>
            </w:pPr>
            <w:r>
              <w:rPr/>
              <w:t xml:space="preserve">323,4</w:t>
            </w:r>
          </w:p>
        </w:tc>
        <w:tc>
          <w:tcPr>
            <w:tcW w:w="1046" w:type="dxa"/>
          </w:tcPr>
          <w:p>
            <w:pPr>
              <w:pStyle w:val="CeldaAPA"/>
              <w:jc w:val="center"/>
            </w:pPr>
            <w:r>
              <w:rPr/>
              <w:t xml:space="preserve">0,890</w:t>
            </w:r>
          </w:p>
        </w:tc>
        <w:tc>
          <w:tcPr>
            <w:tcW w:w="1553" w:type="dxa"/>
          </w:tcPr>
          <w:p>
            <w:pPr>
              <w:pStyle w:val="CeldaAPA"/>
              <w:jc w:val="center"/>
            </w:pPr>
            <w:r>
              <w:rPr/>
              <w:t xml:space="preserve">287,8</w:t>
            </w:r>
          </w:p>
        </w:tc>
      </w:tr>
      <w:tr>
        <w:tc>
          <w:tcPr>
            <w:tcW w:w="666" w:type="dxa"/>
          </w:tcPr>
          <w:p>
            <w:pPr>
              <w:pStyle w:val="CeldaAPA"/>
              <w:jc w:val="center"/>
            </w:pPr>
            <w:r>
              <w:rPr/>
              <w:t xml:space="preserve">7</w:t>
            </w:r>
          </w:p>
        </w:tc>
        <w:tc>
          <w:tcPr>
            <w:tcW w:w="1369" w:type="dxa"/>
          </w:tcPr>
          <w:p>
            <w:pPr>
              <w:pStyle w:val="CeldaAPA"/>
              <w:jc w:val="left"/>
            </w:pPr>
            <w:r>
              <w:rPr/>
              <w:t xml:space="preserve">Columna</w:t>
            </w:r>
          </w:p>
        </w:tc>
        <w:tc>
          <w:tcPr>
            <w:tcW w:w="1545" w:type="dxa"/>
          </w:tcPr>
          <w:p>
            <w:pPr>
              <w:pStyle w:val="CeldaAPA"/>
              <w:jc w:val="center"/>
            </w:pPr>
            <w:r>
              <w:rPr/>
              <w:t xml:space="preserve">08/10/2025</w:t>
            </w:r>
          </w:p>
        </w:tc>
        <w:tc>
          <w:tcPr>
            <w:tcW w:w="1005" w:type="dxa"/>
          </w:tcPr>
          <w:p>
            <w:pPr>
              <w:pStyle w:val="CeldaAPA"/>
              <w:jc w:val="center"/>
            </w:pPr>
            <w:r>
              <w:rPr/>
              <w:t xml:space="preserve">58</w:t>
            </w:r>
          </w:p>
        </w:tc>
        <w:tc>
          <w:tcPr>
            <w:tcW w:w="961" w:type="dxa"/>
          </w:tcPr>
          <w:p>
            <w:pPr>
              <w:pStyle w:val="CeldaAPA"/>
              <w:jc w:val="center"/>
            </w:pPr>
            <w:r>
              <w:rPr/>
              <w:t xml:space="preserve">52.000</w:t>
            </w:r>
          </w:p>
        </w:tc>
        <w:tc>
          <w:tcPr>
            <w:tcW w:w="1553" w:type="dxa"/>
          </w:tcPr>
          <w:p>
            <w:pPr>
              <w:pStyle w:val="CeldaAPA"/>
              <w:jc w:val="center"/>
            </w:pPr>
            <w:r>
              <w:rPr/>
              <w:t xml:space="preserve">285,1</w:t>
            </w:r>
          </w:p>
        </w:tc>
        <w:tc>
          <w:tcPr>
            <w:tcW w:w="1046" w:type="dxa"/>
          </w:tcPr>
          <w:p>
            <w:pPr>
              <w:pStyle w:val="CeldaAPA"/>
              <w:jc w:val="center"/>
            </w:pPr>
            <w:r>
              <w:rPr/>
              <w:t xml:space="preserve">0,890</w:t>
            </w:r>
          </w:p>
        </w:tc>
        <w:tc>
          <w:tcPr>
            <w:tcW w:w="1553" w:type="dxa"/>
          </w:tcPr>
          <w:p>
            <w:pPr>
              <w:pStyle w:val="CeldaAPA"/>
              <w:jc w:val="center"/>
            </w:pPr>
            <w:r>
              <w:rPr/>
              <w:t xml:space="preserve">253,6</w:t>
            </w:r>
          </w:p>
        </w:tc>
      </w:tr>
      <w:tr>
        <w:tc>
          <w:tcPr>
            <w:tcW w:w="666" w:type="dxa"/>
          </w:tcPr>
          <w:p>
            <w:pPr>
              <w:pStyle w:val="CeldaAPA"/>
              <w:jc w:val="center"/>
            </w:pPr>
            <w:r>
              <w:rPr/>
              <w:t xml:space="preserve">8</w:t>
            </w:r>
          </w:p>
        </w:tc>
        <w:tc>
          <w:tcPr>
            <w:tcW w:w="1369" w:type="dxa"/>
          </w:tcPr>
          <w:p>
            <w:pPr>
              <w:pStyle w:val="CeldaAPA"/>
              <w:jc w:val="left"/>
            </w:pPr>
            <w:r>
              <w:rPr/>
              <w:t xml:space="preserve">Columna</w:t>
            </w:r>
          </w:p>
        </w:tc>
        <w:tc>
          <w:tcPr>
            <w:tcW w:w="1545" w:type="dxa"/>
          </w:tcPr>
          <w:p>
            <w:pPr>
              <w:pStyle w:val="CeldaAPA"/>
              <w:jc w:val="center"/>
            </w:pPr>
            <w:r>
              <w:rPr/>
              <w:t xml:space="preserve">11/10/2025</w:t>
            </w:r>
          </w:p>
        </w:tc>
        <w:tc>
          <w:tcPr>
            <w:tcW w:w="1005" w:type="dxa"/>
          </w:tcPr>
          <w:p>
            <w:pPr>
              <w:pStyle w:val="CeldaAPA"/>
              <w:jc w:val="center"/>
            </w:pPr>
            <w:r>
              <w:rPr/>
              <w:t xml:space="preserve">55</w:t>
            </w:r>
          </w:p>
        </w:tc>
        <w:tc>
          <w:tcPr>
            <w:tcW w:w="961" w:type="dxa"/>
          </w:tcPr>
          <w:p>
            <w:pPr>
              <w:pStyle w:val="CeldaAPA"/>
              <w:jc w:val="center"/>
            </w:pPr>
            <w:r>
              <w:rPr/>
              <w:t xml:space="preserve">54.000</w:t>
            </w:r>
          </w:p>
        </w:tc>
        <w:tc>
          <w:tcPr>
            <w:tcW w:w="1553" w:type="dxa"/>
          </w:tcPr>
          <w:p>
            <w:pPr>
              <w:pStyle w:val="CeldaAPA"/>
              <w:jc w:val="center"/>
            </w:pPr>
            <w:r>
              <w:rPr/>
              <w:t xml:space="preserve">296,0</w:t>
            </w:r>
          </w:p>
        </w:tc>
        <w:tc>
          <w:tcPr>
            <w:tcW w:w="1046" w:type="dxa"/>
          </w:tcPr>
          <w:p>
            <w:pPr>
              <w:pStyle w:val="CeldaAPA"/>
              <w:jc w:val="center"/>
            </w:pPr>
            <w:r>
              <w:rPr/>
              <w:t xml:space="preserve">0,896</w:t>
            </w:r>
          </w:p>
        </w:tc>
        <w:tc>
          <w:tcPr>
            <w:tcW w:w="1553" w:type="dxa"/>
          </w:tcPr>
          <w:p>
            <w:pPr>
              <w:pStyle w:val="CeldaAPA"/>
              <w:jc w:val="center"/>
            </w:pPr>
            <w:r>
              <w:rPr/>
              <w:t xml:space="preserve">265,3</w:t>
            </w:r>
          </w:p>
        </w:tc>
      </w:tr>
      <w:tr>
        <w:tc>
          <w:tcPr>
            <w:tcW w:w="666" w:type="dxa"/>
          </w:tcPr>
          <w:p>
            <w:pPr>
              <w:pStyle w:val="CeldaAPA"/>
              <w:jc w:val="center"/>
            </w:pPr>
            <w:r>
              <w:rPr/>
              <w:t xml:space="preserve">9</w:t>
            </w:r>
          </w:p>
        </w:tc>
        <w:tc>
          <w:tcPr>
            <w:tcW w:w="1369" w:type="dxa"/>
          </w:tcPr>
          <w:p>
            <w:pPr>
              <w:pStyle w:val="CeldaAPA"/>
              <w:jc w:val="left"/>
            </w:pPr>
            <w:r>
              <w:rPr/>
              <w:t xml:space="preserve">Columna</w:t>
            </w:r>
          </w:p>
        </w:tc>
        <w:tc>
          <w:tcPr>
            <w:tcW w:w="1545" w:type="dxa"/>
          </w:tcPr>
          <w:p>
            <w:pPr>
              <w:pStyle w:val="CeldaAPA"/>
              <w:jc w:val="center"/>
            </w:pPr>
            <w:r>
              <w:rPr/>
              <w:t xml:space="preserve">11/10/2025</w:t>
            </w:r>
          </w:p>
        </w:tc>
        <w:tc>
          <w:tcPr>
            <w:tcW w:w="1005" w:type="dxa"/>
          </w:tcPr>
          <w:p>
            <w:pPr>
              <w:pStyle w:val="CeldaAPA"/>
              <w:jc w:val="center"/>
            </w:pPr>
            <w:r>
              <w:rPr/>
              <w:t xml:space="preserve">55</w:t>
            </w:r>
          </w:p>
        </w:tc>
        <w:tc>
          <w:tcPr>
            <w:tcW w:w="961" w:type="dxa"/>
          </w:tcPr>
          <w:p>
            <w:pPr>
              <w:pStyle w:val="CeldaAPA"/>
              <w:jc w:val="center"/>
            </w:pPr>
            <w:r>
              <w:rPr/>
              <w:t xml:space="preserve">55.000</w:t>
            </w:r>
          </w:p>
        </w:tc>
        <w:tc>
          <w:tcPr>
            <w:tcW w:w="1553" w:type="dxa"/>
          </w:tcPr>
          <w:p>
            <w:pPr>
              <w:pStyle w:val="CeldaAPA"/>
              <w:jc w:val="center"/>
            </w:pPr>
            <w:r>
              <w:rPr/>
              <w:t xml:space="preserve">301,5</w:t>
            </w:r>
          </w:p>
        </w:tc>
        <w:tc>
          <w:tcPr>
            <w:tcW w:w="1046" w:type="dxa"/>
          </w:tcPr>
          <w:p>
            <w:pPr>
              <w:pStyle w:val="CeldaAPA"/>
              <w:jc w:val="center"/>
            </w:pPr>
            <w:r>
              <w:rPr/>
              <w:t xml:space="preserve">0,896</w:t>
            </w:r>
          </w:p>
        </w:tc>
        <w:tc>
          <w:tcPr>
            <w:tcW w:w="1553" w:type="dxa"/>
          </w:tcPr>
          <w:p>
            <w:pPr>
              <w:pStyle w:val="CeldaAPA"/>
              <w:jc w:val="center"/>
            </w:pPr>
            <w:r>
              <w:rPr/>
              <w:t xml:space="preserve">270,2</w:t>
            </w:r>
          </w:p>
        </w:tc>
      </w:tr>
      <w:tr>
        <w:tc>
          <w:tcPr>
            <w:tcW w:w="666" w:type="dxa"/>
          </w:tcPr>
          <w:p>
            <w:pPr>
              <w:pStyle w:val="CeldaAPA"/>
              <w:jc w:val="center"/>
            </w:pPr>
            <w:r>
              <w:rPr/>
              <w:t xml:space="preserve">10</w:t>
            </w:r>
          </w:p>
        </w:tc>
        <w:tc>
          <w:tcPr>
            <w:tcW w:w="1369" w:type="dxa"/>
          </w:tcPr>
          <w:p>
            <w:pPr>
              <w:pStyle w:val="CeldaAPA"/>
              <w:jc w:val="left"/>
            </w:pPr>
            <w:r>
              <w:rPr/>
              <w:t xml:space="preserve">Columna</w:t>
            </w:r>
          </w:p>
        </w:tc>
        <w:tc>
          <w:tcPr>
            <w:tcW w:w="1545" w:type="dxa"/>
          </w:tcPr>
          <w:p>
            <w:pPr>
              <w:pStyle w:val="CeldaAPA"/>
              <w:jc w:val="center"/>
            </w:pPr>
            <w:r>
              <w:rPr/>
              <w:t xml:space="preserve">20/09/2025</w:t>
            </w:r>
          </w:p>
        </w:tc>
        <w:tc>
          <w:tcPr>
            <w:tcW w:w="1005" w:type="dxa"/>
          </w:tcPr>
          <w:p>
            <w:pPr>
              <w:pStyle w:val="CeldaAPA"/>
              <w:jc w:val="center"/>
            </w:pPr>
            <w:r>
              <w:rPr/>
              <w:t xml:space="preserve">76</w:t>
            </w:r>
          </w:p>
        </w:tc>
        <w:tc>
          <w:tcPr>
            <w:tcW w:w="961" w:type="dxa"/>
          </w:tcPr>
          <w:p>
            <w:pPr>
              <w:pStyle w:val="CeldaAPA"/>
              <w:jc w:val="center"/>
            </w:pPr>
            <w:r>
              <w:rPr/>
              <w:t xml:space="preserve">58.000</w:t>
            </w:r>
          </w:p>
        </w:tc>
        <w:tc>
          <w:tcPr>
            <w:tcW w:w="1553" w:type="dxa"/>
          </w:tcPr>
          <w:p>
            <w:pPr>
              <w:pStyle w:val="CeldaAPA"/>
              <w:jc w:val="center"/>
            </w:pPr>
            <w:r>
              <w:rPr/>
              <w:t xml:space="preserve">318,0</w:t>
            </w:r>
          </w:p>
        </w:tc>
        <w:tc>
          <w:tcPr>
            <w:tcW w:w="1046" w:type="dxa"/>
          </w:tcPr>
          <w:p>
            <w:pPr>
              <w:pStyle w:val="CeldaAPA"/>
              <w:jc w:val="center"/>
            </w:pPr>
            <w:r>
              <w:rPr/>
              <w:t xml:space="preserve">0,861</w:t>
            </w:r>
          </w:p>
        </w:tc>
        <w:tc>
          <w:tcPr>
            <w:tcW w:w="1553" w:type="dxa"/>
          </w:tcPr>
          <w:p>
            <w:pPr>
              <w:pStyle w:val="CeldaAPA"/>
              <w:jc w:val="center"/>
            </w:pPr>
            <w:r>
              <w:rPr/>
              <w:t xml:space="preserve">273,7</w:t>
            </w:r>
          </w:p>
        </w:tc>
      </w:tr>
      <w:tr>
        <w:tc>
          <w:tcPr>
            <w:tcW w:w="666" w:type="dxa"/>
          </w:tcPr>
          <w:p>
            <w:pPr>
              <w:pStyle w:val="CeldaAPA"/>
              <w:jc w:val="center"/>
            </w:pPr>
            <w:r>
              <w:rPr/>
              <w:t xml:space="preserve">11</w:t>
            </w:r>
          </w:p>
        </w:tc>
        <w:tc>
          <w:tcPr>
            <w:tcW w:w="1369" w:type="dxa"/>
          </w:tcPr>
          <w:p>
            <w:pPr>
              <w:pStyle w:val="CeldaAPA"/>
              <w:jc w:val="left"/>
            </w:pPr>
            <w:r>
              <w:rPr/>
              <w:t xml:space="preserve">Viga</w:t>
            </w:r>
          </w:p>
        </w:tc>
        <w:tc>
          <w:tcPr>
            <w:tcW w:w="1545" w:type="dxa"/>
          </w:tcPr>
          <w:p>
            <w:pPr>
              <w:pStyle w:val="CeldaAPA"/>
              <w:jc w:val="center"/>
            </w:pPr>
            <w:r>
              <w:rPr/>
              <w:t xml:space="preserve">20/09/2025</w:t>
            </w:r>
          </w:p>
        </w:tc>
        <w:tc>
          <w:tcPr>
            <w:tcW w:w="1005" w:type="dxa"/>
          </w:tcPr>
          <w:p>
            <w:pPr>
              <w:pStyle w:val="CeldaAPA"/>
              <w:jc w:val="center"/>
            </w:pPr>
            <w:r>
              <w:rPr/>
              <w:t xml:space="preserve">76</w:t>
            </w:r>
          </w:p>
        </w:tc>
        <w:tc>
          <w:tcPr>
            <w:tcW w:w="961" w:type="dxa"/>
          </w:tcPr>
          <w:p>
            <w:pPr>
              <w:pStyle w:val="CeldaAPA"/>
              <w:jc w:val="center"/>
            </w:pPr>
            <w:r>
              <w:rPr/>
              <w:t xml:space="preserve">55.400</w:t>
            </w:r>
          </w:p>
        </w:tc>
        <w:tc>
          <w:tcPr>
            <w:tcW w:w="1553" w:type="dxa"/>
          </w:tcPr>
          <w:p>
            <w:pPr>
              <w:pStyle w:val="CeldaAPA"/>
              <w:jc w:val="center"/>
            </w:pPr>
            <w:r>
              <w:rPr/>
              <w:t xml:space="preserve">303,7</w:t>
            </w:r>
          </w:p>
        </w:tc>
        <w:tc>
          <w:tcPr>
            <w:tcW w:w="1046" w:type="dxa"/>
          </w:tcPr>
          <w:p>
            <w:pPr>
              <w:pStyle w:val="CeldaAPA"/>
              <w:jc w:val="center"/>
            </w:pPr>
            <w:r>
              <w:rPr/>
              <w:t xml:space="preserve">0,861</w:t>
            </w:r>
          </w:p>
        </w:tc>
        <w:tc>
          <w:tcPr>
            <w:tcW w:w="1553" w:type="dxa"/>
          </w:tcPr>
          <w:p>
            <w:pPr>
              <w:pStyle w:val="CeldaAPA"/>
              <w:jc w:val="center"/>
            </w:pPr>
            <w:r>
              <w:rPr/>
              <w:t xml:space="preserve">261,4</w:t>
            </w:r>
          </w:p>
        </w:tc>
      </w:tr>
      <w:tr>
        <w:tc>
          <w:tcPr>
            <w:tcW w:w="666" w:type="dxa"/>
          </w:tcPr>
          <w:p>
            <w:pPr>
              <w:pStyle w:val="CeldaAPA"/>
              <w:jc w:val="center"/>
            </w:pPr>
            <w:r>
              <w:rPr/>
              <w:t xml:space="preserve">12</w:t>
            </w:r>
          </w:p>
        </w:tc>
        <w:tc>
          <w:tcPr>
            <w:tcW w:w="1369" w:type="dxa"/>
          </w:tcPr>
          <w:p>
            <w:pPr>
              <w:pStyle w:val="CeldaAPA"/>
              <w:jc w:val="left"/>
            </w:pPr>
            <w:r>
              <w:rPr/>
              <w:t xml:space="preserve">Viga</w:t>
            </w:r>
          </w:p>
        </w:tc>
        <w:tc>
          <w:tcPr>
            <w:tcW w:w="1545" w:type="dxa"/>
          </w:tcPr>
          <w:p>
            <w:pPr>
              <w:pStyle w:val="CeldaAPA"/>
              <w:jc w:val="center"/>
            </w:pPr>
            <w:r>
              <w:rPr/>
              <w:t xml:space="preserve">20/09/2025</w:t>
            </w:r>
          </w:p>
        </w:tc>
        <w:tc>
          <w:tcPr>
            <w:tcW w:w="1005" w:type="dxa"/>
          </w:tcPr>
          <w:p>
            <w:pPr>
              <w:pStyle w:val="CeldaAPA"/>
              <w:jc w:val="center"/>
            </w:pPr>
            <w:r>
              <w:rPr/>
              <w:t xml:space="preserve">76</w:t>
            </w:r>
          </w:p>
        </w:tc>
        <w:tc>
          <w:tcPr>
            <w:tcW w:w="961" w:type="dxa"/>
          </w:tcPr>
          <w:p>
            <w:pPr>
              <w:pStyle w:val="CeldaAPA"/>
              <w:jc w:val="center"/>
            </w:pPr>
            <w:r>
              <w:rPr/>
              <w:t xml:space="preserve">53.400</w:t>
            </w:r>
          </w:p>
        </w:tc>
        <w:tc>
          <w:tcPr>
            <w:tcW w:w="1553" w:type="dxa"/>
          </w:tcPr>
          <w:p>
            <w:pPr>
              <w:pStyle w:val="CeldaAPA"/>
              <w:jc w:val="center"/>
            </w:pPr>
            <w:r>
              <w:rPr/>
              <w:t xml:space="preserve">292,7</w:t>
            </w:r>
          </w:p>
        </w:tc>
        <w:tc>
          <w:tcPr>
            <w:tcW w:w="1046" w:type="dxa"/>
          </w:tcPr>
          <w:p>
            <w:pPr>
              <w:pStyle w:val="CeldaAPA"/>
              <w:jc w:val="center"/>
            </w:pPr>
            <w:r>
              <w:rPr/>
              <w:t xml:space="preserve">0,861</w:t>
            </w:r>
          </w:p>
        </w:tc>
        <w:tc>
          <w:tcPr>
            <w:tcW w:w="1553" w:type="dxa"/>
          </w:tcPr>
          <w:p>
            <w:pPr>
              <w:pStyle w:val="CeldaAPA"/>
              <w:jc w:val="center"/>
            </w:pPr>
            <w:r>
              <w:rPr/>
              <w:t xml:space="preserve">252,0</w:t>
            </w:r>
          </w:p>
        </w:tc>
      </w:tr>
      <w:tr>
        <w:tc>
          <w:tcPr>
            <w:tcW w:w="8145" w:type="dxa"/>
            <w:gridSpan w:val="7"/>
            <w:tcBorders>
              <w:top w:val="single" w:sz="4" w:space="0" w:color="000000"/>
            </w:tcBorders>
          </w:tcPr>
          <w:p>
            <w:pPr>
              <w:pStyle w:val="CeldaAPA"/>
              <w:jc w:val="left"/>
            </w:pPr>
            <w:r>
              <w:rPr/>
              <w:t xml:space="preserve">Columnas (</w:t>
            </w:r>
            <m:oMath>
              <m:r>
                <m:t>n</m:t>
              </m:r>
              <m:r>
                <m:rPr>
                  <m:sty m:val="p"/>
                </m:rPr>
                <m:t>=</m:t>
              </m:r>
              <m:r>
                <m:t>10</m:t>
              </m:r>
            </m:oMath>
            <w:r>
              <w:rPr/>
              <w:t xml:space="preserve">): media 267,2; desviación estándar 9,9; CV 3,7 %</w:t>
            </w:r>
          </w:p>
        </w:tc>
        <w:tc>
          <w:tcPr>
            <w:tcW w:w="1553" w:type="dxa"/>
            <w:tcBorders>
              <w:top w:val="single" w:sz="4" w:space="0" w:color="000000"/>
            </w:tcBorders>
          </w:tcPr>
          <w:p>
            <w:pPr>
              <w:pStyle w:val="CeldaAPA"/>
              <w:jc w:val="center"/>
            </w:pPr>
            <w:r>
              <w:rPr/>
              <w:t xml:space="preserve">253,6 – 287,8</w:t>
            </w:r>
          </w:p>
        </w:tc>
      </w:tr>
      <w:tr>
        <w:tc>
          <w:tcPr>
            <w:tcW w:w="8145" w:type="dxa"/>
            <w:gridSpan w:val="7"/>
          </w:tcPr>
          <w:p>
            <w:pPr>
              <w:pStyle w:val="CeldaAPA"/>
              <w:jc w:val="left"/>
            </w:pPr>
            <w:r>
              <w:rPr/>
              <w:t xml:space="preserve">Vigas (</w:t>
            </w:r>
            <m:oMath>
              <m:r>
                <m:t>n</m:t>
              </m:r>
              <m:r>
                <m:rPr>
                  <m:sty m:val="p"/>
                </m:rPr>
                <m:t>=</m:t>
              </m:r>
              <m:r>
                <m:t>2</m:t>
              </m:r>
            </m:oMath>
            <w:r>
              <w:rPr/>
              <w:t xml:space="preserve">): media 256,7; desviación estándar 6,6; CV 2,6 %</w:t>
            </w:r>
          </w:p>
        </w:tc>
        <w:tc>
          <w:tcPr>
            <w:tcW w:w="1553" w:type="dxa"/>
          </w:tcPr>
          <w:p>
            <w:pPr>
              <w:pStyle w:val="CeldaAPA"/>
              <w:jc w:val="center"/>
            </w:pPr>
            <w:r>
              <w:rPr/>
              <w:t xml:space="preserve">252,0 – 261,4</w:t>
            </w:r>
          </w:p>
        </w:tc>
      </w:tr>
      <w:tr>
        <w:tc>
          <w:tcPr>
            <w:tcW w:w="8145" w:type="dxa"/>
            <w:gridSpan w:val="7"/>
            <w:tcBorders>
              <w:bottom w:val="single" w:sz="8" w:space="0" w:color="000000"/>
            </w:tcBorders>
          </w:tcPr>
          <w:p>
            <w:pPr>
              <w:pStyle w:val="CeldaAPA"/>
              <w:jc w:val="left"/>
            </w:pPr>
            <w:r>
              <w:rPr/>
              <w:t xml:space="preserve">Losa alivianada</w:t>
            </w:r>
          </w:p>
        </w:tc>
        <w:tc>
          <w:tcPr>
            <w:tcW w:w="1553" w:type="dxa"/>
            <w:tcBorders>
              <w:bottom w:val="single" w:sz="8" w:space="0" w:color="000000"/>
            </w:tcBorders>
          </w:tcPr>
          <w:p>
            <w:pPr>
              <w:pStyle w:val="CeldaAPA"/>
              <w:jc w:val="center"/>
            </w:pPr>
            <w:r>
              <w:rPr/>
              <w:t xml:space="preserve">sin ensayos</w:t>
            </w:r>
          </w:p>
        </w:tc>
      </w:tr>
    </w:tbl>
    <w:p>
      <w:pPr>
        <w:pStyle w:val="NotaAPA"/>
      </w:pPr>
      <w:r>
        <w:rPr>
          <w:iCs/>
          <w:i/>
        </w:rPr>
        <w:t xml:space="preserve">Nota.</w:t>
      </w:r>
      <w:r>
        <w:t xml:space="preserve"> </w:t>
      </w:r>
      <w:r>
        <w:t xml:space="preserve">Transcrito del certificado del Laboratorio de Resistencia de Materiales y Tecnología del Hormigón de la Carrera de Ingeniería Civil de la UATF</w:t>
      </w:r>
      <w:r>
        <w:t xml:space="preserve"> </w:t>
      </w:r>
      <w:r>
        <w:t xml:space="preserve">(Laboratorio de Resistencia de Materiales y Tecnología del Hormigón, 2025)</w:t>
      </w:r>
      <w:r>
        <w:t xml:space="preserve">, adjunto a la Planilla de avance N.</w:t>
      </w:r>
      <w:r>
        <w:rPr>
          <w:vertAlign w:val="superscript"/>
        </w:rPr>
        <w:t xml:space="preserve">o</w:t>
      </w:r>
      <w:r>
        <w:t xml:space="preserve"> 2</w:t>
      </w:r>
      <w:r>
        <w:t xml:space="preserve"> </w:t>
      </w:r>
      <w:r>
        <w:t xml:space="preserve">(UATF, 2025, p. 78)</w:t>
      </w:r>
      <w:r>
        <w:t xml:space="preserve">. El certificado no tiene columna de fecha de ensayo; la fecha de la probeta más la edad coincide con el 05/12/2025 en las 12 filas. Estadísticos: cálculo propio. CV: coeficiente de variación.</w:t>
      </w:r>
    </w:p>
    <w:p>
      <w:pPr>
        <w:pStyle w:val="BodyText"/>
      </w:pPr>
      <w:r>
        <w:t xml:space="preserve">Los valores proyectados superan f’c = 250 kg/cm</w:t>
      </w:r>
      <w:r>
        <w:rPr>
          <w:vertAlign w:val="superscript"/>
        </w:rPr>
        <w:t xml:space="preserve">2</w:t>
      </w:r>
      <w:r>
        <w:t xml:space="preserve">, pero el control presenta cinco debilidades:</w:t>
      </w:r>
      <w:r>
        <w:t xml:space="preserve"> </w:t>
      </w:r>
      <w:r>
        <w:t xml:space="preserve">(i) no hay probetas de la losa alivianada, aunque el criterio de superficie de ACI 318-25 exige al menos una muestra por cada</w:t>
      </w:r>
      <w:r>
        <w:t xml:space="preserve"> </w:t>
      </w:r>
      <m:oMath>
        <m:r>
          <m:rPr>
            <m:sty m:val="p"/>
          </m:rPr>
          <m:t>≈</m:t>
        </m:r>
      </m:oMath>
      <w:r>
        <w:t xml:space="preserve"> 464,5 m</w:t>
      </w:r>
      <w:r>
        <w:rPr>
          <w:vertAlign w:val="superscript"/>
        </w:rPr>
        <w:t xml:space="preserve">2</w:t>
      </w:r>
      <w:r>
        <w:t xml:space="preserve"> </w:t>
      </w:r>
      <w:r>
        <w:t xml:space="preserve">de losa, es decir, al menos tres muestras para la primera losa</w:t>
      </w:r>
      <w:r>
        <w:t xml:space="preserve"> </w:t>
      </w:r>
      <w:r>
        <w:t xml:space="preserve">(ACI Committee 318, 2025, Sección 26.12.2.1, p. 603)</w:t>
      </w:r>
      <w:r>
        <w:t xml:space="preserve">; (ii) las probetas no se ensayaron a la edad especificada de 28 días, sino a 55–76 días, y se convirtieron con un factor de tiempo cuyo origen no se declara; (iii) las elaboró la propia contratista, sin muestreo independiente ni planilla de muestreo, cuando la norma exige que los ensayos del hormigón fresco y la elaboración de probetas estén a cargo de técnicos certificados</w:t>
      </w:r>
      <w:r>
        <w:t xml:space="preserve"> </w:t>
      </w:r>
      <w:r>
        <w:t xml:space="preserve">(ACI Committee 318, 2025, Sección 26.12.1.1, p. 602)</w:t>
      </w:r>
      <w:r>
        <w:t xml:space="preserve">; (iv) el certificado no identifica la muestra ni la amasada de cada probeta, de modo que no pueden formarse «ensayos de resistencia» como promedio de dos probetas de una misma muestra</w:t>
      </w:r>
      <w:r>
        <w:t xml:space="preserve"> </w:t>
      </w:r>
      <w:r>
        <w:t xml:space="preserve">(ACI Committee 318, 2025, Sección 26.12.1.1, p. 601)</w:t>
      </w:r>
      <w:r>
        <w:t xml:space="preserve">; y (v) cuatro de los doce valores están por debajo de 260 kg/cm</w:t>
      </w:r>
      <w:r>
        <w:rPr>
          <w:vertAlign w:val="superscript"/>
        </w:rPr>
        <w:t xml:space="preserve">2</w:t>
      </w:r>
      <w:r>
        <w:t xml:space="preserve">, con poco margen sobre la resistencia especificada.</w:t>
      </w:r>
      <w:r>
        <w:t xml:space="preserve"> </w:t>
      </w:r>
      <w:r>
        <w:t xml:space="preserve">Además, la primera losa se certificó para pago el 8 de diciembre de 2025</w:t>
      </w:r>
      <w:r>
        <w:t xml:space="preserve"> </w:t>
      </w:r>
      <w:r>
        <w:t xml:space="preserve">(UATF, 2025, p. 16)</w:t>
      </w:r>
      <w:r>
        <w:t xml:space="preserve">, antes del 26 de diciembre, primera fecha en que su hormigón, vaciado después de la autorización del 28 de noviembre, podía cumplir 28 días (cálculo propio). En la documentación revisada no constan ensayos posteriores del hormigón de la losa.</w:t>
      </w:r>
    </w:p>
    <w:p>
      <w:pPr>
        <w:pStyle w:val="Heading4"/>
      </w:pPr>
      <w:bookmarkStart w:id="135" w:name="tit98"/>
      <w:r>
        <w:t xml:space="preserve">2.5.2.2. Recomendaciones y afirmaciones de la Supervisión.</w:t>
      </w:r>
      <w:bookmarkEnd w:id="135"/>
    </w:p>
    <w:p>
      <w:pPr>
        <w:pStyle w:val="FirstParagraph"/>
      </w:pPr>
      <w:r>
        <w:t xml:space="preserve">En su informe de la Planilla N.</w:t>
      </w:r>
      <w:r>
        <w:rPr>
          <w:vertAlign w:val="superscript"/>
        </w:rPr>
        <w:t xml:space="preserve">o</w:t>
      </w:r>
      <w:r>
        <w:t xml:space="preserve"> 2, la Supervisión recomendó a la contratista «presentar las garantías de todos los materiales empleados en obra», «realizar la rotura de probetas de los elementos vaciados» y «presentar las dosificaciones para los diferentes tipos de elementos»</w:t>
      </w:r>
      <w:r>
        <w:t xml:space="preserve"> </w:t>
      </w:r>
      <w:r>
        <w:t xml:space="preserve">(UATF, 2025, p. 9)</w:t>
      </w:r>
      <w:r>
        <w:t xml:space="preserve">. Al cierre del periodo en que se ejecutó la losa no se contaba, por tanto, con esos controles básicos. Dos páginas después, el mismo informe afirma que «los trabajos realizados durante el periodo presentan buena calidad», que se verificaron los materiales, los encofrados y las armaduras, y que se realizó la rotura de probetas en el laboratorio de la UATF</w:t>
      </w:r>
      <w:r>
        <w:t xml:space="preserve"> </w:t>
      </w:r>
      <w:r>
        <w:t xml:space="preserve">(UATF, 2025, p. 11)</w:t>
      </w:r>
      <w:r>
        <w:t xml:space="preserve">. Ninguna de las dos páginas indica qué elementos se ensayaron ni con qué registros se verificaron los materiales. La calificación de la calidad carece de evidencia objetiva y contradice las recomendaciones de la p. 9; para la losa, el único certificado disponible no contiene ninguna probeta.</w:t>
      </w:r>
    </w:p>
    <w:p>
      <w:pPr>
        <w:pStyle w:val="Heading4"/>
      </w:pPr>
      <w:bookmarkStart w:id="136" w:name="tit99"/>
      <w:r>
        <w:t xml:space="preserve">2.5.2.3. Libro de Órdenes.</w:t>
      </w:r>
      <w:bookmarkEnd w:id="136"/>
    </w:p>
    <w:p>
      <w:pPr>
        <w:pStyle w:val="FirstParagraph"/>
      </w:pPr>
      <w:r>
        <w:t xml:space="preserve">La copia del Libro de Órdenes adjunta a la Planilla N.</w:t>
      </w:r>
      <w:r>
        <w:rPr>
          <w:vertAlign w:val="superscript"/>
        </w:rPr>
        <w:t xml:space="preserve">o</w:t>
      </w:r>
      <w:r>
        <w:t xml:space="preserve"> 2 comprende 12 hojas notariales (N.</w:t>
      </w:r>
      <w:r>
        <w:rPr>
          <w:vertAlign w:val="superscript"/>
        </w:rPr>
        <w:t xml:space="preserve">o</w:t>
      </w:r>
      <w:r>
        <w:t xml:space="preserve"> 000019 a 000030) con 24 asientos, del 10 de septiembre al 28 de noviembre de 2025</w:t>
      </w:r>
      <w:r>
        <w:t xml:space="preserve"> </w:t>
      </w:r>
      <w:r>
        <w:t xml:space="preserve">(UATF, 2025, pp. 114–125)</w:t>
      </w:r>
      <w:r>
        <w:t xml:space="preserve">. La Tabla 24 resume su contenido.</w:t>
      </w:r>
    </w:p>
    <w:p>
      <w:pPr>
        <w:pStyle w:val="Caption"/>
      </w:pPr>
      <w:bookmarkStart w:id="1434" w:name="tab24"/>
      <w:r>
        <w:t xml:space="preserve"/>
      </w:r>
      <w:r>
        <w:rPr>
          <w:bCs/>
          <w:b/>
        </w:rPr>
        <w:t xml:space="preserve">Tabla 24</w:t>
      </w:r>
      <w:r>
        <w:br/>
      </w:r>
      <w:r>
        <w:rPr>
          <w:iCs/>
          <w:i/>
        </w:rPr>
        <w:t xml:space="preserve">Síntesis del Libro de Órdenes del periodo de ejecución de la primera losa</w:t>
      </w:r>
      <w:bookmarkEnd w:id="1434"/>
    </w:p>
    <w:tbl>
      <w:tblPr>
        <w:tblStyle w:val="Table"/>
        <w:tblW w:w="9360" w:type="dxa"/>
        <w:jc w:val="left"/>
        <w:tblLayout w:type="fixed"/>
        <w:tblCellMar>
          <w:top w:w="0" w:type="dxa"/>
          <w:left w:w="85" w:type="dxa"/>
          <w:bottom w:w="0" w:type="dxa"/>
          <w:right w:w="85" w:type="dxa"/>
        </w:tblCellMar>
        <w:tblLook w:firstRow="1" w:lastRow="0" w:firstColumn="0" w:lastColumn="0" w:noHBand="0" w:noVBand="0" w:val="0020"/>
      </w:tblPr>
      <w:tblGrid>
        <w:gridCol w:w="3277"/>
        <w:gridCol w:w="1803"/>
        <w:gridCol w:w="4280"/>
      </w:tblGrid>
      <w:tr>
        <w:trPr>
          <w:cantSplit/>
          <w:tblHeader w:val="true"/>
        </w:trPr>
        <w:tc>
          <w:tcPr>
            <w:tcW w:w="3277" w:type="dxa"/>
            <w:tcBorders>
              <w:top w:val="single" w:sz="8" w:space="0" w:color="000000"/>
              <w:bottom w:val="single" w:sz="4" w:space="0" w:color="000000"/>
            </w:tcBorders>
          </w:tcPr>
          <w:p>
            <w:pPr>
              <w:pStyle w:val="CeldaAPA"/>
              <w:jc w:val="center"/>
            </w:pPr>
            <w:r>
              <w:rPr>
                <w:bCs/>
                <w:b/>
              </w:rPr>
              <w:t xml:space="preserve">Indicador</w:t>
            </w:r>
          </w:p>
        </w:tc>
        <w:tc>
          <w:tcPr>
            <w:tcW w:w="1803" w:type="dxa"/>
            <w:tcBorders>
              <w:top w:val="single" w:sz="8" w:space="0" w:color="000000"/>
              <w:bottom w:val="single" w:sz="4" w:space="0" w:color="000000"/>
            </w:tcBorders>
          </w:tcPr>
          <w:p>
            <w:pPr>
              <w:pStyle w:val="CeldaAPA"/>
              <w:jc w:val="center"/>
            </w:pPr>
            <w:r>
              <w:rPr>
                <w:bCs/>
                <w:b/>
              </w:rPr>
              <w:t xml:space="preserve">Valor</w:t>
            </w:r>
          </w:p>
        </w:tc>
        <w:tc>
          <w:tcPr>
            <w:tcW w:w="4280" w:type="dxa"/>
            <w:tcBorders>
              <w:top w:val="single" w:sz="8" w:space="0" w:color="000000"/>
              <w:bottom w:val="single" w:sz="4" w:space="0" w:color="000000"/>
            </w:tcBorders>
          </w:tcPr>
          <w:p>
            <w:pPr>
              <w:pStyle w:val="CeldaAPA"/>
              <w:jc w:val="center"/>
            </w:pPr>
            <w:r>
              <w:rPr>
                <w:bCs/>
                <w:b/>
              </w:rPr>
              <w:t xml:space="preserve">Observación</w:t>
            </w:r>
          </w:p>
        </w:tc>
      </w:tr>
      <w:tr>
        <w:tc>
          <w:tcPr>
            <w:tcW w:w="3277" w:type="dxa"/>
          </w:tcPr>
          <w:p>
            <w:pPr>
              <w:pStyle w:val="CeldaAPA"/>
              <w:jc w:val="left"/>
            </w:pPr>
            <w:r>
              <w:rPr/>
              <w:t xml:space="preserve">Asientos</w:t>
            </w:r>
          </w:p>
        </w:tc>
        <w:tc>
          <w:tcPr>
            <w:tcW w:w="1803" w:type="dxa"/>
          </w:tcPr>
          <w:p>
            <w:pPr>
              <w:pStyle w:val="CeldaAPA"/>
              <w:jc w:val="left"/>
            </w:pPr>
            <w:r>
              <w:rPr/>
              <w:t xml:space="preserve">24 (12 del Director de Obra y 12 de la Supervisión)</w:t>
            </w:r>
          </w:p>
        </w:tc>
        <w:tc>
          <w:tcPr>
            <w:tcW w:w="4280" w:type="dxa"/>
          </w:tcPr>
          <w:p>
            <w:pPr>
              <w:pStyle w:val="CeldaAPA"/>
              <w:jc w:val="left"/>
            </w:pPr>
            <w:r>
              <w:rPr/>
              <w:t xml:space="preserve">Respuesta de la Supervisión el mismo día en los 12 casos</w:t>
            </w:r>
          </w:p>
        </w:tc>
      </w:tr>
      <w:tr>
        <w:tc>
          <w:tcPr>
            <w:tcW w:w="3277" w:type="dxa"/>
          </w:tcPr>
          <w:p>
            <w:pPr>
              <w:pStyle w:val="CeldaAPA"/>
              <w:jc w:val="left"/>
            </w:pPr>
            <w:r>
              <w:rPr/>
              <w:t xml:space="preserve">Solicitudes de verificación y vaciado</w:t>
            </w:r>
          </w:p>
        </w:tc>
        <w:tc>
          <w:tcPr>
            <w:tcW w:w="1803" w:type="dxa"/>
          </w:tcPr>
          <w:p>
            <w:pPr>
              <w:pStyle w:val="CeldaAPA"/>
              <w:jc w:val="left"/>
            </w:pPr>
            <w:r>
              <w:rPr/>
              <w:t xml:space="preserve">8</w:t>
            </w:r>
          </w:p>
        </w:tc>
        <w:tc>
          <w:tcPr>
            <w:tcW w:w="4280" w:type="dxa"/>
          </w:tcPr>
          <w:p>
            <w:pPr>
              <w:pStyle w:val="CeldaAPA"/>
              <w:jc w:val="left"/>
            </w:pPr>
            <w:r>
              <w:rPr/>
              <w:t xml:space="preserve">8 autorizadas el mismo día (100 %)</w:t>
            </w:r>
          </w:p>
        </w:tc>
      </w:tr>
      <w:tr>
        <w:tc>
          <w:tcPr>
            <w:tcW w:w="3277" w:type="dxa"/>
          </w:tcPr>
          <w:p>
            <w:pPr>
              <w:pStyle w:val="CeldaAPA"/>
              <w:jc w:val="left"/>
            </w:pPr>
            <w:r>
              <w:rPr/>
              <w:t xml:space="preserve">Elementos cuyo vaciado se autorizó</w:t>
            </w:r>
          </w:p>
        </w:tc>
        <w:tc>
          <w:tcPr>
            <w:tcW w:w="1803" w:type="dxa"/>
          </w:tcPr>
          <w:p>
            <w:pPr>
              <w:pStyle w:val="CeldaAPA"/>
              <w:jc w:val="left"/>
            </w:pPr>
            <w:r>
              <w:rPr/>
              <w:t xml:space="preserve">5 columnas de arranque, 7 ejes de vigas de arriostre, 75 columnas y la losa del primer nivel</w:t>
            </w:r>
          </w:p>
        </w:tc>
        <w:tc>
          <w:tcPr>
            <w:tcW w:w="4280" w:type="dxa"/>
          </w:tcPr>
          <w:p>
            <w:pPr>
              <w:pStyle w:val="CeldaAPA"/>
              <w:jc w:val="left"/>
            </w:pPr>
            <w:r>
              <w:rPr/>
              <w:t xml:space="preserve">La losa, el 28/11/2025, «desde dos frentes»</w:t>
            </w:r>
          </w:p>
        </w:tc>
      </w:tr>
      <w:tr>
        <w:tc>
          <w:tcPr>
            <w:tcW w:w="3277" w:type="dxa"/>
          </w:tcPr>
          <w:p>
            <w:pPr>
              <w:pStyle w:val="CeldaAPA"/>
              <w:jc w:val="left"/>
            </w:pPr>
            <w:r>
              <w:rPr/>
              <w:t xml:space="preserve">No conformidades, rechazos, órdenes de corrección o retrabajos</w:t>
            </w:r>
          </w:p>
        </w:tc>
        <w:tc>
          <w:tcPr>
            <w:tcW w:w="1803" w:type="dxa"/>
          </w:tcPr>
          <w:p>
            <w:pPr>
              <w:pStyle w:val="CeldaAPA"/>
              <w:jc w:val="left"/>
            </w:pPr>
            <w:r>
              <w:rPr/>
              <w:t xml:space="preserve">0</w:t>
            </w:r>
          </w:p>
        </w:tc>
        <w:tc>
          <w:tcPr>
            <w:tcW w:w="4280" w:type="dxa"/>
          </w:tcPr>
          <w:p>
            <w:pPr>
              <w:pStyle w:val="CeldaAPA"/>
              <w:jc w:val="left"/>
            </w:pPr>
            <w:r>
              <w:rPr/>
              <w:t xml:space="preserve">Ningún asiento registra defectos</w:t>
            </w:r>
          </w:p>
        </w:tc>
      </w:tr>
      <w:tr>
        <w:tc>
          <w:tcPr>
            <w:tcW w:w="3277" w:type="dxa"/>
          </w:tcPr>
          <w:p>
            <w:pPr>
              <w:pStyle w:val="CeldaAPA"/>
              <w:jc w:val="left"/>
            </w:pPr>
            <w:r>
              <w:rPr/>
              <w:t xml:space="preserve">Instrucciones de calidad</w:t>
            </w:r>
          </w:p>
        </w:tc>
        <w:tc>
          <w:tcPr>
            <w:tcW w:w="1803" w:type="dxa"/>
          </w:tcPr>
          <w:p>
            <w:pPr>
              <w:pStyle w:val="CeldaAPA"/>
              <w:jc w:val="left"/>
            </w:pPr>
            <w:r>
              <w:rPr/>
              <w:t xml:space="preserve">3 específicas y 3 genéricas</w:t>
            </w:r>
          </w:p>
        </w:tc>
        <w:tc>
          <w:tcPr>
            <w:tcW w:w="4280" w:type="dxa"/>
          </w:tcPr>
          <w:p>
            <w:pPr>
              <w:pStyle w:val="CeldaAPA"/>
              <w:jc w:val="left"/>
            </w:pPr>
            <w:r>
              <w:rPr/>
              <w:t xml:space="preserve">Dosificación (23/10); contenido de agua y toma de muestras (31/10); especificaciones, dosificaciones y curado (28/11), sin registro asociado</w:t>
            </w:r>
          </w:p>
        </w:tc>
      </w:tr>
      <w:tr>
        <w:tc>
          <w:tcPr>
            <w:tcW w:w="3277" w:type="dxa"/>
          </w:tcPr>
          <w:p>
            <w:pPr>
              <w:pStyle w:val="CeldaAPA"/>
              <w:jc w:val="left"/>
            </w:pPr>
            <w:r>
              <w:rPr/>
              <w:t xml:space="preserve">Instrucción de muestreo al autorizar la losa</w:t>
            </w:r>
          </w:p>
        </w:tc>
        <w:tc>
          <w:tcPr>
            <w:tcW w:w="1803" w:type="dxa"/>
          </w:tcPr>
          <w:p>
            <w:pPr>
              <w:pStyle w:val="CeldaAPA"/>
              <w:jc w:val="left"/>
            </w:pPr>
            <w:r>
              <w:rPr/>
              <w:t xml:space="preserve">No</w:t>
            </w:r>
          </w:p>
        </w:tc>
        <w:tc>
          <w:tcPr>
            <w:tcW w:w="4280" w:type="dxa"/>
          </w:tcPr>
          <w:p>
            <w:pPr>
              <w:pStyle w:val="CeldaAPA"/>
              <w:jc w:val="left"/>
            </w:pPr>
            <w:r>
              <w:rPr/>
              <w:t xml:space="preserve">Sí se instruyó el 31/10/2025 para columnas</w:t>
            </w:r>
          </w:p>
        </w:tc>
      </w:tr>
      <w:tr>
        <w:tc>
          <w:tcPr>
            <w:tcW w:w="3277" w:type="dxa"/>
          </w:tcPr>
          <w:p>
            <w:pPr>
              <w:pStyle w:val="CeldaAPA"/>
              <w:jc w:val="left"/>
            </w:pPr>
            <w:r>
              <w:rPr/>
              <w:t xml:space="preserve">Días de lluvia notificados</w:t>
            </w:r>
          </w:p>
        </w:tc>
        <w:tc>
          <w:tcPr>
            <w:tcW w:w="1803" w:type="dxa"/>
          </w:tcPr>
          <w:p>
            <w:pPr>
              <w:pStyle w:val="CeldaAPA"/>
              <w:jc w:val="left"/>
            </w:pPr>
            <w:r>
              <w:rPr/>
              <w:t xml:space="preserve">7</w:t>
            </w:r>
          </w:p>
        </w:tc>
        <w:tc>
          <w:tcPr>
            <w:tcW w:w="4280" w:type="dxa"/>
          </w:tcPr>
          <w:p>
            <w:pPr>
              <w:pStyle w:val="CeldaAPA"/>
              <w:jc w:val="left"/>
            </w:pPr>
            <w:r>
              <w:rPr/>
              <w:t xml:space="preserve">09/09, 14/09, 17/09, 15/10, 12/11, 13/11 y 21/11/2025</w:t>
            </w:r>
          </w:p>
        </w:tc>
      </w:tr>
      <w:tr>
        <w:tc>
          <w:tcPr>
            <w:tcW w:w="3277" w:type="dxa"/>
          </w:tcPr>
          <w:p>
            <w:pPr>
              <w:pStyle w:val="CeldaAPA"/>
              <w:jc w:val="left"/>
            </w:pPr>
            <w:r>
              <w:rPr/>
              <w:t xml:space="preserve">Demoras de materiales por escasez de combustible</w:t>
            </w:r>
          </w:p>
        </w:tc>
        <w:tc>
          <w:tcPr>
            <w:tcW w:w="1803" w:type="dxa"/>
          </w:tcPr>
          <w:p>
            <w:pPr>
              <w:pStyle w:val="CeldaAPA"/>
              <w:jc w:val="left"/>
            </w:pPr>
            <w:r>
              <w:rPr/>
              <w:t xml:space="preserve">1 asiento</w:t>
            </w:r>
          </w:p>
        </w:tc>
        <w:tc>
          <w:tcPr>
            <w:tcW w:w="4280" w:type="dxa"/>
          </w:tcPr>
          <w:p>
            <w:pPr>
              <w:pStyle w:val="CeldaAPA"/>
              <w:jc w:val="left"/>
            </w:pPr>
            <w:r>
              <w:rPr/>
              <w:t xml:space="preserve">17/11/2025</w:t>
            </w:r>
          </w:p>
        </w:tc>
      </w:tr>
      <w:tr>
        <w:tc>
          <w:tcPr>
            <w:tcW w:w="3277" w:type="dxa"/>
          </w:tcPr>
          <w:p>
            <w:pPr>
              <w:pStyle w:val="CeldaAPA"/>
              <w:jc w:val="left"/>
            </w:pPr>
            <w:r>
              <w:rPr/>
              <w:t xml:space="preserve">Constancia firmada del Director de Obra</w:t>
            </w:r>
          </w:p>
        </w:tc>
        <w:tc>
          <w:tcPr>
            <w:tcW w:w="1803" w:type="dxa"/>
          </w:tcPr>
          <w:p>
            <w:pPr>
              <w:pStyle w:val="CeldaAPA"/>
              <w:jc w:val="left"/>
            </w:pPr>
            <w:r>
              <w:rPr/>
              <w:t xml:space="preserve">0 de 12 hojas</w:t>
            </w:r>
          </w:p>
        </w:tc>
        <w:tc>
          <w:tcPr>
            <w:tcW w:w="4280" w:type="dxa"/>
          </w:tcPr>
          <w:p>
            <w:pPr>
              <w:pStyle w:val="CeldaAPA"/>
              <w:jc w:val="left"/>
            </w:pPr>
            <w:r>
              <w:rPr/>
              <w:t xml:space="preserve">Exigida por la cláusula 25.ª</w:t>
            </w:r>
          </w:p>
        </w:tc>
      </w:tr>
      <w:tr>
        <w:tc>
          <w:tcPr>
            <w:tcW w:w="3277" w:type="dxa"/>
            <w:tcBorders>
              <w:bottom w:val="single" w:sz="8" w:space="0" w:color="000000"/>
            </w:tcBorders>
          </w:tcPr>
          <w:p>
            <w:pPr>
              <w:pStyle w:val="CeldaAPA"/>
              <w:jc w:val="left"/>
            </w:pPr>
            <w:r>
              <w:rPr/>
              <w:t xml:space="preserve">Encabezado (contratante, obra, fecha)</w:t>
            </w:r>
          </w:p>
        </w:tc>
        <w:tc>
          <w:tcPr>
            <w:tcW w:w="1803" w:type="dxa"/>
            <w:tcBorders>
              <w:bottom w:val="single" w:sz="8" w:space="0" w:color="000000"/>
            </w:tcBorders>
          </w:tcPr>
          <w:p>
            <w:pPr>
              <w:pStyle w:val="CeldaAPA"/>
              <w:jc w:val="left"/>
            </w:pPr>
            <w:r>
              <w:rPr/>
              <w:t xml:space="preserve">Vacío en las 12 hojas</w:t>
            </w:r>
          </w:p>
        </w:tc>
        <w:tc>
          <w:tcPr>
            <w:tcW w:w="4280" w:type="dxa"/>
            <w:tcBorders>
              <w:bottom w:val="single" w:sz="8" w:space="0" w:color="000000"/>
            </w:tcBorders>
          </w:tcPr>
          <w:p>
            <w:pPr>
              <w:pStyle w:val="CeldaAPA"/>
              <w:jc w:val="left"/>
            </w:pPr>
            <w:r>
              <w:rPr/>
              <w:t xml:space="preserve">—</w:t>
            </w:r>
          </w:p>
        </w:tc>
      </w:tr>
    </w:tbl>
    <w:p>
      <w:pPr>
        <w:pStyle w:val="NotaAPA"/>
      </w:pPr>
      <w:r>
        <w:rPr>
          <w:iCs/>
          <w:i/>
        </w:rPr>
        <w:t xml:space="preserve">Nota.</w:t>
      </w:r>
      <w:r>
        <w:t xml:space="preserve"> </w:t>
      </w:r>
      <w:r>
        <w:t xml:space="preserve">Elaborado con base en</w:t>
      </w:r>
      <w:r>
        <w:t xml:space="preserve"> </w:t>
      </w:r>
      <w:r>
        <w:t xml:space="preserve">UATF (2025, pp. 100, 114–125)</w:t>
      </w:r>
      <w:r>
        <w:t xml:space="preserve">. Cálculos propios sobre la transcripción completa de los 24 asientos.</w:t>
      </w:r>
    </w:p>
    <w:p>
      <w:pPr>
        <w:pStyle w:val="BodyText"/>
      </w:pPr>
      <w:r>
        <w:t xml:space="preserve">El Libro de Órdenes funcionó como canal de comunicación, pero no como registro de control de la calidad. Todas las solicitudes se aprobaron el mismo día sin observaciones; las instrucciones sobre dosificación, contenido de agua y curado se repitieron sin que conste una dosificación aprobada, un control de asentamiento o un registro de curado. El 28 de noviembre de 2025 la Supervisión informó que había verificado «la losa, instalaciones, agregados, etc.» y autorizó el vaciado «desde dos frentes»; a diferencia de la autorización del 31 de octubre para columnas, no instruyó tomar probetas</w:t>
      </w:r>
      <w:r>
        <w:t xml:space="preserve"> </w:t>
      </w:r>
      <w:r>
        <w:t xml:space="preserve">(UATF, 2025, pp. 121, 125)</w:t>
      </w:r>
      <w:r>
        <w:t xml:space="preserve">. No se registró la fecha real del hormigonado; como la losa se certificó completa en la planilla cerrada el 8 de diciembre, se infiere que se vació entre esas dos fechas. Que no haya no conformidades registradas no prueba que no hubiera defectos: muestra que el instrumento contractual de control no dejó constancia de ellos. Los asientos posteriores, copiados en el expediente del ítem 13, registran la autorización del vaciado de las columnas del segundo nivel, el 16 de diciembre, y la carta notariada del 5 de enero de 2026</w:t>
      </w:r>
      <w:r>
        <w:t xml:space="preserve"> </w:t>
      </w:r>
      <w:r>
        <w:t xml:space="preserve">(UATF, s. f.-b, pp. 13–14)</w:t>
      </w:r>
      <w:r>
        <w:t xml:space="preserve">.</w:t>
      </w:r>
    </w:p>
    <w:p>
      <w:pPr>
        <w:pStyle w:val="Heading4"/>
      </w:pPr>
      <w:bookmarkStart w:id="137" w:name="tit100"/>
      <w:r>
        <w:t xml:space="preserve">2.5.2.4. Coherencia técnica de los documentos.</w:t>
      </w:r>
      <w:bookmarkEnd w:id="137"/>
    </w:p>
    <w:p>
      <w:pPr>
        <w:pStyle w:val="FirstParagraph"/>
      </w:pPr>
      <w:r>
        <w:t xml:space="preserve">Los documentos del proyecto describen de manera distinta el complemento de la losa:</w:t>
      </w:r>
      <w:r>
        <w:t xml:space="preserve"> </w:t>
      </w:r>
      <w:r>
        <w:t xml:space="preserve">(a) la ET exige plastoformo de 100 </w:t>
      </w:r>
      <m:oMath>
        <m:r>
          <m:rPr>
            <m:sty m:val="p"/>
          </m:rPr>
          <m:t>×</m:t>
        </m:r>
      </m:oMath>
      <w:r>
        <w:t xml:space="preserve"> 50 </w:t>
      </w:r>
      <m:oMath>
        <m:r>
          <m:rPr>
            <m:sty m:val="p"/>
          </m:rPr>
          <m:t>×</m:t>
        </m:r>
      </m:oMath>
      <w:r>
        <w:t xml:space="preserve"> 20 cm</w:t>
      </w:r>
      <w:r>
        <w:t xml:space="preserve"> </w:t>
      </w:r>
      <w:r>
        <w:t xml:space="preserve">(UATF, s. f.-a, p. 3)</w:t>
      </w:r>
      <w:r>
        <w:t xml:space="preserve">; (b) el corte transversal del Plano 02 acota un complemento de 0,15 m de altura con una carpeta de 0,05 m, es decir, una losa de 20 cm</w:t>
      </w:r>
      <w:r>
        <w:t xml:space="preserve"> </w:t>
      </w:r>
      <w:r>
        <w:t xml:space="preserve">(UATF, s. f.-d, Plano 02)</w:t>
      </w:r>
      <w:r>
        <w:t xml:space="preserve">; y (c) el certificado del proveedor corresponde a 2.350 piezas de Plastobloq de 20 </w:t>
      </w:r>
      <m:oMath>
        <m:r>
          <m:rPr>
            <m:sty m:val="p"/>
          </m:rPr>
          <m:t>×</m:t>
        </m:r>
      </m:oMath>
      <w:r>
        <w:t xml:space="preserve"> 100 </w:t>
      </w:r>
      <m:oMath>
        <m:r>
          <m:rPr>
            <m:sty m:val="p"/>
          </m:rPr>
          <m:t>×</m:t>
        </m:r>
      </m:oMath>
      <w:r>
        <w:t xml:space="preserve"> 44 cm</w:t>
      </w:r>
      <w:r>
        <w:t xml:space="preserve"> </w:t>
      </w:r>
      <w:r>
        <w:t xml:space="preserve">(UNICON, 2025)</w:t>
      </w:r>
      <w:r>
        <w:t xml:space="preserve">, compatibles con la separación de 50 cm entre ejes de viguetas que indica el fabricante de las viguetas</w:t>
      </w:r>
      <w:r>
        <w:t xml:space="preserve"> </w:t>
      </w:r>
      <w:r>
        <w:t xml:space="preserve">(PRETENSA, 2025)</w:t>
      </w:r>
      <w:r>
        <w:t xml:space="preserve">.</w:t>
      </w:r>
      <w:r>
        <w:t xml:space="preserve"> </w:t>
      </w:r>
      <w:r>
        <w:t xml:space="preserve">Además, mientras que la ET y el ítem 13 describen una losa de «h = 25 cm» y el certificado del fabricante de las viguetas indica 20 + 5 = 25 cm</w:t>
      </w:r>
      <w:r>
        <w:t xml:space="preserve"> </w:t>
      </w:r>
      <w:r>
        <w:t xml:space="preserve">(PRETENSA, 2025)</w:t>
      </w:r>
      <w:r>
        <w:t xml:space="preserve">, la sección de 0,20 m del Plano 02 no alcanzaría la altura mínima de 250 mm, incluida la carpeta de compresión, que la NBDS exige para que una losa de viguetas prefabricadas funcione como diafragma rígido</w:t>
      </w:r>
      <w:r>
        <w:t xml:space="preserve"> </w:t>
      </w:r>
      <w:r>
        <w:t xml:space="preserve">(MOPSV, 2023, art. 12.I, inc. b, p. 22)</w:t>
      </w:r>
      <w:r>
        <w:t xml:space="preserve">, lo que refuerza que se trata de un error del plano que la Supervisión debe aclarar. No se encontró una orden de cambio ni una aclaración que resuelva estas diferencias. Los planos tampoco son completos ni del todo coherentes. El Plano 02 detalla un nervio transversal de 0,10 </w:t>
      </w:r>
      <m:oMath>
        <m:r>
          <m:rPr>
            <m:sty m:val="p"/>
          </m:rPr>
          <m:t>×</m:t>
        </m:r>
      </m:oMath>
      <w:r>
        <w:t xml:space="preserve"> 0,15 m con cuatro barras de</w:t>
      </w:r>
      <w:r>
        <w:t xml:space="preserve"> </w:t>
      </w:r>
      <m:oMath>
        <m:r>
          <m:t>ϕ</m:t>
        </m:r>
      </m:oMath>
      <w:r>
        <w:t xml:space="preserve">10 y la armadura de momentos negativos sobre los apoyos, pero ningún plano ubica los nervios ni fija el diámetro, la separación o la longitud de los negativos: las leyendas remiten a una «armadura de acuerdo a planos» que no figura en el juego de planos revisado. En el Plano 03, la etiqueta del paño A7 indica 10 viguetas y hay 19 dibujadas; los paños A34 a A36 y A38 llevan la etiqueta 20 y tienen 18 o 19 viguetas dibujadas; y el paño A16 tiene la etiqueta 2 sin viguetas dibujadas</w:t>
      </w:r>
      <w:r>
        <w:t xml:space="preserve"> </w:t>
      </w:r>
      <w:r>
        <w:t xml:space="preserve">(UATF, s. f.-d)</w:t>
      </w:r>
      <w:r>
        <w:t xml:space="preserve">. Estas omisiones impiden calcular sin supuestos la cantidad teórica de acero, que es justamente la base para controlar lo que se mide y se paga (Sección 2.5.4). Además, la ET exige cumplir la norma CBH-87 y las normas bolivianas de cemento (NB 2.1-001 a 2.1-014), áridos (NB 596-91 a 612-91) y agua (NB 587-91 y 588-91)</w:t>
      </w:r>
      <w:r>
        <w:t xml:space="preserve"> </w:t>
      </w:r>
      <w:r>
        <w:t xml:space="preserve">(UATF, s. f.-a, pp. 1–2)</w:t>
      </w:r>
      <w:r>
        <w:t xml:space="preserve">, y no menciona la NB 1225001, basada en el código ACI 318. Por último, la ET del ítem 13 incluye entre los materiales del ítem el «fierro corrugado (parrilla de compresión y refuerzo momentos negativos)»</w:t>
      </w:r>
      <w:r>
        <w:t xml:space="preserve"> </w:t>
      </w:r>
      <w:r>
        <w:t xml:space="preserve">(UATF, s. f.-a, p. 3)</w:t>
      </w:r>
      <w:r>
        <w:t xml:space="preserve">, mientras que el acero de la losa se midió y pagó en el ítem 8</w:t>
      </w:r>
      <w:r>
        <w:t xml:space="preserve"> </w:t>
      </w:r>
      <w:r>
        <w:t xml:space="preserve">(UATF, 2025, p. 20)</w:t>
      </w:r>
      <w:r>
        <w:t xml:space="preserve">. Sin el análisis de precios unitarios contractual del ítem 13, que no forma parte de la documentación revisada, no puede saberse si ese precio incluye el acero; la superposición debe verificarse.</w:t>
      </w:r>
    </w:p>
    <w:p>
      <w:pPr>
        <w:pStyle w:val="Heading4"/>
      </w:pPr>
      <w:bookmarkStart w:id="138" w:name="tit101"/>
      <w:r>
        <w:t xml:space="preserve">2.5.2.5. Control de cantidades.</w:t>
      </w:r>
      <w:bookmarkEnd w:id="138"/>
    </w:p>
    <w:p>
      <w:pPr>
        <w:pStyle w:val="FirstParagraph"/>
      </w:pPr>
      <w:r>
        <w:rPr>
          <w:bCs/>
          <w:b/>
        </w:rPr>
        <w:t xml:space="preserve">Ítem 13.</w:t>
      </w:r>
      <w:r>
        <w:t xml:space="preserve"> </w:t>
      </w:r>
      <w:r>
        <w:t xml:space="preserve">La primera losa se certificó completa en la Planilla N.</w:t>
      </w:r>
      <w:r>
        <w:rPr>
          <w:vertAlign w:val="superscript"/>
        </w:rPr>
        <w:t xml:space="preserve">o</w:t>
      </w:r>
      <w:r>
        <w:t xml:space="preserve"> 2: 1.109,84 m</w:t>
      </w:r>
      <w:r>
        <w:rPr>
          <w:vertAlign w:val="superscript"/>
        </w:rPr>
        <w:t xml:space="preserve">2</w:t>
      </w:r>
      <w:r>
        <w:t xml:space="preserve"> </w:t>
      </w:r>
      <w:r>
        <w:t xml:space="preserve">por Bs 239.365,07, el 33,18 % de la cantidad modificada, sin avance anterior</w:t>
      </w:r>
      <w:r>
        <w:t xml:space="preserve"> </w:t>
      </w:r>
      <w:r>
        <w:t xml:space="preserve">(UATF, 2025, p. 16)</w:t>
      </w:r>
      <w:r>
        <w:t xml:space="preserve">. El cómputo lista los 41 paños solo con su área, sin dimensiones ni cantidades de materiales</w:t>
      </w:r>
      <w:r>
        <w:t xml:space="preserve"> </w:t>
      </w:r>
      <w:r>
        <w:t xml:space="preserve">(UATF, 2025, pp. 28–29)</w:t>
      </w:r>
      <w:r>
        <w:t xml:space="preserve">.</w:t>
      </w:r>
    </w:p>
    <w:p>
      <w:pPr>
        <w:pStyle w:val="BodyText"/>
      </w:pPr>
      <w:r>
        <w:rPr>
          <w:bCs/>
          <w:b/>
        </w:rPr>
        <w:t xml:space="preserve">Acero de la losa.</w:t>
      </w:r>
      <w:r>
        <w:t xml:space="preserve"> </w:t>
      </w:r>
      <w:r>
        <w:t xml:space="preserve">En el mismo periodo, el ítem 8 certificó 13.548,49 kg (Bs 227.016,33): 9.377,31 kg de vigas y una línea «LOSA ALIVIANADA» de 1,00 </w:t>
      </w:r>
      <m:oMath>
        <m:r>
          <m:rPr>
            <m:sty m:val="p"/>
          </m:rPr>
          <m:t>×</m:t>
        </m:r>
      </m:oMath>
      <w:r>
        <w:t xml:space="preserve"> 4.171,18 kg, anotada en las columnas de largo y volumen y sin planilla de armado que la respalde</w:t>
      </w:r>
      <w:r>
        <w:t xml:space="preserve"> </w:t>
      </w:r>
      <w:r>
        <w:t xml:space="preserve">(UATF, 2025, pp. 19–20)</w:t>
      </w:r>
      <w:r>
        <w:t xml:space="preserve">. Esa cantidad equivale a 3,76 kg/m</w:t>
      </w:r>
      <w:r>
        <w:rPr>
          <w:vertAlign w:val="superscript"/>
        </w:rPr>
        <w:t xml:space="preserve">2</w:t>
      </w:r>
      <w:r>
        <w:t xml:space="preserve"> </w:t>
      </w:r>
      <w:r>
        <w:t xml:space="preserve">(cálculo propio) y se compara con la cantidad teórica en la Sección 2.5.4.</w:t>
      </w:r>
    </w:p>
    <w:p>
      <w:pPr>
        <w:pStyle w:val="BodyText"/>
      </w:pPr>
      <w:r>
        <w:rPr>
          <w:bCs/>
          <w:b/>
        </w:rPr>
        <w:t xml:space="preserve">Planilla de cierre en dos versiones.</w:t>
      </w:r>
      <w:r>
        <w:t xml:space="preserve"> </w:t>
      </w:r>
      <w:r>
        <w:t xml:space="preserve">El documento oficial de cierre es la Planilla de avance N.</w:t>
      </w:r>
      <w:r>
        <w:rPr>
          <w:vertAlign w:val="superscript"/>
        </w:rPr>
        <w:t xml:space="preserve">o</w:t>
      </w:r>
      <w:r>
        <w:t xml:space="preserve"> 3 firmada el 16 de marzo de 2026, que paga Bs 16.837,41 en el periodo, llega a un avance total de Bs 2.073.392,68 (57,43 %) y descuenta 1.862,81 kg de acero (Bs </w:t>
      </w:r>
      <m:oMath>
        <m:r>
          <m:rPr>
            <m:sty m:val="p"/>
          </m:rPr>
          <m:t>−</m:t>
        </m:r>
      </m:oMath>
      <w:r>
        <w:t xml:space="preserve">31.212,95), el 3,55 % de los 52.424,65 kg acumulados; el acumulado del ítem 8 queda en 50.561,84 kg, la misma cifra que usa el detalle de descuento por agua potable</w:t>
      </w:r>
      <w:r>
        <w:t xml:space="preserve"> </w:t>
      </w:r>
      <w:r>
        <w:t xml:space="preserve">(UATF, s. f.-b, pp. 2, 12)</w:t>
      </w:r>
      <w:r>
        <w:t xml:space="preserve">. Existe una segunda versión del mismo documento en archivo digital, que descuenta 1.915,16 kg (Bs </w:t>
      </w:r>
      <m:oMath>
        <m:r>
          <m:rPr>
            <m:sty m:val="p"/>
          </m:rPr>
          <m:t>−</m:t>
        </m:r>
      </m:oMath>
      <w:r>
        <w:t xml:space="preserve">32.090,11; 3,65 %), deja un acumulado de 50.509,49 kg, paga además la limpieza general (Bs 2.566,96) y suma Bs 18.527,21 en el periodo y 57,48 % de avance</w:t>
      </w:r>
      <w:r>
        <w:t xml:space="preserve"> </w:t>
      </w:r>
      <w:r>
        <w:t xml:space="preserve">(UATF, s. f.-c)</w:t>
      </w:r>
      <w:r>
        <w:t xml:space="preserve">. Las dos versiones difieren en 52,35 kg de acero (</w:t>
      </w:r>
      <m:oMath>
        <m:r>
          <m:rPr>
            <m:sty m:val="p"/>
          </m:rPr>
          <m:t>≈</m:t>
        </m:r>
      </m:oMath>
      <w:r>
        <w:t xml:space="preserve"> Bs 877,17) y en el pago de la limpieza general; la Supervisión y la Fiscalización deben verificar cuál se tramitó. El cómputo métrico de la versión digital es, además, la única fuente que desglosa el acero por elementos: en él, la línea de la losa aparece como 3 </w:t>
      </w:r>
      <m:oMath>
        <m:r>
          <m:rPr>
            <m:sty m:val="p"/>
          </m:rPr>
          <m:t>×</m:t>
        </m:r>
      </m:oMath>
      <w:r>
        <w:t xml:space="preserve"> 4.171,18 kg = 12.513,54 kg, aunque solo se ejecutó una losa</w:t>
      </w:r>
      <w:r>
        <w:t xml:space="preserve"> </w:t>
      </w:r>
      <w:r>
        <w:t xml:space="preserve">(UATF, s. f.-c, hoja «Cómputos métricos», filas 375–541)</w:t>
      </w:r>
      <w:r>
        <w:t xml:space="preserve">. Como el total de ese cómputo bajó respecto del acumulado anterior, las demás partidas debieron bajar 10.257,78 kg. La Tabla 25 concilia ambos documentos por grupos de elementos.</w:t>
      </w:r>
    </w:p>
    <w:p>
      <w:pPr>
        <w:pStyle w:val="Caption"/>
      </w:pPr>
      <w:bookmarkStart w:id="1435" w:name="tab25"/>
      <w:r>
        <w:t xml:space="preserve"/>
      </w:r>
      <w:r>
        <w:rPr>
          <w:bCs/>
          <w:b/>
        </w:rPr>
        <w:t xml:space="preserve">Tabla 25</w:t>
      </w:r>
      <w:r>
        <w:br/>
      </w:r>
      <w:r>
        <w:rPr>
          <w:iCs/>
          <w:i/>
        </w:rPr>
        <w:t xml:space="preserve">Conciliación del acero acumulado entre la Planilla N.</w:t>
      </w:r>
      <w:r>
        <w:rPr>
          <w:vertAlign w:val="superscript"/>
          <w:iCs/>
          <w:i/>
        </w:rPr>
        <w:t xml:space="preserve">o</w:t>
      </w:r>
      <w:r>
        <w:rPr>
          <w:iCs/>
          <w:i/>
        </w:rPr>
        <w:t xml:space="preserve"> 2 y el cómputo de cierre, por grupos de elementos</w:t>
      </w:r>
      <w:bookmarkEnd w:id="1435"/>
    </w:p>
    <w:tbl>
      <w:tblPr>
        <w:tblStyle w:val="Table"/>
        <w:tblW w:w="9359" w:type="dxa"/>
        <w:jc w:val="left"/>
        <w:tblLayout w:type="fixed"/>
        <w:tblCellMar>
          <w:top w:w="0" w:type="dxa"/>
          <w:left w:w="85" w:type="dxa"/>
          <w:bottom w:w="0" w:type="dxa"/>
          <w:right w:w="85" w:type="dxa"/>
        </w:tblCellMar>
        <w:tblLook w:firstRow="1" w:lastRow="0" w:firstColumn="0" w:lastColumn="0" w:noHBand="0" w:noVBand="0" w:val="0020"/>
      </w:tblPr>
      <w:tblGrid>
        <w:gridCol w:w="3050"/>
        <w:gridCol w:w="2103"/>
        <w:gridCol w:w="2103"/>
        <w:gridCol w:w="2103"/>
      </w:tblGrid>
      <w:tr>
        <w:trPr>
          <w:cantSplit/>
          <w:tblHeader w:val="true"/>
        </w:trPr>
        <w:tc>
          <w:tcPr>
            <w:tcW w:w="3050" w:type="dxa"/>
            <w:tcBorders>
              <w:top w:val="single" w:sz="8" w:space="0" w:color="000000"/>
              <w:bottom w:val="single" w:sz="4" w:space="0" w:color="000000"/>
            </w:tcBorders>
          </w:tcPr>
          <w:p>
            <w:pPr>
              <w:pStyle w:val="CeldaAPA"/>
              <w:jc w:val="center"/>
            </w:pPr>
            <w:r>
              <w:rPr>
                <w:bCs/>
                <w:b/>
              </w:rPr>
              <w:t xml:space="preserve">Grupo de elementos</w:t>
            </w:r>
          </w:p>
        </w:tc>
        <w:tc>
          <w:tcPr>
            <w:tcW w:w="2103" w:type="dxa"/>
            <w:tcBorders>
              <w:top w:val="single" w:sz="8" w:space="0" w:color="000000"/>
              <w:bottom w:val="single" w:sz="4" w:space="0" w:color="000000"/>
            </w:tcBorders>
          </w:tcPr>
          <w:p>
            <w:pPr>
              <w:pStyle w:val="CeldaAPA"/>
              <w:jc w:val="center"/>
            </w:pPr>
            <w:r>
              <w:rPr>
                <w:bCs/>
                <w:b/>
              </w:rPr>
              <w:t xml:space="preserve">Acumulado en la PAO N.</w:t>
            </w:r>
            <w:r>
              <w:rPr>
                <w:vertAlign w:val="superscript"/>
                <w:bCs/>
                <w:b/>
              </w:rPr>
              <w:t xml:space="preserve">o</w:t>
            </w:r>
            <w:r>
              <w:rPr>
                <w:bCs/>
                <w:b/>
              </w:rPr>
              <w:t xml:space="preserve"> 2 (kg)</w:t>
            </w:r>
          </w:p>
        </w:tc>
        <w:tc>
          <w:tcPr>
            <w:tcW w:w="2103" w:type="dxa"/>
            <w:tcBorders>
              <w:top w:val="single" w:sz="8" w:space="0" w:color="000000"/>
              <w:bottom w:val="single" w:sz="4" w:space="0" w:color="000000"/>
            </w:tcBorders>
          </w:tcPr>
          <w:p>
            <w:pPr>
              <w:pStyle w:val="CeldaAPA"/>
              <w:jc w:val="center"/>
            </w:pPr>
            <w:r>
              <w:rPr>
                <w:bCs/>
                <w:b/>
              </w:rPr>
              <w:t xml:space="preserve">Cómputo de cierre, versión digital (kg)</w:t>
            </w:r>
          </w:p>
        </w:tc>
        <w:tc>
          <w:tcPr>
            <w:tcW w:w="2103" w:type="dxa"/>
            <w:tcBorders>
              <w:top w:val="single" w:sz="8" w:space="0" w:color="000000"/>
              <w:bottom w:val="single" w:sz="4" w:space="0" w:color="000000"/>
            </w:tcBorders>
          </w:tcPr>
          <w:p>
            <w:pPr>
              <w:pStyle w:val="CeldaAPA"/>
              <w:jc w:val="center"/>
            </w:pPr>
            <w:r>
              <w:rPr>
                <w:bCs/>
                <w:b/>
              </w:rPr>
              <w:t xml:space="preserve">Diferencia (kg)</w:t>
            </w:r>
          </w:p>
        </w:tc>
      </w:tr>
      <w:tr>
        <w:tc>
          <w:tcPr>
            <w:tcW w:w="3050" w:type="dxa"/>
          </w:tcPr>
          <w:p>
            <w:pPr>
              <w:pStyle w:val="CeldaAPA"/>
              <w:jc w:val="left"/>
            </w:pPr>
            <w:r>
              <w:rPr/>
              <w:t xml:space="preserve">Zapatas a encalzar y zapatas nuevas</w:t>
            </w:r>
          </w:p>
        </w:tc>
        <w:tc>
          <w:tcPr>
            <w:tcW w:w="2103" w:type="dxa"/>
            <w:vMerge w:val="restart"/>
          </w:tcPr>
          <w:p>
            <w:pPr>
              <w:pStyle w:val="CeldaAPA"/>
              <w:jc w:val="right"/>
            </w:pPr>
            <w:r>
              <w:rPr/>
              <w:t xml:space="preserve">38.876,16</w:t>
            </w:r>
            <w:r>
              <w:rPr>
                <w:vertAlign w:val="superscript"/>
              </w:rPr>
              <w:t xml:space="preserve">a</w:t>
            </w:r>
          </w:p>
        </w:tc>
        <w:tc>
          <w:tcPr>
            <w:tcW w:w="2103" w:type="dxa"/>
          </w:tcPr>
          <w:p>
            <w:pPr>
              <w:pStyle w:val="CeldaAPA"/>
              <w:jc w:val="right"/>
            </w:pPr>
            <w:r>
              <w:rPr/>
              <w:t xml:space="preserve">8.527,47</w:t>
            </w:r>
          </w:p>
        </w:tc>
        <w:tc>
          <w:tcPr>
            <w:tcW w:w="2103" w:type="dxa"/>
            <w:vMerge w:val="restart"/>
          </w:tcPr>
          <w:p>
            <w:pPr>
              <w:pStyle w:val="CeldaAPA"/>
              <w:jc w:val="right"/>
            </w:pPr>
            <m:oMath>
              <m:r>
                <m:rPr>
                  <m:sty m:val="p"/>
                </m:rPr>
                <m:t>−</m:t>
              </m:r>
            </m:oMath>
            <w:r>
              <w:rPr/>
              <w:t xml:space="preserve">10.215,02</w:t>
            </w:r>
          </w:p>
        </w:tc>
      </w:tr>
      <w:tr>
        <w:tc>
          <w:tcPr>
            <w:tcW w:w="3050" w:type="dxa"/>
          </w:tcPr>
          <w:p>
            <w:pPr>
              <w:pStyle w:val="CeldaAPA"/>
              <w:jc w:val="left"/>
            </w:pPr>
            <w:r>
              <w:rPr/>
              <w:t xml:space="preserve">Columnas a encamisar, nuevas y que se mantienen</w:t>
            </w:r>
          </w:p>
        </w:tc>
        <w:tc>
          <w:tcPr>
            <w:tcW w:w="2103" w:type="dxa"/>
            <w:gridSpan w:val="1"/>
            <w:vMerge w:val="continue"/>
          </w:tcPr>
          <w:p>
            <w:pPr>
              <w:pStyle w:val="CeldaAPA"/>
            </w:pPr>
          </w:p>
        </w:tc>
        <w:tc>
          <w:tcPr>
            <w:tcW w:w="2103" w:type="dxa"/>
          </w:tcPr>
          <w:p>
            <w:pPr>
              <w:pStyle w:val="CeldaAPA"/>
              <w:jc w:val="right"/>
            </w:pPr>
            <w:r>
              <w:rPr/>
              <w:t xml:space="preserve">17.780,20</w:t>
            </w:r>
          </w:p>
        </w:tc>
        <w:tc>
          <w:tcPr>
            <w:tcW w:w="2103" w:type="dxa"/>
            <w:gridSpan w:val="1"/>
            <w:vMerge w:val="continue"/>
          </w:tcPr>
          <w:p>
            <w:pPr>
              <w:pStyle w:val="CeldaAPA"/>
            </w:pPr>
          </w:p>
        </w:tc>
      </w:tr>
      <w:tr>
        <w:tc>
          <w:tcPr>
            <w:tcW w:w="3050" w:type="dxa"/>
          </w:tcPr>
          <w:p>
            <w:pPr>
              <w:pStyle w:val="CeldaAPA"/>
              <w:jc w:val="left"/>
            </w:pPr>
            <w:r>
              <w:rPr/>
              <w:t xml:space="preserve">Vigas de arriostre</w:t>
            </w:r>
          </w:p>
        </w:tc>
        <w:tc>
          <w:tcPr>
            <w:tcW w:w="2103" w:type="dxa"/>
            <w:gridSpan w:val="1"/>
            <w:vMerge w:val="continue"/>
          </w:tcPr>
          <w:p>
            <w:pPr>
              <w:pStyle w:val="CeldaAPA"/>
            </w:pPr>
          </w:p>
        </w:tc>
        <w:tc>
          <w:tcPr>
            <w:tcW w:w="2103" w:type="dxa"/>
          </w:tcPr>
          <w:p>
            <w:pPr>
              <w:pStyle w:val="CeldaAPA"/>
              <w:jc w:val="right"/>
            </w:pPr>
            <w:r>
              <w:rPr/>
              <w:t xml:space="preserve">2.353,47</w:t>
            </w:r>
          </w:p>
        </w:tc>
        <w:tc>
          <w:tcPr>
            <w:tcW w:w="2103" w:type="dxa"/>
            <w:gridSpan w:val="1"/>
            <w:vMerge w:val="continue"/>
          </w:tcPr>
          <w:p>
            <w:pPr>
              <w:pStyle w:val="CeldaAPA"/>
            </w:pPr>
          </w:p>
        </w:tc>
      </w:tr>
      <w:tr>
        <w:tc>
          <w:tcPr>
            <w:tcW w:w="3050" w:type="dxa"/>
          </w:tcPr>
          <w:p>
            <w:pPr>
              <w:pStyle w:val="CeldaAPA"/>
              <w:jc w:val="left"/>
            </w:pPr>
            <w:r>
              <w:rPr/>
              <w:t xml:space="preserve">Vigas de H</w:t>
            </w:r>
            <w:r>
              <w:rPr>
                <w:vertAlign w:val="superscript"/>
              </w:rPr>
              <w:t xml:space="preserve">o</w:t>
            </w:r>
            <w:r>
              <w:rPr/>
              <w:t xml:space="preserve">A</w:t>
            </w:r>
            <w:r>
              <w:rPr>
                <w:vertAlign w:val="superscript"/>
              </w:rPr>
              <w:t xml:space="preserve">o</w:t>
            </w:r>
          </w:p>
        </w:tc>
        <w:tc>
          <w:tcPr>
            <w:tcW w:w="2103" w:type="dxa"/>
          </w:tcPr>
          <w:p>
            <w:pPr>
              <w:pStyle w:val="CeldaAPA"/>
              <w:jc w:val="right"/>
            </w:pPr>
            <w:r>
              <w:rPr/>
              <w:t xml:space="preserve">9.377,31</w:t>
            </w:r>
          </w:p>
        </w:tc>
        <w:tc>
          <w:tcPr>
            <w:tcW w:w="2103" w:type="dxa"/>
          </w:tcPr>
          <w:p>
            <w:pPr>
              <w:pStyle w:val="CeldaAPA"/>
              <w:jc w:val="right"/>
            </w:pPr>
            <w:r>
              <w:rPr/>
              <w:t xml:space="preserve">9.334,55</w:t>
            </w:r>
          </w:p>
        </w:tc>
        <w:tc>
          <w:tcPr>
            <w:tcW w:w="2103" w:type="dxa"/>
          </w:tcPr>
          <w:p>
            <w:pPr>
              <w:pStyle w:val="CeldaAPA"/>
              <w:jc w:val="right"/>
            </w:pPr>
            <m:oMath>
              <m:r>
                <m:rPr>
                  <m:sty m:val="p"/>
                </m:rPr>
                <m:t>−</m:t>
              </m:r>
            </m:oMath>
            <w:r>
              <w:rPr/>
              <w:t xml:space="preserve">42,76</w:t>
            </w:r>
          </w:p>
        </w:tc>
      </w:tr>
      <w:tr>
        <w:tc>
          <w:tcPr>
            <w:tcW w:w="3050" w:type="dxa"/>
          </w:tcPr>
          <w:p>
            <w:pPr>
              <w:pStyle w:val="CeldaAPA"/>
              <w:jc w:val="left"/>
            </w:pPr>
            <w:r>
              <w:rPr/>
              <w:t xml:space="preserve">Losa alivianada</w:t>
            </w:r>
          </w:p>
        </w:tc>
        <w:tc>
          <w:tcPr>
            <w:tcW w:w="2103" w:type="dxa"/>
          </w:tcPr>
          <w:p>
            <w:pPr>
              <w:pStyle w:val="CeldaAPA"/>
              <w:jc w:val="right"/>
            </w:pPr>
            <w:r>
              <w:rPr/>
              <w:t xml:space="preserve">4.171,18 (1 </w:t>
            </w:r>
            <m:oMath>
              <m:r>
                <m:rPr>
                  <m:sty m:val="p"/>
                </m:rPr>
                <m:t>×</m:t>
              </m:r>
            </m:oMath>
            <w:r>
              <w:rPr/>
              <w:t xml:space="preserve"> 4.171,18)</w:t>
            </w:r>
          </w:p>
        </w:tc>
        <w:tc>
          <w:tcPr>
            <w:tcW w:w="2103" w:type="dxa"/>
          </w:tcPr>
          <w:p>
            <w:pPr>
              <w:pStyle w:val="CeldaAPA"/>
              <w:jc w:val="right"/>
            </w:pPr>
            <w:r>
              <w:rPr/>
              <w:t xml:space="preserve">12.513,54 (3 </w:t>
            </w:r>
            <m:oMath>
              <m:r>
                <m:rPr>
                  <m:sty m:val="p"/>
                </m:rPr>
                <m:t>×</m:t>
              </m:r>
            </m:oMath>
            <w:r>
              <w:rPr/>
              <w:t xml:space="preserve"> 4.171,18)</w:t>
            </w:r>
          </w:p>
        </w:tc>
        <w:tc>
          <w:tcPr>
            <w:tcW w:w="2103" w:type="dxa"/>
          </w:tcPr>
          <w:p>
            <w:pPr>
              <w:pStyle w:val="CeldaAPA"/>
              <w:jc w:val="right"/>
            </w:pPr>
            <w:r>
              <w:rPr/>
              <w:t xml:space="preserve">+8.342,36</w:t>
            </w:r>
          </w:p>
        </w:tc>
      </w:tr>
      <w:tr>
        <w:tc>
          <w:tcPr>
            <w:tcW w:w="3050" w:type="dxa"/>
          </w:tcPr>
          <w:p>
            <w:pPr>
              <w:pStyle w:val="CeldaAPA"/>
              <w:jc w:val="left"/>
            </w:pPr>
            <w:r>
              <w:rPr/>
              <w:t xml:space="preserve">Gradas del primer nivel</w:t>
            </w:r>
          </w:p>
        </w:tc>
        <w:tc>
          <w:tcPr>
            <w:tcW w:w="2103" w:type="dxa"/>
          </w:tcPr>
          <w:p>
            <w:pPr>
              <w:pStyle w:val="CeldaAPA"/>
              <w:jc w:val="right"/>
            </w:pPr>
            <w:r>
              <w:rPr/>
              <w:t xml:space="preserve">—</w:t>
            </w:r>
          </w:p>
        </w:tc>
        <w:tc>
          <w:tcPr>
            <w:tcW w:w="2103" w:type="dxa"/>
          </w:tcPr>
          <w:p>
            <w:pPr>
              <w:pStyle w:val="CeldaAPA"/>
              <w:jc w:val="right"/>
            </w:pPr>
            <w:r>
              <w:rPr/>
              <w:t xml:space="preserve">773,92</w:t>
            </w:r>
            <w:r>
              <w:rPr>
                <w:vertAlign w:val="superscript"/>
              </w:rPr>
              <w:t xml:space="preserve">b</w:t>
            </w:r>
          </w:p>
        </w:tc>
        <w:tc>
          <w:tcPr>
            <w:tcW w:w="2103" w:type="dxa"/>
          </w:tcPr>
          <w:p>
            <w:pPr>
              <w:pStyle w:val="CeldaAPA"/>
              <w:jc w:val="right"/>
            </w:pPr>
            <w:r>
              <w:rPr/>
              <w:t xml:space="preserve">—</w:t>
            </w:r>
          </w:p>
        </w:tc>
      </w:tr>
      <w:tr>
        <w:tc>
          <w:tcPr>
            <w:tcW w:w="3050" w:type="dxa"/>
            <w:tcBorders>
              <w:top w:val="single" w:sz="4" w:space="0" w:color="000000"/>
            </w:tcBorders>
          </w:tcPr>
          <w:p>
            <w:pPr>
              <w:pStyle w:val="CeldaAPA"/>
              <w:jc w:val="left"/>
            </w:pPr>
            <w:r>
              <w:rPr/>
              <w:t xml:space="preserve">Total del cómputo de cierre (versión digital)</w:t>
            </w:r>
          </w:p>
        </w:tc>
        <w:tc>
          <w:tcPr>
            <w:tcW w:w="2103" w:type="dxa"/>
            <w:tcBorders>
              <w:top w:val="single" w:sz="4" w:space="0" w:color="000000"/>
            </w:tcBorders>
          </w:tcPr>
          <w:p>
            <w:pPr>
              <w:pStyle w:val="CeldaAPA"/>
              <w:jc w:val="right"/>
            </w:pPr>
            <w:r>
              <w:rPr/>
              <w:t xml:space="preserve">52.424,65</w:t>
            </w:r>
          </w:p>
        </w:tc>
        <w:tc>
          <w:tcPr>
            <w:tcW w:w="2103" w:type="dxa"/>
            <w:tcBorders>
              <w:top w:val="single" w:sz="4" w:space="0" w:color="000000"/>
            </w:tcBorders>
          </w:tcPr>
          <w:p>
            <w:pPr>
              <w:pStyle w:val="CeldaAPA"/>
              <w:jc w:val="right"/>
            </w:pPr>
            <w:r>
              <w:rPr/>
              <w:t xml:space="preserve">50.509,23</w:t>
            </w:r>
          </w:p>
        </w:tc>
        <w:tc>
          <w:tcPr>
            <w:tcW w:w="2103" w:type="dxa"/>
            <w:tcBorders>
              <w:top w:val="single" w:sz="4" w:space="0" w:color="000000"/>
            </w:tcBorders>
          </w:tcPr>
          <w:p>
            <w:pPr>
              <w:pStyle w:val="CeldaAPA"/>
              <w:jc w:val="right"/>
            </w:pPr>
            <m:oMath>
              <m:r>
                <m:rPr>
                  <m:sty m:val="p"/>
                </m:rPr>
                <m:t>−</m:t>
              </m:r>
            </m:oMath>
            <w:r>
              <w:rPr/>
              <w:t xml:space="preserve">1.915,42</w:t>
            </w:r>
          </w:p>
        </w:tc>
      </w:tr>
      <w:tr>
        <w:tc>
          <w:tcPr>
            <w:tcW w:w="3050" w:type="dxa"/>
          </w:tcPr>
          <w:p>
            <w:pPr>
              <w:pStyle w:val="CeldaAPA"/>
              <w:jc w:val="left"/>
            </w:pPr>
            <w:r>
              <w:rPr/>
              <w:t xml:space="preserve">Planilla de cierre, versión digital</w:t>
            </w:r>
          </w:p>
        </w:tc>
        <w:tc>
          <w:tcPr>
            <w:tcW w:w="2103" w:type="dxa"/>
          </w:tcPr>
          <w:p>
            <w:pPr>
              <w:pStyle w:val="CeldaAPA"/>
              <w:jc w:val="right"/>
            </w:pPr>
            <w:r>
              <w:rPr/>
              <w:t xml:space="preserve">52.424,65</w:t>
            </w:r>
          </w:p>
        </w:tc>
        <w:tc>
          <w:tcPr>
            <w:tcW w:w="2103" w:type="dxa"/>
          </w:tcPr>
          <w:p>
            <w:pPr>
              <w:pStyle w:val="CeldaAPA"/>
              <w:jc w:val="right"/>
            </w:pPr>
            <w:r>
              <w:rPr/>
              <w:t xml:space="preserve">50.509,49</w:t>
            </w:r>
          </w:p>
        </w:tc>
        <w:tc>
          <w:tcPr>
            <w:tcW w:w="2103" w:type="dxa"/>
          </w:tcPr>
          <w:p>
            <w:pPr>
              <w:pStyle w:val="CeldaAPA"/>
              <w:jc w:val="right"/>
            </w:pPr>
            <m:oMath>
              <m:r>
                <m:rPr>
                  <m:sty m:val="p"/>
                </m:rPr>
                <m:t>−</m:t>
              </m:r>
            </m:oMath>
            <w:r>
              <w:rPr/>
              <w:t xml:space="preserve">1.915,16</w:t>
            </w:r>
          </w:p>
        </w:tc>
      </w:tr>
      <w:tr>
        <w:tc>
          <w:tcPr>
            <w:tcW w:w="3050" w:type="dxa"/>
            <w:tcBorders>
              <w:bottom w:val="single" w:sz="8" w:space="0" w:color="000000"/>
            </w:tcBorders>
          </w:tcPr>
          <w:p>
            <w:pPr>
              <w:pStyle w:val="CeldaAPA"/>
              <w:jc w:val="left"/>
            </w:pPr>
            <w:r>
              <w:rPr/>
              <w:t xml:space="preserve">Planilla de cierre firmada (oficial) y descuento por agua potable</w:t>
            </w:r>
          </w:p>
        </w:tc>
        <w:tc>
          <w:tcPr>
            <w:tcW w:w="2103" w:type="dxa"/>
            <w:tcBorders>
              <w:bottom w:val="single" w:sz="8" w:space="0" w:color="000000"/>
            </w:tcBorders>
          </w:tcPr>
          <w:p>
            <w:pPr>
              <w:pStyle w:val="CeldaAPA"/>
              <w:jc w:val="right"/>
            </w:pPr>
            <w:r>
              <w:rPr/>
              <w:t xml:space="preserve">52.424,65</w:t>
            </w:r>
          </w:p>
        </w:tc>
        <w:tc>
          <w:tcPr>
            <w:tcW w:w="2103" w:type="dxa"/>
            <w:tcBorders>
              <w:bottom w:val="single" w:sz="8" w:space="0" w:color="000000"/>
            </w:tcBorders>
          </w:tcPr>
          <w:p>
            <w:pPr>
              <w:pStyle w:val="CeldaAPA"/>
              <w:jc w:val="right"/>
            </w:pPr>
            <w:r>
              <w:rPr/>
              <w:t xml:space="preserve">50.561,84</w:t>
            </w:r>
            <w:r>
              <w:rPr>
                <w:vertAlign w:val="superscript"/>
              </w:rPr>
              <w:t xml:space="preserve">c</w:t>
            </w:r>
          </w:p>
        </w:tc>
        <w:tc>
          <w:tcPr>
            <w:tcW w:w="2103" w:type="dxa"/>
            <w:tcBorders>
              <w:bottom w:val="single" w:sz="8" w:space="0" w:color="000000"/>
            </w:tcBorders>
          </w:tcPr>
          <w:p>
            <w:pPr>
              <w:pStyle w:val="CeldaAPA"/>
              <w:jc w:val="right"/>
            </w:pPr>
            <m:oMath>
              <m:r>
                <m:rPr>
                  <m:sty m:val="p"/>
                </m:rPr>
                <m:t>−</m:t>
              </m:r>
            </m:oMath>
            <w:r>
              <w:rPr/>
              <w:t xml:space="preserve">1.862,81</w:t>
            </w:r>
          </w:p>
        </w:tc>
      </w:tr>
    </w:tbl>
    <w:p>
      <w:pPr>
        <w:pStyle w:val="NotaAPA"/>
      </w:pPr>
      <w:r>
        <w:rPr>
          <w:iCs/>
          <w:i/>
        </w:rPr>
        <w:t xml:space="preserve">Nota.</w:t>
      </w:r>
      <w:r>
        <w:t xml:space="preserve"> </w:t>
      </w:r>
      <w:r>
        <w:t xml:space="preserve">Elaboración propia (cálculos propios) con base en</w:t>
      </w:r>
      <w:r>
        <w:t xml:space="preserve"> </w:t>
      </w:r>
      <w:r>
        <w:t xml:space="preserve">UATF (2025, pp. 16, 19–20)</w:t>
      </w:r>
      <w:r>
        <w:t xml:space="preserve">,</w:t>
      </w:r>
      <w:r>
        <w:t xml:space="preserve"> </w:t>
      </w:r>
      <w:r>
        <w:t xml:space="preserve">UATF (s. f.-c)</w:t>
      </w:r>
      <w:r>
        <w:t xml:space="preserve"> </w:t>
      </w:r>
      <w:r>
        <w:t xml:space="preserve">(hoja «Cómputos métricos», filas 375 a 541; subtotales por grupo: zapatas a encalzar 3.629,47; zapatas nuevas 4.898,00; columnas a encamisar 4.170,02; columnas nuevas 11.395,18; columnas que se mantienen 2.215,00) y</w:t>
      </w:r>
      <w:r>
        <w:t xml:space="preserve"> </w:t>
      </w:r>
      <w:r>
        <w:t xml:space="preserve">UATF (s. f.-b, pp. 2, 12)</w:t>
      </w:r>
      <w:r>
        <w:t xml:space="preserve">.</w:t>
      </w:r>
      <w:r>
        <w:t xml:space="preserve"> </w:t>
      </w:r>
      <w:r>
        <w:rPr>
          <w:vertAlign w:val="superscript"/>
        </w:rPr>
        <w:t xml:space="preserve">a</w:t>
      </w:r>
      <w:r>
        <w:t xml:space="preserve"> Avance de la Planilla N.</w:t>
      </w:r>
      <w:r>
        <w:rPr>
          <w:vertAlign w:val="superscript"/>
        </w:rPr>
        <w:t xml:space="preserve">o</w:t>
      </w:r>
      <w:r>
        <w:t xml:space="preserve"> 1, sin desglose por elementos en los documentos revisados; por diferencia corresponde a los elementos distintos de las vigas y la losa.</w:t>
      </w:r>
      <w:r>
        <w:t xml:space="preserve"> </w:t>
      </w:r>
      <w:r>
        <w:rPr>
          <w:vertAlign w:val="superscript"/>
        </w:rPr>
        <w:t xml:space="preserve">b</w:t>
      </w:r>
      <w:r>
        <w:t xml:space="preserve"> Anotado sin cantidad parcial; no se suma al total.</w:t>
      </w:r>
      <w:r>
        <w:t xml:space="preserve"> </w:t>
      </w:r>
      <w:r>
        <w:rPr>
          <w:vertAlign w:val="superscript"/>
        </w:rPr>
        <w:t xml:space="preserve">c</w:t>
      </w:r>
      <w:r>
        <w:t xml:space="preserve"> Sin desglose por elementos: la versión firmada no adjunta un cómputo del acero.</w:t>
      </w:r>
    </w:p>
    <w:p>
      <w:pPr>
        <w:pStyle w:val="BodyText"/>
      </w:pPr>
      <w:r>
        <w:t xml:space="preserve">La conciliación muestra cuatro inconsistencias que la Supervisión y la Fiscalización deben verificar. Primera, la línea de la losa pasa de 1 a 3 veces 4.171,18 kg sin respaldo, lo que llevaría la cuantía a 11,28 kg/m</w:t>
      </w:r>
      <w:r>
        <w:rPr>
          <w:vertAlign w:val="superscript"/>
        </w:rPr>
        <w:t xml:space="preserve">2</w:t>
      </w:r>
      <w:r>
        <w:t xml:space="preserve"> </w:t>
      </w:r>
      <w:r>
        <w:t xml:space="preserve">para la losa ejecutada. Segunda, la reducción de 10.215,02 kg en zapatas, columnas y vigas de arriostre no tiene explicación línea por línea; con la documentación disponible no puede saberse cuál de las dos cifras es la correcta. Tercera, coexisten tres cifras del acero acumulado: 52.424,65 kg en la Planilla N.</w:t>
      </w:r>
      <w:r>
        <w:rPr>
          <w:vertAlign w:val="superscript"/>
        </w:rPr>
        <w:t xml:space="preserve">o</w:t>
      </w:r>
      <w:r>
        <w:t xml:space="preserve"> 2, 50.561,84 kg en la planilla de cierre firmada y 50.509,49 kg en su versión digital, más un total de 50.509,23 kg en el cómputo de la versión digital, que difiere en 0,26 kg de su propia planilla. Cuarta, la tabla de tiempos con la que la contratista sustentó la ampliación de plazo N.</w:t>
      </w:r>
      <w:r>
        <w:rPr>
          <w:vertAlign w:val="superscript"/>
        </w:rPr>
        <w:t xml:space="preserve">o</w:t>
      </w:r>
      <w:r>
        <w:t xml:space="preserve"> 2 usa para el ítem 8 una cantidad autorizada de 85.777,46 kg, 7.797,95 kg más que los 77.979,51 kg del contrato modificatorio</w:t>
      </w:r>
      <w:r>
        <w:t xml:space="preserve"> </w:t>
      </w:r>
      <w:r>
        <w:t xml:space="preserve">(UATF, s. f.-b, pp. 17, 25)</w:t>
      </w:r>
      <w:r>
        <w:t xml:space="preserve">. A esto se suma la posible superposición del acero de la losa entre los ítems 8 y 13 descrita antes. En conjunto, estos hallazgos no prueban un error ni un pago indebido, pero muestran que las cantidades se controlaron al cierre del contrato y no en el mes en que se originaron, que es lo que el procedimiento de conciliación del SGC propone corregir (Sección 2.6.6).</w:t>
      </w:r>
    </w:p>
    <w:p>
      <w:pPr>
        <w:pStyle w:val="BodyText"/>
      </w:pPr>
      <w:r>
        <w:rPr>
          <w:bCs/>
          <w:b/>
        </w:rPr>
        <w:t xml:space="preserve">Otras correcciones.</w:t>
      </w:r>
      <w:r>
        <w:t xml:space="preserve"> </w:t>
      </w:r>
      <w:r>
        <w:t xml:space="preserve">La Planilla N.</w:t>
      </w:r>
      <w:r>
        <w:rPr>
          <w:vertAlign w:val="superscript"/>
        </w:rPr>
        <w:t xml:space="preserve">o</w:t>
      </w:r>
      <w:r>
        <w:t xml:space="preserve"> 2 corrigió la excavación del ítem 4 en</w:t>
      </w:r>
      <w:r>
        <w:t xml:space="preserve"> </w:t>
      </w:r>
      <m:oMath>
        <m:r>
          <m:rPr>
            <m:sty m:val="p"/>
          </m:rPr>
          <m:t>−</m:t>
        </m:r>
      </m:oMath>
      <w:r>
        <w:t xml:space="preserve">5,66 m</w:t>
      </w:r>
      <w:r>
        <w:rPr>
          <w:vertAlign w:val="superscript"/>
        </w:rPr>
        <w:t xml:space="preserve">3</w:t>
      </w:r>
      <w:r>
        <w:t xml:space="preserve"> </w:t>
      </w:r>
      <w:r>
        <w:t xml:space="preserve">(Bs </w:t>
      </w:r>
      <m:oMath>
        <m:r>
          <m:rPr>
            <m:sty m:val="p"/>
          </m:rPr>
          <m:t>−</m:t>
        </m:r>
      </m:oMath>
      <w:r>
        <w:t xml:space="preserve">403,14), porque la Planilla N.</w:t>
      </w:r>
      <w:r>
        <w:rPr>
          <w:vertAlign w:val="superscript"/>
        </w:rPr>
        <w:t xml:space="preserve">o</w:t>
      </w:r>
      <w:r>
        <w:t xml:space="preserve"> 1 había certificado más de lo que luego se computó</w:t>
      </w:r>
      <w:r>
        <w:t xml:space="preserve"> </w:t>
      </w:r>
      <w:r>
        <w:t xml:space="preserve">(UATF, 2025, pp. 16, 18)</w:t>
      </w:r>
      <w:r>
        <w:t xml:space="preserve">. Además, las cantidades del contrato original y del actualizado difieren entre</w:t>
      </w:r>
      <w:r>
        <w:t xml:space="preserve"> </w:t>
      </w:r>
      <m:oMath>
        <m:r>
          <m:rPr>
            <m:sty m:val="p"/>
          </m:rPr>
          <m:t>−</m:t>
        </m:r>
      </m:oMath>
      <w:r>
        <w:t xml:space="preserve">80,8 % y +46,7 % según el ítem (acero, +32,1 %; hormigón de zapatas, +16,0 %; escaleras, +46,7 %; columnas,</w:t>
      </w:r>
      <w:r>
        <w:t xml:space="preserve"> </w:t>
      </w:r>
      <m:oMath>
        <m:r>
          <m:rPr>
            <m:sty m:val="p"/>
          </m:rPr>
          <m:t>−</m:t>
        </m:r>
      </m:oMath>
      <w:r>
        <w:t xml:space="preserve">8,5 %; vigas,</w:t>
      </w:r>
      <w:r>
        <w:t xml:space="preserve"> </w:t>
      </w:r>
      <m:oMath>
        <m:r>
          <m:rPr>
            <m:sty m:val="p"/>
          </m:rPr>
          <m:t>−</m:t>
        </m:r>
      </m:oMath>
      <w:r>
        <w:t xml:space="preserve">7,9 %), y la Supervisión anunció otra orden de cambio por incremento de volúmenes</w:t>
      </w:r>
      <w:r>
        <w:t xml:space="preserve"> </w:t>
      </w:r>
      <w:r>
        <w:t xml:space="preserve">(UATF, 2025, pp. 11, 16)</w:t>
      </w:r>
      <w:r>
        <w:t xml:space="preserve">.</w:t>
      </w:r>
    </w:p>
    <w:p>
      <w:pPr>
        <w:pStyle w:val="Heading4"/>
      </w:pPr>
      <w:bookmarkStart w:id="139" w:name="tit102"/>
      <w:r>
        <w:t xml:space="preserve">2.5.2.6. Suministro y gestión de materiales.</w:t>
      </w:r>
      <w:bookmarkEnd w:id="139"/>
    </w:p>
    <w:p>
      <w:pPr>
        <w:pStyle w:val="FirstParagraph"/>
      </w:pPr>
      <w:r>
        <w:t xml:space="preserve">El abastecimiento fue el punto más expuesto al entorno. La Supervisión informó que se hicieron «modificaciones estructurales debido a la inexistencia de viguetas en el mercado de los tamaños requeridos»</w:t>
      </w:r>
      <w:r>
        <w:t xml:space="preserve"> </w:t>
      </w:r>
      <w:r>
        <w:t xml:space="preserve">(UATF, 2025, p. 11)</w:t>
      </w:r>
      <w:r>
        <w:t xml:space="preserve">, sin que se adjunte un documento que describa el cambio, su cálculo o su aprobación. El distribuidor de acero comunicó el 16 de junio de 2025 que, de una compra de 20 toneladas de fierro corrugado, solo había entregado el 30 %, por el desabastecimiento de combustibles y los bloqueos de carreteras</w:t>
      </w:r>
      <w:r>
        <w:t xml:space="preserve"> </w:t>
      </w:r>
      <w:r>
        <w:t xml:space="preserve">(Import Export Las Lomas Ltda., 2025)</w:t>
      </w:r>
      <w:r>
        <w:t xml:space="preserve">, y el 17 de noviembre de 2025, en pleno armado de la losa, la contratista informó que los materiales tardaban mucho en llegar por la misma causa</w:t>
      </w:r>
      <w:r>
        <w:t xml:space="preserve"> </w:t>
      </w:r>
      <w:r>
        <w:t xml:space="preserve">(UATF, 2025, p. 123)</w:t>
      </w:r>
      <w:r>
        <w:t xml:space="preserve">. Ninguno de estos hechos dio lugar a una acción documentada sobre los proveedores ni a un plan de compras anticipado.</w:t>
      </w:r>
    </w:p>
    <w:p>
      <w:pPr>
        <w:pStyle w:val="BodyText"/>
      </w:pPr>
      <w:r>
        <w:t xml:space="preserve">La recepción de materiales fue documental y tardía. Los certificados de PRETENSA y de UNICON están fechados el 27 de noviembre de 2025, después de que comenzara el armado de la losa (14 de noviembre); no llevan firma, y el de las viguetas no indica cantidad, lote ni resultados de ensayo</w:t>
      </w:r>
      <w:r>
        <w:t xml:space="preserve"> </w:t>
      </w:r>
      <w:r>
        <w:t xml:space="preserve">(UATF, 2025, pp. 80–81, 122)</w:t>
      </w:r>
      <w:r>
        <w:t xml:space="preserve">. Los certificados de acero corresponden a barras de 20, 16, 12, 9,5 y 8 mm producidas entre abril y mayo de 2025 y emitidos al distribuidor; no hay certificados de las barras de 6 y 10 mm que, según el Plano 02, forman la parrilla y los nervios de la losa, ni de cemento y áridos</w:t>
      </w:r>
      <w:r>
        <w:t xml:space="preserve"> </w:t>
      </w:r>
      <w:r>
        <w:t xml:space="preserve">(UATF, 2025, pp. 82–86)</w:t>
      </w:r>
      <w:r>
        <w:t xml:space="preserve">. La masa lineal certificada de las barras es entre 1,8 % y 5,8 % menor que la nominal (cálculo propio): un balance por peso que no lo considere confundiría esa diferencia con desperdicio.</w:t>
      </w:r>
    </w:p>
    <w:p>
      <w:pPr>
        <w:pStyle w:val="BodyText"/>
      </w:pPr>
      <w:r>
        <w:t xml:space="preserve">La gestión de los materiales en obra fue mínima. El plan de acopio de la contratista «consiste en transportar el material y ubicarlo cerca de la obra con el resguardo necesario y satisfactorio»</w:t>
      </w:r>
      <w:r>
        <w:t xml:space="preserve"> </w:t>
      </w:r>
      <w:r>
        <w:t xml:space="preserve">(UATF, 2025, p. 10)</w:t>
      </w:r>
      <w:r>
        <w:t xml:space="preserve">, sin criterios de recepción, almacenamiento ni control de existencias, pese a que el contrato exige acopiar en zonas aprobadas e inspeccionar los materiales antes de su uso</w:t>
      </w:r>
      <w:r>
        <w:t xml:space="preserve"> </w:t>
      </w:r>
      <w:r>
        <w:t xml:space="preserve">(UATF, 2025, p. 102)</w:t>
      </w:r>
      <w:r>
        <w:t xml:space="preserve">. No se encontraron notas de remisión, kardex ni vales de salida. De las 2.350 piezas de EPS entregadas</w:t>
      </w:r>
      <w:r>
        <w:t xml:space="preserve"> </w:t>
      </w:r>
      <w:r>
        <w:t xml:space="preserve">(UNICON, 2025)</w:t>
      </w:r>
      <w:r>
        <w:t xml:space="preserve"> </w:t>
      </w:r>
      <w:r>
        <w:t xml:space="preserve">no consta cuántas se colocaron, cuántas sobraron ni si toda la entrega correspondió a la primera losa. Las fotografías muestran material y restos dispersos en el terreno, el vaciado con carretillas y la parrilla de la carpeta pisada durante el hormigonado, sin separadores visibles a la resolución disponible</w:t>
      </w:r>
      <w:r>
        <w:t xml:space="preserve"> </w:t>
      </w:r>
      <w:r>
        <w:t xml:space="preserve">(UATF, 2025, pp. 75–76)</w:t>
      </w:r>
      <w:r>
        <w:t xml:space="preserve">; ese tránsito sobre los complementos colocados es una causa conocida de mayor consumo de hormigón de la carpeta</w:t>
      </w:r>
      <w:r>
        <w:t xml:space="preserve"> </w:t>
      </w:r>
      <w:r>
        <w:t xml:space="preserve">(Concretec, 2016)</w:t>
      </w:r>
      <w:r>
        <w:t xml:space="preserve">.</w:t>
      </w:r>
    </w:p>
    <w:p>
      <w:pPr>
        <w:pStyle w:val="Heading4"/>
      </w:pPr>
      <w:bookmarkStart w:id="140" w:name="tit103"/>
      <w:r>
        <w:t xml:space="preserve">2.5.2.7. Planificación y plazo.</w:t>
      </w:r>
      <w:bookmarkEnd w:id="140"/>
    </w:p>
    <w:p>
      <w:pPr>
        <w:pStyle w:val="FirstParagraph"/>
      </w:pPr>
      <w:r>
        <w:t xml:space="preserve">El cronograma de actividades «actualizado» a 360 días programó la losa alivianada del 23 de diciembre de 2025 al 21 de abril de 2026 y todo el acero estructural del 19 de junio al 28 de julio de 2025</w:t>
      </w:r>
      <w:r>
        <w:t xml:space="preserve"> </w:t>
      </w:r>
      <w:r>
        <w:t xml:space="preserve">(UATF, 2025, p. 137)</w:t>
      </w:r>
      <w:r>
        <w:t xml:space="preserve">. Según el Libro de Órdenes, la losa se armó en noviembre y su vaciado se autorizó el 28 de noviembre, 25 días antes del inicio programado, y el acero se armó entre septiembre y noviembre</w:t>
      </w:r>
      <w:r>
        <w:t xml:space="preserve"> </w:t>
      </w:r>
      <w:r>
        <w:t xml:space="preserve">(UATF, 2025, pp. 114–125)</w:t>
      </w:r>
      <w:r>
        <w:t xml:space="preserve">. El cronograma, que el contrato define como documento fundamental de control</w:t>
      </w:r>
      <w:r>
        <w:t xml:space="preserve"> </w:t>
      </w:r>
      <w:r>
        <w:t xml:space="preserve">(UATF, 2025, p. 105)</w:t>
      </w:r>
      <w:r>
        <w:t xml:space="preserve">, no reflejaba la secuencia real. Al 8 de diciembre de 2025 el avance acumulado era de 56,97 % frente a 60,00 % previsto: un retraso de 3,03 puntos que la Supervisión reconoció</w:t>
      </w:r>
      <w:r>
        <w:t xml:space="preserve"> </w:t>
      </w:r>
      <w:r>
        <w:t xml:space="preserve">(UATF, 2025, p. 10)</w:t>
      </w:r>
      <w:r>
        <w:t xml:space="preserve">. El mismo informe consigna un «desfase del periodo» de 3,03 %, cuando el del periodo es de 1,07 % (29,00 % previsto frente a 27,93 % ejecutado; cálculo propio). Con el cronograma de desembolsos, interpolado linealmente entre los días 209 y 270, el avance previsto al 8 de diciembre sería de</w:t>
      </w:r>
      <w:r>
        <w:t xml:space="preserve"> </w:t>
      </w:r>
      <m:oMath>
        <m:r>
          <m:rPr>
            <m:sty m:val="p"/>
          </m:rPr>
          <m:t>≈</m:t>
        </m:r>
      </m:oMath>
      <w:r>
        <w:t xml:space="preserve"> 63,8 % (cálculo propio con supuestos)</w:t>
      </w:r>
      <w:r>
        <w:t xml:space="preserve"> </w:t>
      </w:r>
      <w:r>
        <w:t xml:space="preserve">(UATF, 2025, p. 139)</w:t>
      </w:r>
      <w:r>
        <w:t xml:space="preserve">.</w:t>
      </w:r>
    </w:p>
    <w:p>
      <w:pPr>
        <w:pStyle w:val="Heading4"/>
      </w:pPr>
      <w:bookmarkStart w:id="141" w:name="tit104"/>
      <w:r>
        <w:t xml:space="preserve">2.5.2.8. Otros hallazgos de control documental.</w:t>
      </w:r>
      <w:bookmarkEnd w:id="141"/>
    </w:p>
    <w:p>
      <w:pPr>
        <w:pStyle w:val="FirstParagraph"/>
      </w:pPr>
      <w:r>
        <w:t xml:space="preserve">Se registraron además inconsistencias menores que muestran un control débil de la información documentada: el certificado de avance consigna un anticipo del 10 % en un contrato sin anticipo</w:t>
      </w:r>
      <w:r>
        <w:t xml:space="preserve"> </w:t>
      </w:r>
      <w:r>
        <w:t xml:space="preserve">(UATF, 2025, p. 14)</w:t>
      </w:r>
      <w:r>
        <w:t xml:space="preserve">; una columna tipo 5 tiene 6 unidades en el rótulo y 7 en la planilla de armado, y una hoja de armado está duplicada</w:t>
      </w:r>
      <w:r>
        <w:t xml:space="preserve"> </w:t>
      </w:r>
      <w:r>
        <w:t xml:space="preserve">(UATF, 2025, pp. 38, 51–52)</w:t>
      </w:r>
      <w:r>
        <w:t xml:space="preserve">; las boletas de garantía vencen el 14 de abril de 2026, 16 días antes de la entrega provisional vigente, y equivalen al 7 % del monto original</w:t>
      </w:r>
      <w:r>
        <w:t xml:space="preserve"> </w:t>
      </w:r>
      <w:r>
        <w:t xml:space="preserve">(UATF, 2025, pp. 130–131)</w:t>
      </w:r>
      <w:r>
        <w:t xml:space="preserve">; dos de los tres certificados del seguro obligatorio de accidentes adjuntos vencieron el 3 de junio de 2025</w:t>
      </w:r>
      <w:r>
        <w:t xml:space="preserve"> </w:t>
      </w:r>
      <w:r>
        <w:t xml:space="preserve">(UATF, 2025, pp. 134–135)</w:t>
      </w:r>
      <w:r>
        <w:t xml:space="preserve">; el contrato seguía sin protocolizar al 8 de diciembre de 2025</w:t>
      </w:r>
      <w:r>
        <w:t xml:space="preserve"> </w:t>
      </w:r>
      <w:r>
        <w:t xml:space="preserve">(UATF, 2025, p. 88)</w:t>
      </w:r>
      <w:r>
        <w:t xml:space="preserve">; y el archivo de la planilla de cierre conserva una hoja de un contrato de 2023 de otra empresa</w:t>
      </w:r>
      <w:r>
        <w:t xml:space="preserve"> </w:t>
      </w:r>
      <w:r>
        <w:t xml:space="preserve">(UATF, s. f.-c)</w:t>
      </w:r>
      <w:r>
        <w:t xml:space="preserve">.</w:t>
      </w:r>
    </w:p>
    <w:p>
      <w:pPr>
        <w:pStyle w:val="Heading3"/>
      </w:pPr>
      <w:bookmarkStart w:id="149" w:name="tit105"/>
      <w:r>
        <w:t xml:space="preserve">2.5.3. No conformidades y análisis de causas</w:t>
      </w:r>
      <w:bookmarkEnd w:id="149"/>
    </w:p>
    <w:p>
      <w:pPr>
        <w:pStyle w:val="FirstParagraph"/>
      </w:pPr>
      <w:r>
        <w:t xml:space="preserve">A partir del análisis documental y de la lista de verificación, el investigador identificó 22 no conformidades (NC) respecto de los requisitos de la norma ISO 9001:2026, del contrato, de las ET y de la normativa del hormigón (Tabla 26). Cada NC se clasificó en una categoría del método 6M (materiales, método, mano de obra, medición, maquinaria y medio ambiente) o en la categoría de gestión, que reúne las fallas de planificación, documentación y dirección. Como no existe un registro de NC de la obra, la tabla es una reconstrucción documental y no un registro levantado durante la ejecución.</w:t>
      </w:r>
    </w:p>
    <w:p>
      <w:pPr>
        <w:pStyle w:val="Caption"/>
      </w:pPr>
      <w:bookmarkStart w:id="1436" w:name="tab26"/>
      <w:r>
        <w:t xml:space="preserve"/>
      </w:r>
      <w:r>
        <w:rPr>
          <w:bCs/>
          <w:b/>
        </w:rPr>
        <w:t xml:space="preserve">Tabla 26</w:t>
      </w:r>
      <w:r>
        <w:br/>
      </w:r>
      <w:r>
        <w:rPr>
          <w:iCs/>
          <w:i/>
        </w:rPr>
        <w:t xml:space="preserve">No conformidades identificadas en la ejecución de la primera losa</w:t>
      </w:r>
      <w:bookmarkEnd w:id="1436"/>
    </w:p>
    <w:tbl>
      <w:tblPr>
        <w:tblStyle w:val="Table"/>
        <w:tblW w:w="9359" w:type="dxa"/>
        <w:jc w:val="left"/>
        <w:tblLayout w:type="fixed"/>
        <w:tblCellMar>
          <w:top w:w="0" w:type="dxa"/>
          <w:left w:w="85" w:type="dxa"/>
          <w:bottom w:w="0" w:type="dxa"/>
          <w:right w:w="85" w:type="dxa"/>
        </w:tblCellMar>
        <w:tblLook w:firstRow="1" w:lastRow="0" w:firstColumn="0" w:lastColumn="0" w:noHBand="0" w:noVBand="0" w:val="0020"/>
      </w:tblPr>
      <w:tblGrid>
        <w:gridCol w:w="1083"/>
        <w:gridCol w:w="3191"/>
        <w:gridCol w:w="1610"/>
        <w:gridCol w:w="2087"/>
        <w:gridCol w:w="1388"/>
      </w:tblGrid>
      <w:tr>
        <w:trPr>
          <w:cantSplit/>
          <w:tblHeader w:val="true"/>
        </w:trPr>
        <w:tc>
          <w:tcPr>
            <w:tcW w:w="1083" w:type="dxa"/>
            <w:tcBorders>
              <w:top w:val="single" w:sz="8" w:space="0" w:color="000000"/>
              <w:bottom w:val="single" w:sz="4" w:space="0" w:color="000000"/>
            </w:tcBorders>
          </w:tcPr>
          <w:p>
            <w:pPr>
              <w:pStyle w:val="CeldaAPA"/>
              <w:jc w:val="center"/>
            </w:pPr>
            <w:r>
              <w:rPr>
                <w:bCs/>
                <w:b/>
              </w:rPr>
              <w:t xml:space="preserve">Código</w:t>
            </w:r>
          </w:p>
        </w:tc>
        <w:tc>
          <w:tcPr>
            <w:tcW w:w="3191" w:type="dxa"/>
            <w:tcBorders>
              <w:top w:val="single" w:sz="8" w:space="0" w:color="000000"/>
              <w:bottom w:val="single" w:sz="4" w:space="0" w:color="000000"/>
            </w:tcBorders>
          </w:tcPr>
          <w:p>
            <w:pPr>
              <w:pStyle w:val="CeldaAPA"/>
              <w:jc w:val="center"/>
            </w:pPr>
            <w:r>
              <w:rPr>
                <w:bCs/>
                <w:b/>
              </w:rPr>
              <w:t xml:space="preserve">Descripción</w:t>
            </w:r>
          </w:p>
        </w:tc>
        <w:tc>
          <w:tcPr>
            <w:tcW w:w="1610" w:type="dxa"/>
            <w:tcBorders>
              <w:top w:val="single" w:sz="8" w:space="0" w:color="000000"/>
              <w:bottom w:val="single" w:sz="4" w:space="0" w:color="000000"/>
            </w:tcBorders>
          </w:tcPr>
          <w:p>
            <w:pPr>
              <w:pStyle w:val="CeldaAPA"/>
              <w:jc w:val="center"/>
            </w:pPr>
            <w:r>
              <w:rPr>
                <w:bCs/>
                <w:b/>
              </w:rPr>
              <w:t xml:space="preserve">Evidencia</w:t>
            </w:r>
          </w:p>
        </w:tc>
        <w:tc>
          <w:tcPr>
            <w:tcW w:w="2087" w:type="dxa"/>
            <w:tcBorders>
              <w:top w:val="single" w:sz="8" w:space="0" w:color="000000"/>
              <w:bottom w:val="single" w:sz="4" w:space="0" w:color="000000"/>
            </w:tcBorders>
          </w:tcPr>
          <w:p>
            <w:pPr>
              <w:pStyle w:val="CeldaAPA"/>
              <w:jc w:val="center"/>
            </w:pPr>
            <w:r>
              <w:rPr>
                <w:bCs/>
                <w:b/>
              </w:rPr>
              <w:t xml:space="preserve">Requisito afectado</w:t>
            </w:r>
          </w:p>
        </w:tc>
        <w:tc>
          <w:tcPr>
            <w:tcW w:w="1388" w:type="dxa"/>
            <w:tcBorders>
              <w:top w:val="single" w:sz="8" w:space="0" w:color="000000"/>
              <w:bottom w:val="single" w:sz="4" w:space="0" w:color="000000"/>
            </w:tcBorders>
          </w:tcPr>
          <w:p>
            <w:pPr>
              <w:pStyle w:val="CeldaAPA"/>
              <w:jc w:val="center"/>
            </w:pPr>
            <w:r>
              <w:rPr>
                <w:bCs/>
                <w:b/>
              </w:rPr>
              <w:t xml:space="preserve">Categoría</w:t>
            </w:r>
          </w:p>
        </w:tc>
      </w:tr>
      <w:tr>
        <w:tc>
          <w:tcPr>
            <w:tcW w:w="1083" w:type="dxa"/>
          </w:tcPr>
          <w:p>
            <w:pPr>
              <w:pStyle w:val="CeldaAPA"/>
              <w:jc w:val="left"/>
            </w:pPr>
            <w:r>
              <w:rPr/>
              <w:t xml:space="preserve">NC-01</w:t>
            </w:r>
          </w:p>
        </w:tc>
        <w:tc>
          <w:tcPr>
            <w:tcW w:w="3191" w:type="dxa"/>
          </w:tcPr>
          <w:p>
            <w:pPr>
              <w:pStyle w:val="CeldaAPA"/>
              <w:jc w:val="left"/>
            </w:pPr>
            <w:r>
              <w:rPr/>
              <w:t xml:space="preserve">El hormigón de la losa no tiene ensayos de resistencia; la losa se certificó para pago antes de la primera fecha en que podía tener 28 días</w:t>
            </w:r>
          </w:p>
        </w:tc>
        <w:tc>
          <w:tcPr>
            <w:tcW w:w="1610" w:type="dxa"/>
          </w:tcPr>
          <w:p>
            <w:pPr>
              <w:pStyle w:val="CeldaAPA"/>
              <w:jc w:val="left"/>
            </w:pPr>
            <w:r>
              <w:rPr/>
              <w:t xml:space="preserve">PAO2, pp. 16, 78, 125</w:t>
            </w:r>
          </w:p>
        </w:tc>
        <w:tc>
          <w:tcPr>
            <w:tcW w:w="2087" w:type="dxa"/>
          </w:tcPr>
          <w:p>
            <w:pPr>
              <w:pStyle w:val="CeldaAPA"/>
              <w:jc w:val="left"/>
            </w:pPr>
            <w:r>
              <w:rPr/>
              <w:t xml:space="preserve">ISO 8.5.1 y 8.6; ACI 318-25, 26.12; cl. 26.6</w:t>
            </w:r>
          </w:p>
        </w:tc>
        <w:tc>
          <w:tcPr>
            <w:tcW w:w="1388" w:type="dxa"/>
          </w:tcPr>
          <w:p>
            <w:pPr>
              <w:pStyle w:val="CeldaAPA"/>
              <w:jc w:val="left"/>
            </w:pPr>
            <w:r>
              <w:rPr/>
              <w:t xml:space="preserve">Medición</w:t>
            </w:r>
          </w:p>
        </w:tc>
      </w:tr>
      <w:tr>
        <w:tc>
          <w:tcPr>
            <w:tcW w:w="1083" w:type="dxa"/>
          </w:tcPr>
          <w:p>
            <w:pPr>
              <w:pStyle w:val="CeldaAPA"/>
              <w:jc w:val="left"/>
            </w:pPr>
            <w:r>
              <w:rPr/>
              <w:t xml:space="preserve">NC-02</w:t>
            </w:r>
          </w:p>
        </w:tc>
        <w:tc>
          <w:tcPr>
            <w:tcW w:w="3191" w:type="dxa"/>
          </w:tcPr>
          <w:p>
            <w:pPr>
              <w:pStyle w:val="CeldaAPA"/>
              <w:jc w:val="left"/>
            </w:pPr>
            <w:r>
              <w:rPr/>
              <w:t xml:space="preserve">Probetas de columnas y vigas ensayadas a 55–76 días y proyectadas con un factor sin fuente; elaboradas por la contratista y sin identificación de la muestra</w:t>
            </w:r>
          </w:p>
        </w:tc>
        <w:tc>
          <w:tcPr>
            <w:tcW w:w="1610" w:type="dxa"/>
          </w:tcPr>
          <w:p>
            <w:pPr>
              <w:pStyle w:val="CeldaAPA"/>
              <w:jc w:val="left"/>
            </w:pPr>
            <w:r>
              <w:rPr/>
              <w:t xml:space="preserve">PAO2, p. 78</w:t>
            </w:r>
          </w:p>
        </w:tc>
        <w:tc>
          <w:tcPr>
            <w:tcW w:w="2087" w:type="dxa"/>
          </w:tcPr>
          <w:p>
            <w:pPr>
              <w:pStyle w:val="CeldaAPA"/>
              <w:jc w:val="left"/>
            </w:pPr>
            <w:r>
              <w:rPr/>
              <w:t xml:space="preserve">ISO 7.1.5 y 8.5.2; ACI 318-25, 26.12</w:t>
            </w:r>
          </w:p>
        </w:tc>
        <w:tc>
          <w:tcPr>
            <w:tcW w:w="1388" w:type="dxa"/>
          </w:tcPr>
          <w:p>
            <w:pPr>
              <w:pStyle w:val="CeldaAPA"/>
              <w:jc w:val="left"/>
            </w:pPr>
            <w:r>
              <w:rPr/>
              <w:t xml:space="preserve">Medición</w:t>
            </w:r>
          </w:p>
        </w:tc>
      </w:tr>
      <w:tr>
        <w:tc>
          <w:tcPr>
            <w:tcW w:w="1083" w:type="dxa"/>
          </w:tcPr>
          <w:p>
            <w:pPr>
              <w:pStyle w:val="CeldaAPA"/>
              <w:jc w:val="left"/>
            </w:pPr>
            <w:r>
              <w:rPr/>
              <w:t xml:space="preserve">NC-03</w:t>
            </w:r>
          </w:p>
        </w:tc>
        <w:tc>
          <w:tcPr>
            <w:tcW w:w="3191" w:type="dxa"/>
          </w:tcPr>
          <w:p>
            <w:pPr>
              <w:pStyle w:val="CeldaAPA"/>
              <w:jc w:val="left"/>
            </w:pPr>
            <w:r>
              <w:rPr/>
              <w:t xml:space="preserve">Sin dosificación aprobada ni registros de asentamiento y curado, pese a tres instrucciones de la Supervisión</w:t>
            </w:r>
          </w:p>
        </w:tc>
        <w:tc>
          <w:tcPr>
            <w:tcW w:w="1610" w:type="dxa"/>
          </w:tcPr>
          <w:p>
            <w:pPr>
              <w:pStyle w:val="CeldaAPA"/>
              <w:jc w:val="left"/>
            </w:pPr>
            <w:r>
              <w:rPr/>
              <w:t xml:space="preserve">PAO2, pp. 9, 120, 121, 125</w:t>
            </w:r>
          </w:p>
        </w:tc>
        <w:tc>
          <w:tcPr>
            <w:tcW w:w="2087" w:type="dxa"/>
          </w:tcPr>
          <w:p>
            <w:pPr>
              <w:pStyle w:val="CeldaAPA"/>
              <w:jc w:val="left"/>
            </w:pPr>
            <w:r>
              <w:rPr/>
              <w:t xml:space="preserve">ISO 8.5.1; ET; ACI 318-25, 26.4 y 26.5</w:t>
            </w:r>
          </w:p>
        </w:tc>
        <w:tc>
          <w:tcPr>
            <w:tcW w:w="1388" w:type="dxa"/>
          </w:tcPr>
          <w:p>
            <w:pPr>
              <w:pStyle w:val="CeldaAPA"/>
              <w:jc w:val="left"/>
            </w:pPr>
            <w:r>
              <w:rPr/>
              <w:t xml:space="preserve">Método</w:t>
            </w:r>
          </w:p>
        </w:tc>
      </w:tr>
      <w:tr>
        <w:tc>
          <w:tcPr>
            <w:tcW w:w="1083" w:type="dxa"/>
          </w:tcPr>
          <w:p>
            <w:pPr>
              <w:pStyle w:val="CeldaAPA"/>
              <w:jc w:val="left"/>
            </w:pPr>
            <w:r>
              <w:rPr/>
              <w:t xml:space="preserve">NC-04</w:t>
            </w:r>
          </w:p>
        </w:tc>
        <w:tc>
          <w:tcPr>
            <w:tcW w:w="3191" w:type="dxa"/>
          </w:tcPr>
          <w:p>
            <w:pPr>
              <w:pStyle w:val="CeldaAPA"/>
              <w:jc w:val="left"/>
            </w:pPr>
            <w:r>
              <w:rPr/>
              <w:t xml:space="preserve">Certificados de viguetas y EPS posteriores al inicio del armado y sin firma; el de viguetas sin cantidad, lote ni ensayos; sin inspección de recepción</w:t>
            </w:r>
          </w:p>
        </w:tc>
        <w:tc>
          <w:tcPr>
            <w:tcW w:w="1610" w:type="dxa"/>
          </w:tcPr>
          <w:p>
            <w:pPr>
              <w:pStyle w:val="CeldaAPA"/>
              <w:jc w:val="left"/>
            </w:pPr>
            <w:r>
              <w:rPr/>
              <w:t xml:space="preserve">PAO2, pp. 80–81, 122</w:t>
            </w:r>
          </w:p>
        </w:tc>
        <w:tc>
          <w:tcPr>
            <w:tcW w:w="2087" w:type="dxa"/>
          </w:tcPr>
          <w:p>
            <w:pPr>
              <w:pStyle w:val="CeldaAPA"/>
              <w:jc w:val="left"/>
            </w:pPr>
            <w:r>
              <w:rPr/>
              <w:t xml:space="preserve">ISO 8.4.2; cl. 26.6</w:t>
            </w:r>
          </w:p>
        </w:tc>
        <w:tc>
          <w:tcPr>
            <w:tcW w:w="1388" w:type="dxa"/>
          </w:tcPr>
          <w:p>
            <w:pPr>
              <w:pStyle w:val="CeldaAPA"/>
              <w:jc w:val="left"/>
            </w:pPr>
            <w:r>
              <w:rPr/>
              <w:t xml:space="preserve">Materiales</w:t>
            </w:r>
          </w:p>
        </w:tc>
      </w:tr>
      <w:tr>
        <w:tc>
          <w:tcPr>
            <w:tcW w:w="1083" w:type="dxa"/>
          </w:tcPr>
          <w:p>
            <w:pPr>
              <w:pStyle w:val="CeldaAPA"/>
              <w:jc w:val="left"/>
            </w:pPr>
            <w:r>
              <w:rPr/>
              <w:t xml:space="preserve">NC-05</w:t>
            </w:r>
          </w:p>
        </w:tc>
        <w:tc>
          <w:tcPr>
            <w:tcW w:w="3191" w:type="dxa"/>
          </w:tcPr>
          <w:p>
            <w:pPr>
              <w:pStyle w:val="CeldaAPA"/>
              <w:jc w:val="left"/>
            </w:pPr>
            <w:r>
              <w:rPr/>
              <w:t xml:space="preserve">Sin certificados de las barras de</w:t>
            </w:r>
            <w:r>
              <w:rPr/>
              <w:t xml:space="preserve"> </w:t>
            </w:r>
            <m:oMath>
              <m:r>
                <m:t>ϕ</m:t>
              </m:r>
            </m:oMath>
            <w:r>
              <w:rPr/>
              <w:t xml:space="preserve">6 y</w:t>
            </w:r>
            <w:r>
              <w:rPr/>
              <w:t xml:space="preserve"> </w:t>
            </w:r>
            <m:oMath>
              <m:r>
                <m:t>ϕ</m:t>
              </m:r>
            </m:oMath>
            <w:r>
              <w:rPr/>
              <w:t xml:space="preserve">10 de la losa, ni de cemento y áridos</w:t>
            </w:r>
          </w:p>
        </w:tc>
        <w:tc>
          <w:tcPr>
            <w:tcW w:w="1610" w:type="dxa"/>
          </w:tcPr>
          <w:p>
            <w:pPr>
              <w:pStyle w:val="CeldaAPA"/>
              <w:jc w:val="left"/>
            </w:pPr>
            <w:r>
              <w:rPr/>
              <w:t xml:space="preserve">PAO2, pp. 82–86; Plano 02</w:t>
            </w:r>
          </w:p>
        </w:tc>
        <w:tc>
          <w:tcPr>
            <w:tcW w:w="2087" w:type="dxa"/>
          </w:tcPr>
          <w:p>
            <w:pPr>
              <w:pStyle w:val="CeldaAPA"/>
              <w:jc w:val="left"/>
            </w:pPr>
            <w:r>
              <w:rPr/>
              <w:t xml:space="preserve">ISO 8.4.2; ET; ACI 318-25, 26.6</w:t>
            </w:r>
          </w:p>
        </w:tc>
        <w:tc>
          <w:tcPr>
            <w:tcW w:w="1388" w:type="dxa"/>
          </w:tcPr>
          <w:p>
            <w:pPr>
              <w:pStyle w:val="CeldaAPA"/>
              <w:jc w:val="left"/>
            </w:pPr>
            <w:r>
              <w:rPr/>
              <w:t xml:space="preserve">Materiales</w:t>
            </w:r>
          </w:p>
        </w:tc>
      </w:tr>
      <w:tr>
        <w:tc>
          <w:tcPr>
            <w:tcW w:w="1083" w:type="dxa"/>
          </w:tcPr>
          <w:p>
            <w:pPr>
              <w:pStyle w:val="CeldaAPA"/>
              <w:jc w:val="left"/>
            </w:pPr>
            <w:r>
              <w:rPr/>
              <w:t xml:space="preserve">NC-06</w:t>
            </w:r>
          </w:p>
        </w:tc>
        <w:tc>
          <w:tcPr>
            <w:tcW w:w="3191" w:type="dxa"/>
          </w:tcPr>
          <w:p>
            <w:pPr>
              <w:pStyle w:val="CeldaAPA"/>
              <w:jc w:val="left"/>
            </w:pPr>
            <w:r>
              <w:rPr/>
              <w:t xml:space="preserve">Tres geometrías del complemento EPS (ET, Plano 02 y certificado) sin aclaración ni orden de cambio</w:t>
            </w:r>
          </w:p>
        </w:tc>
        <w:tc>
          <w:tcPr>
            <w:tcW w:w="1610" w:type="dxa"/>
          </w:tcPr>
          <w:p>
            <w:pPr>
              <w:pStyle w:val="CeldaAPA"/>
              <w:jc w:val="left"/>
            </w:pPr>
            <w:r>
              <w:rPr/>
              <w:t xml:space="preserve">ET, p. 3; Plano 02; PAO2, p. 81</w:t>
            </w:r>
          </w:p>
        </w:tc>
        <w:tc>
          <w:tcPr>
            <w:tcW w:w="2087" w:type="dxa"/>
          </w:tcPr>
          <w:p>
            <w:pPr>
              <w:pStyle w:val="CeldaAPA"/>
              <w:jc w:val="left"/>
            </w:pPr>
            <w:r>
              <w:rPr/>
              <w:t xml:space="preserve">ISO 7.5.3 y 8.2.3</w:t>
            </w:r>
          </w:p>
        </w:tc>
        <w:tc>
          <w:tcPr>
            <w:tcW w:w="1388" w:type="dxa"/>
          </w:tcPr>
          <w:p>
            <w:pPr>
              <w:pStyle w:val="CeldaAPA"/>
              <w:jc w:val="left"/>
            </w:pPr>
            <w:r>
              <w:rPr/>
              <w:t xml:space="preserve">Gestión</w:t>
            </w:r>
          </w:p>
        </w:tc>
      </w:tr>
      <w:tr>
        <w:tc>
          <w:tcPr>
            <w:tcW w:w="1083" w:type="dxa"/>
          </w:tcPr>
          <w:p>
            <w:pPr>
              <w:pStyle w:val="CeldaAPA"/>
              <w:jc w:val="left"/>
            </w:pPr>
            <w:r>
              <w:rPr/>
              <w:t xml:space="preserve">NC-07</w:t>
            </w:r>
          </w:p>
        </w:tc>
        <w:tc>
          <w:tcPr>
            <w:tcW w:w="3191" w:type="dxa"/>
          </w:tcPr>
          <w:p>
            <w:pPr>
              <w:pStyle w:val="CeldaAPA"/>
              <w:jc w:val="left"/>
            </w:pPr>
            <w:r>
              <w:rPr/>
              <w:t xml:space="preserve">ET con la CBH-87 y normas bolivianas antiguas de cemento, áridos y agua</w:t>
            </w:r>
          </w:p>
        </w:tc>
        <w:tc>
          <w:tcPr>
            <w:tcW w:w="1610" w:type="dxa"/>
          </w:tcPr>
          <w:p>
            <w:pPr>
              <w:pStyle w:val="CeldaAPA"/>
              <w:jc w:val="left"/>
            </w:pPr>
            <w:r>
              <w:rPr/>
              <w:t xml:space="preserve">ET, pp. 1–2</w:t>
            </w:r>
          </w:p>
        </w:tc>
        <w:tc>
          <w:tcPr>
            <w:tcW w:w="2087" w:type="dxa"/>
          </w:tcPr>
          <w:p>
            <w:pPr>
              <w:pStyle w:val="CeldaAPA"/>
              <w:jc w:val="left"/>
            </w:pPr>
            <w:r>
              <w:rPr/>
              <w:t xml:space="preserve">ISO 7.5.3 y 8.2.2</w:t>
            </w:r>
          </w:p>
        </w:tc>
        <w:tc>
          <w:tcPr>
            <w:tcW w:w="1388" w:type="dxa"/>
          </w:tcPr>
          <w:p>
            <w:pPr>
              <w:pStyle w:val="CeldaAPA"/>
              <w:jc w:val="left"/>
            </w:pPr>
            <w:r>
              <w:rPr/>
              <w:t xml:space="preserve">Gestión</w:t>
            </w:r>
          </w:p>
        </w:tc>
      </w:tr>
      <w:tr>
        <w:tc>
          <w:tcPr>
            <w:tcW w:w="1083" w:type="dxa"/>
          </w:tcPr>
          <w:p>
            <w:pPr>
              <w:pStyle w:val="CeldaAPA"/>
              <w:jc w:val="left"/>
            </w:pPr>
            <w:r>
              <w:rPr/>
              <w:t xml:space="preserve">NC-08</w:t>
            </w:r>
          </w:p>
        </w:tc>
        <w:tc>
          <w:tcPr>
            <w:tcW w:w="3191" w:type="dxa"/>
          </w:tcPr>
          <w:p>
            <w:pPr>
              <w:pStyle w:val="CeldaAPA"/>
              <w:jc w:val="left"/>
            </w:pPr>
            <w:r>
              <w:rPr/>
              <w:t xml:space="preserve">Modificaciones estructurales por falta de viguetas de los tamaños requeridos, sin documento del cambio ni de su aprobación</w:t>
            </w:r>
          </w:p>
        </w:tc>
        <w:tc>
          <w:tcPr>
            <w:tcW w:w="1610" w:type="dxa"/>
          </w:tcPr>
          <w:p>
            <w:pPr>
              <w:pStyle w:val="CeldaAPA"/>
              <w:jc w:val="left"/>
            </w:pPr>
            <w:r>
              <w:rPr/>
              <w:t xml:space="preserve">PAO2, p. 11</w:t>
            </w:r>
          </w:p>
        </w:tc>
        <w:tc>
          <w:tcPr>
            <w:tcW w:w="2087" w:type="dxa"/>
          </w:tcPr>
          <w:p>
            <w:pPr>
              <w:pStyle w:val="CeldaAPA"/>
              <w:jc w:val="left"/>
            </w:pPr>
            <w:r>
              <w:rPr/>
              <w:t xml:space="preserve">ISO 6.3, 8.4.1 y 8.5.6</w:t>
            </w:r>
          </w:p>
        </w:tc>
        <w:tc>
          <w:tcPr>
            <w:tcW w:w="1388" w:type="dxa"/>
          </w:tcPr>
          <w:p>
            <w:pPr>
              <w:pStyle w:val="CeldaAPA"/>
              <w:jc w:val="left"/>
            </w:pPr>
            <w:r>
              <w:rPr/>
              <w:t xml:space="preserve">Materiales</w:t>
            </w:r>
          </w:p>
        </w:tc>
      </w:tr>
      <w:tr>
        <w:tc>
          <w:tcPr>
            <w:tcW w:w="1083" w:type="dxa"/>
          </w:tcPr>
          <w:p>
            <w:pPr>
              <w:pStyle w:val="CeldaAPA"/>
              <w:jc w:val="left"/>
            </w:pPr>
            <w:r>
              <w:rPr/>
              <w:t xml:space="preserve">NC-09</w:t>
            </w:r>
          </w:p>
        </w:tc>
        <w:tc>
          <w:tcPr>
            <w:tcW w:w="3191" w:type="dxa"/>
          </w:tcPr>
          <w:p>
            <w:pPr>
              <w:pStyle w:val="CeldaAPA"/>
              <w:jc w:val="left"/>
            </w:pPr>
            <w:r>
              <w:rPr/>
              <w:t xml:space="preserve">Libro de Órdenes con encabezados vacíos y sin la constancia firmada del Director de Obra en las 12 hojas</w:t>
            </w:r>
          </w:p>
        </w:tc>
        <w:tc>
          <w:tcPr>
            <w:tcW w:w="1610" w:type="dxa"/>
          </w:tcPr>
          <w:p>
            <w:pPr>
              <w:pStyle w:val="CeldaAPA"/>
              <w:jc w:val="left"/>
            </w:pPr>
            <w:r>
              <w:rPr/>
              <w:t xml:space="preserve">PAO2, pp. 114–125</w:t>
            </w:r>
          </w:p>
        </w:tc>
        <w:tc>
          <w:tcPr>
            <w:tcW w:w="2087" w:type="dxa"/>
          </w:tcPr>
          <w:p>
            <w:pPr>
              <w:pStyle w:val="CeldaAPA"/>
              <w:jc w:val="left"/>
            </w:pPr>
            <w:r>
              <w:rPr/>
              <w:t xml:space="preserve">ISO 7.4 y 7.5.2; cl. 25.ª</w:t>
            </w:r>
          </w:p>
        </w:tc>
        <w:tc>
          <w:tcPr>
            <w:tcW w:w="1388" w:type="dxa"/>
          </w:tcPr>
          <w:p>
            <w:pPr>
              <w:pStyle w:val="CeldaAPA"/>
              <w:jc w:val="left"/>
            </w:pPr>
            <w:r>
              <w:rPr/>
              <w:t xml:space="preserve">Gestión</w:t>
            </w:r>
          </w:p>
        </w:tc>
      </w:tr>
      <w:tr>
        <w:tc>
          <w:tcPr>
            <w:tcW w:w="1083" w:type="dxa"/>
          </w:tcPr>
          <w:p>
            <w:pPr>
              <w:pStyle w:val="CeldaAPA"/>
              <w:jc w:val="left"/>
            </w:pPr>
            <w:r>
              <w:rPr/>
              <w:t xml:space="preserve">NC-10</w:t>
            </w:r>
          </w:p>
        </w:tc>
        <w:tc>
          <w:tcPr>
            <w:tcW w:w="3191" w:type="dxa"/>
          </w:tcPr>
          <w:p>
            <w:pPr>
              <w:pStyle w:val="CeldaAPA"/>
              <w:jc w:val="left"/>
            </w:pPr>
            <w:r>
              <w:rPr/>
              <w:t xml:space="preserve">Liberaciones de vaciado sin lista de verificación ni criterios; la de la losa no instruye muestreo ni registra la fecha del hormigonado</w:t>
            </w:r>
          </w:p>
        </w:tc>
        <w:tc>
          <w:tcPr>
            <w:tcW w:w="1610" w:type="dxa"/>
          </w:tcPr>
          <w:p>
            <w:pPr>
              <w:pStyle w:val="CeldaAPA"/>
              <w:jc w:val="left"/>
            </w:pPr>
            <w:r>
              <w:rPr/>
              <w:t xml:space="preserve">PAO2, pp. 114–125</w:t>
            </w:r>
          </w:p>
        </w:tc>
        <w:tc>
          <w:tcPr>
            <w:tcW w:w="2087" w:type="dxa"/>
          </w:tcPr>
          <w:p>
            <w:pPr>
              <w:pStyle w:val="CeldaAPA"/>
              <w:jc w:val="left"/>
            </w:pPr>
            <w:r>
              <w:rPr/>
              <w:t xml:space="preserve">ISO 8.5.1 y 8.6; ACI 318-25, 26.13</w:t>
            </w:r>
          </w:p>
        </w:tc>
        <w:tc>
          <w:tcPr>
            <w:tcW w:w="1388" w:type="dxa"/>
          </w:tcPr>
          <w:p>
            <w:pPr>
              <w:pStyle w:val="CeldaAPA"/>
              <w:jc w:val="left"/>
            </w:pPr>
            <w:r>
              <w:rPr/>
              <w:t xml:space="preserve">Método</w:t>
            </w:r>
          </w:p>
        </w:tc>
      </w:tr>
      <w:tr>
        <w:tc>
          <w:tcPr>
            <w:tcW w:w="1083" w:type="dxa"/>
          </w:tcPr>
          <w:p>
            <w:pPr>
              <w:pStyle w:val="CeldaAPA"/>
              <w:jc w:val="left"/>
            </w:pPr>
            <w:r>
              <w:rPr/>
              <w:t xml:space="preserve">NC-11</w:t>
            </w:r>
          </w:p>
        </w:tc>
        <w:tc>
          <w:tcPr>
            <w:tcW w:w="3191" w:type="dxa"/>
          </w:tcPr>
          <w:p>
            <w:pPr>
              <w:pStyle w:val="CeldaAPA"/>
              <w:jc w:val="left"/>
            </w:pPr>
            <w:r>
              <w:rPr/>
              <w:t xml:space="preserve">Ninguna no conformidad, rechazo o retrabajo registrado en el periodo</w:t>
            </w:r>
          </w:p>
        </w:tc>
        <w:tc>
          <w:tcPr>
            <w:tcW w:w="1610" w:type="dxa"/>
          </w:tcPr>
          <w:p>
            <w:pPr>
              <w:pStyle w:val="CeldaAPA"/>
              <w:jc w:val="left"/>
            </w:pPr>
            <w:r>
              <w:rPr/>
              <w:t xml:space="preserve">PAO2, pp. 6–11, 114–125</w:t>
            </w:r>
          </w:p>
        </w:tc>
        <w:tc>
          <w:tcPr>
            <w:tcW w:w="2087" w:type="dxa"/>
          </w:tcPr>
          <w:p>
            <w:pPr>
              <w:pStyle w:val="CeldaAPA"/>
              <w:jc w:val="left"/>
            </w:pPr>
            <w:r>
              <w:rPr/>
              <w:t xml:space="preserve">ISO 8.7 y 10.2</w:t>
            </w:r>
          </w:p>
        </w:tc>
        <w:tc>
          <w:tcPr>
            <w:tcW w:w="1388" w:type="dxa"/>
          </w:tcPr>
          <w:p>
            <w:pPr>
              <w:pStyle w:val="CeldaAPA"/>
              <w:jc w:val="left"/>
            </w:pPr>
            <w:r>
              <w:rPr/>
              <w:t xml:space="preserve">Gestión</w:t>
            </w:r>
          </w:p>
        </w:tc>
      </w:tr>
      <w:tr>
        <w:tc>
          <w:tcPr>
            <w:tcW w:w="1083" w:type="dxa"/>
          </w:tcPr>
          <w:p>
            <w:pPr>
              <w:pStyle w:val="CeldaAPA"/>
              <w:jc w:val="left"/>
            </w:pPr>
            <w:r>
              <w:rPr/>
              <w:t xml:space="preserve">NC-12</w:t>
            </w:r>
          </w:p>
        </w:tc>
        <w:tc>
          <w:tcPr>
            <w:tcW w:w="3191" w:type="dxa"/>
          </w:tcPr>
          <w:p>
            <w:pPr>
              <w:pStyle w:val="CeldaAPA"/>
              <w:jc w:val="left"/>
            </w:pPr>
            <w:r>
              <w:rPr/>
              <w:t xml:space="preserve">Calidad calificada de «buena» y ensayos y verificaciones afirmados sin registros, en contradicción con las recomendaciones de la misma Supervisión</w:t>
            </w:r>
          </w:p>
        </w:tc>
        <w:tc>
          <w:tcPr>
            <w:tcW w:w="1610" w:type="dxa"/>
          </w:tcPr>
          <w:p>
            <w:pPr>
              <w:pStyle w:val="CeldaAPA"/>
              <w:jc w:val="left"/>
            </w:pPr>
            <w:r>
              <w:rPr/>
              <w:t xml:space="preserve">PAO2, pp. 9, 11</w:t>
            </w:r>
          </w:p>
        </w:tc>
        <w:tc>
          <w:tcPr>
            <w:tcW w:w="2087" w:type="dxa"/>
          </w:tcPr>
          <w:p>
            <w:pPr>
              <w:pStyle w:val="CeldaAPA"/>
              <w:jc w:val="left"/>
            </w:pPr>
            <w:r>
              <w:rPr/>
              <w:t xml:space="preserve">ISO 9.1.2 y 9.1.3</w:t>
            </w:r>
          </w:p>
        </w:tc>
        <w:tc>
          <w:tcPr>
            <w:tcW w:w="1388" w:type="dxa"/>
          </w:tcPr>
          <w:p>
            <w:pPr>
              <w:pStyle w:val="CeldaAPA"/>
              <w:jc w:val="left"/>
            </w:pPr>
            <w:r>
              <w:rPr/>
              <w:t xml:space="preserve">Medición</w:t>
            </w:r>
          </w:p>
        </w:tc>
      </w:tr>
      <w:tr>
        <w:tc>
          <w:tcPr>
            <w:tcW w:w="1083" w:type="dxa"/>
          </w:tcPr>
          <w:p>
            <w:pPr>
              <w:pStyle w:val="CeldaAPA"/>
              <w:jc w:val="left"/>
            </w:pPr>
            <w:r>
              <w:rPr/>
              <w:t xml:space="preserve">NC-13</w:t>
            </w:r>
          </w:p>
        </w:tc>
        <w:tc>
          <w:tcPr>
            <w:tcW w:w="3191" w:type="dxa"/>
          </w:tcPr>
          <w:p>
            <w:pPr>
              <w:pStyle w:val="CeldaAPA"/>
              <w:jc w:val="left"/>
            </w:pPr>
            <w:r>
              <w:rPr/>
              <w:t xml:space="preserve">Acero de la losa computado en el ítem 8 sin planilla de armado; la ET del ítem 13 incluye la parrilla y los negativos (posible doble cómputo, a verificar)</w:t>
            </w:r>
          </w:p>
        </w:tc>
        <w:tc>
          <w:tcPr>
            <w:tcW w:w="1610" w:type="dxa"/>
          </w:tcPr>
          <w:p>
            <w:pPr>
              <w:pStyle w:val="CeldaAPA"/>
              <w:jc w:val="left"/>
            </w:pPr>
            <w:r>
              <w:rPr/>
              <w:t xml:space="preserve">PAO2, p. 20; ET, p. 3</w:t>
            </w:r>
          </w:p>
        </w:tc>
        <w:tc>
          <w:tcPr>
            <w:tcW w:w="2087" w:type="dxa"/>
          </w:tcPr>
          <w:p>
            <w:pPr>
              <w:pStyle w:val="CeldaAPA"/>
              <w:jc w:val="left"/>
            </w:pPr>
            <w:r>
              <w:rPr/>
              <w:t xml:space="preserve">ISO 9.1.1; cl. 27.ª</w:t>
            </w:r>
          </w:p>
        </w:tc>
        <w:tc>
          <w:tcPr>
            <w:tcW w:w="1388" w:type="dxa"/>
          </w:tcPr>
          <w:p>
            <w:pPr>
              <w:pStyle w:val="CeldaAPA"/>
              <w:jc w:val="left"/>
            </w:pPr>
            <w:r>
              <w:rPr/>
              <w:t xml:space="preserve">Medición</w:t>
            </w:r>
          </w:p>
        </w:tc>
      </w:tr>
      <w:tr>
        <w:tc>
          <w:tcPr>
            <w:tcW w:w="1083" w:type="dxa"/>
          </w:tcPr>
          <w:p>
            <w:pPr>
              <w:pStyle w:val="CeldaAPA"/>
              <w:jc w:val="left"/>
            </w:pPr>
            <w:r>
              <w:rPr/>
              <w:t xml:space="preserve">NC-14</w:t>
            </w:r>
          </w:p>
        </w:tc>
        <w:tc>
          <w:tcPr>
            <w:tcW w:w="3191" w:type="dxa"/>
          </w:tcPr>
          <w:p>
            <w:pPr>
              <w:pStyle w:val="CeldaAPA"/>
              <w:jc w:val="left"/>
            </w:pPr>
            <w:r>
              <w:rPr/>
              <w:t xml:space="preserve">Cómputo de cierre con 3 </w:t>
            </w:r>
            <m:oMath>
              <m:r>
                <m:rPr>
                  <m:sty m:val="p"/>
                </m:rPr>
                <m:t>×</m:t>
              </m:r>
            </m:oMath>
            <w:r>
              <w:rPr/>
              <w:t xml:space="preserve"> 4.171,18 kg para una sola losa; dos versiones de la planilla de cierre y tres cifras del acero acumulado (a conciliar)</w:t>
            </w:r>
          </w:p>
        </w:tc>
        <w:tc>
          <w:tcPr>
            <w:tcW w:w="1610" w:type="dxa"/>
          </w:tcPr>
          <w:p>
            <w:pPr>
              <w:pStyle w:val="CeldaAPA"/>
              <w:jc w:val="left"/>
            </w:pPr>
            <w:r>
              <w:rPr/>
              <w:t xml:space="preserve">PAO3; PAO2, p. 16; Exp., pp. 2, 12</w:t>
            </w:r>
          </w:p>
        </w:tc>
        <w:tc>
          <w:tcPr>
            <w:tcW w:w="2087" w:type="dxa"/>
          </w:tcPr>
          <w:p>
            <w:pPr>
              <w:pStyle w:val="CeldaAPA"/>
              <w:jc w:val="left"/>
            </w:pPr>
            <w:r>
              <w:rPr/>
              <w:t xml:space="preserve">ISO 7.5.3 y 9.1.1; cl. 27.ª</w:t>
            </w:r>
          </w:p>
        </w:tc>
        <w:tc>
          <w:tcPr>
            <w:tcW w:w="1388" w:type="dxa"/>
          </w:tcPr>
          <w:p>
            <w:pPr>
              <w:pStyle w:val="CeldaAPA"/>
              <w:jc w:val="left"/>
            </w:pPr>
            <w:r>
              <w:rPr/>
              <w:t xml:space="preserve">Medición</w:t>
            </w:r>
          </w:p>
        </w:tc>
      </w:tr>
      <w:tr>
        <w:tc>
          <w:tcPr>
            <w:tcW w:w="1083" w:type="dxa"/>
          </w:tcPr>
          <w:p>
            <w:pPr>
              <w:pStyle w:val="CeldaAPA"/>
              <w:jc w:val="left"/>
            </w:pPr>
            <w:r>
              <w:rPr/>
              <w:t xml:space="preserve">NC-15</w:t>
            </w:r>
          </w:p>
        </w:tc>
        <w:tc>
          <w:tcPr>
            <w:tcW w:w="3191" w:type="dxa"/>
          </w:tcPr>
          <w:p>
            <w:pPr>
              <w:pStyle w:val="CeldaAPA"/>
              <w:jc w:val="left"/>
            </w:pPr>
            <w:r>
              <w:rPr/>
              <w:t xml:space="preserve">Cantidades corregidas después de pagadas (ítem 4 y acero) sin análisis de causas</w:t>
            </w:r>
          </w:p>
        </w:tc>
        <w:tc>
          <w:tcPr>
            <w:tcW w:w="1610" w:type="dxa"/>
          </w:tcPr>
          <w:p>
            <w:pPr>
              <w:pStyle w:val="CeldaAPA"/>
              <w:jc w:val="left"/>
            </w:pPr>
            <w:r>
              <w:rPr/>
              <w:t xml:space="preserve">PAO2, pp. 16, 18; PAO3</w:t>
            </w:r>
          </w:p>
        </w:tc>
        <w:tc>
          <w:tcPr>
            <w:tcW w:w="2087" w:type="dxa"/>
          </w:tcPr>
          <w:p>
            <w:pPr>
              <w:pStyle w:val="CeldaAPA"/>
              <w:jc w:val="left"/>
            </w:pPr>
            <w:r>
              <w:rPr/>
              <w:t xml:space="preserve">ISO 10.2</w:t>
            </w:r>
          </w:p>
        </w:tc>
        <w:tc>
          <w:tcPr>
            <w:tcW w:w="1388" w:type="dxa"/>
          </w:tcPr>
          <w:p>
            <w:pPr>
              <w:pStyle w:val="CeldaAPA"/>
              <w:jc w:val="left"/>
            </w:pPr>
            <w:r>
              <w:rPr/>
              <w:t xml:space="preserve">Medición</w:t>
            </w:r>
          </w:p>
        </w:tc>
      </w:tr>
      <w:tr>
        <w:tc>
          <w:tcPr>
            <w:tcW w:w="1083" w:type="dxa"/>
          </w:tcPr>
          <w:p>
            <w:pPr>
              <w:pStyle w:val="CeldaAPA"/>
              <w:jc w:val="left"/>
            </w:pPr>
            <w:r>
              <w:rPr/>
              <w:t xml:space="preserve">NC-16</w:t>
            </w:r>
          </w:p>
        </w:tc>
        <w:tc>
          <w:tcPr>
            <w:tcW w:w="3191" w:type="dxa"/>
          </w:tcPr>
          <w:p>
            <w:pPr>
              <w:pStyle w:val="CeldaAPA"/>
              <w:jc w:val="left"/>
            </w:pPr>
            <w:r>
              <w:rPr/>
              <w:t xml:space="preserve">Sin cantidades de materiales por paño ni control de consumos; 2.350 piezas de EPS entregadas sin conciliación con lo colocado</w:t>
            </w:r>
          </w:p>
        </w:tc>
        <w:tc>
          <w:tcPr>
            <w:tcW w:w="1610" w:type="dxa"/>
          </w:tcPr>
          <w:p>
            <w:pPr>
              <w:pStyle w:val="CeldaAPA"/>
              <w:jc w:val="left"/>
            </w:pPr>
            <w:r>
              <w:rPr/>
              <w:t xml:space="preserve">PAO2, pp. 28–29, 81</w:t>
            </w:r>
          </w:p>
        </w:tc>
        <w:tc>
          <w:tcPr>
            <w:tcW w:w="2087" w:type="dxa"/>
          </w:tcPr>
          <w:p>
            <w:pPr>
              <w:pStyle w:val="CeldaAPA"/>
              <w:jc w:val="left"/>
            </w:pPr>
            <w:r>
              <w:rPr/>
              <w:t xml:space="preserve">ISO 8.1 y 8.5.2</w:t>
            </w:r>
          </w:p>
        </w:tc>
        <w:tc>
          <w:tcPr>
            <w:tcW w:w="1388" w:type="dxa"/>
          </w:tcPr>
          <w:p>
            <w:pPr>
              <w:pStyle w:val="CeldaAPA"/>
              <w:jc w:val="left"/>
            </w:pPr>
            <w:r>
              <w:rPr/>
              <w:t xml:space="preserve">Materiales</w:t>
            </w:r>
          </w:p>
        </w:tc>
      </w:tr>
      <w:tr>
        <w:tc>
          <w:tcPr>
            <w:tcW w:w="1083" w:type="dxa"/>
          </w:tcPr>
          <w:p>
            <w:pPr>
              <w:pStyle w:val="CeldaAPA"/>
              <w:jc w:val="left"/>
            </w:pPr>
            <w:r>
              <w:rPr/>
              <w:t xml:space="preserve">NC-17</w:t>
            </w:r>
          </w:p>
        </w:tc>
        <w:tc>
          <w:tcPr>
            <w:tcW w:w="3191" w:type="dxa"/>
          </w:tcPr>
          <w:p>
            <w:pPr>
              <w:pStyle w:val="CeldaAPA"/>
              <w:jc w:val="left"/>
            </w:pPr>
            <w:r>
              <w:rPr/>
              <w:t xml:space="preserve">Acopio sin recepción, inspección, inventario ni protección; material y restos dispersos</w:t>
            </w:r>
          </w:p>
        </w:tc>
        <w:tc>
          <w:tcPr>
            <w:tcW w:w="1610" w:type="dxa"/>
          </w:tcPr>
          <w:p>
            <w:pPr>
              <w:pStyle w:val="CeldaAPA"/>
              <w:jc w:val="left"/>
            </w:pPr>
            <w:r>
              <w:rPr/>
              <w:t xml:space="preserve">PAO2, pp. 10, 75–76</w:t>
            </w:r>
          </w:p>
        </w:tc>
        <w:tc>
          <w:tcPr>
            <w:tcW w:w="2087" w:type="dxa"/>
          </w:tcPr>
          <w:p>
            <w:pPr>
              <w:pStyle w:val="CeldaAPA"/>
              <w:jc w:val="left"/>
            </w:pPr>
            <w:r>
              <w:rPr/>
              <w:t xml:space="preserve">ISO 8.5.4; cl. 26.9</w:t>
            </w:r>
          </w:p>
        </w:tc>
        <w:tc>
          <w:tcPr>
            <w:tcW w:w="1388" w:type="dxa"/>
          </w:tcPr>
          <w:p>
            <w:pPr>
              <w:pStyle w:val="CeldaAPA"/>
              <w:jc w:val="left"/>
            </w:pPr>
            <w:r>
              <w:rPr/>
              <w:t xml:space="preserve">Método</w:t>
            </w:r>
          </w:p>
        </w:tc>
      </w:tr>
      <w:tr>
        <w:tc>
          <w:tcPr>
            <w:tcW w:w="1083" w:type="dxa"/>
          </w:tcPr>
          <w:p>
            <w:pPr>
              <w:pStyle w:val="CeldaAPA"/>
              <w:jc w:val="left"/>
            </w:pPr>
            <w:r>
              <w:rPr/>
              <w:t xml:space="preserve">NC-18</w:t>
            </w:r>
          </w:p>
        </w:tc>
        <w:tc>
          <w:tcPr>
            <w:tcW w:w="3191" w:type="dxa"/>
          </w:tcPr>
          <w:p>
            <w:pPr>
              <w:pStyle w:val="CeldaAPA"/>
              <w:jc w:val="left"/>
            </w:pPr>
            <w:r>
              <w:rPr/>
              <w:t xml:space="preserve">Parrilla sin separadores visibles y pisada durante el vaciado (observación fotográfica por confirmar)</w:t>
            </w:r>
          </w:p>
        </w:tc>
        <w:tc>
          <w:tcPr>
            <w:tcW w:w="1610" w:type="dxa"/>
          </w:tcPr>
          <w:p>
            <w:pPr>
              <w:pStyle w:val="CeldaAPA"/>
              <w:jc w:val="left"/>
            </w:pPr>
            <w:r>
              <w:rPr/>
              <w:t xml:space="preserve">PAO2, p. 76</w:t>
            </w:r>
          </w:p>
        </w:tc>
        <w:tc>
          <w:tcPr>
            <w:tcW w:w="2087" w:type="dxa"/>
          </w:tcPr>
          <w:p>
            <w:pPr>
              <w:pStyle w:val="CeldaAPA"/>
              <w:jc w:val="left"/>
            </w:pPr>
            <w:r>
              <w:rPr/>
              <w:t xml:space="preserve">ISO 7.3 y 8.5.1; ACI 318-25, 26.6</w:t>
            </w:r>
          </w:p>
        </w:tc>
        <w:tc>
          <w:tcPr>
            <w:tcW w:w="1388" w:type="dxa"/>
          </w:tcPr>
          <w:p>
            <w:pPr>
              <w:pStyle w:val="CeldaAPA"/>
              <w:jc w:val="left"/>
            </w:pPr>
            <w:r>
              <w:rPr/>
              <w:t xml:space="preserve">Mano de obra</w:t>
            </w:r>
          </w:p>
        </w:tc>
      </w:tr>
      <w:tr>
        <w:tc>
          <w:tcPr>
            <w:tcW w:w="1083" w:type="dxa"/>
          </w:tcPr>
          <w:p>
            <w:pPr>
              <w:pStyle w:val="CeldaAPA"/>
              <w:jc w:val="left"/>
            </w:pPr>
            <w:r>
              <w:rPr/>
              <w:t xml:space="preserve">NC-19</w:t>
            </w:r>
          </w:p>
        </w:tc>
        <w:tc>
          <w:tcPr>
            <w:tcW w:w="3191" w:type="dxa"/>
          </w:tcPr>
          <w:p>
            <w:pPr>
              <w:pStyle w:val="CeldaAPA"/>
              <w:jc w:val="left"/>
            </w:pPr>
            <w:r>
              <w:rPr/>
              <w:t xml:space="preserve">Competencia y capacitación del personal de obra no determinadas ni registradas; Supervisión con apoyo de pasantes</w:t>
            </w:r>
          </w:p>
        </w:tc>
        <w:tc>
          <w:tcPr>
            <w:tcW w:w="1610" w:type="dxa"/>
          </w:tcPr>
          <w:p>
            <w:pPr>
              <w:pStyle w:val="CeldaAPA"/>
              <w:jc w:val="left"/>
            </w:pPr>
            <w:r>
              <w:rPr/>
              <w:t xml:space="preserve">PAO2, pp. 9–10</w:t>
            </w:r>
          </w:p>
        </w:tc>
        <w:tc>
          <w:tcPr>
            <w:tcW w:w="2087" w:type="dxa"/>
          </w:tcPr>
          <w:p>
            <w:pPr>
              <w:pStyle w:val="CeldaAPA"/>
              <w:jc w:val="left"/>
            </w:pPr>
            <w:r>
              <w:rPr/>
              <w:t xml:space="preserve">ISO 7.2</w:t>
            </w:r>
          </w:p>
        </w:tc>
        <w:tc>
          <w:tcPr>
            <w:tcW w:w="1388" w:type="dxa"/>
          </w:tcPr>
          <w:p>
            <w:pPr>
              <w:pStyle w:val="CeldaAPA"/>
              <w:jc w:val="left"/>
            </w:pPr>
            <w:r>
              <w:rPr/>
              <w:t xml:space="preserve">Mano de obra</w:t>
            </w:r>
          </w:p>
        </w:tc>
      </w:tr>
      <w:tr>
        <w:tc>
          <w:tcPr>
            <w:tcW w:w="1083" w:type="dxa"/>
          </w:tcPr>
          <w:p>
            <w:pPr>
              <w:pStyle w:val="CeldaAPA"/>
              <w:jc w:val="left"/>
            </w:pPr>
            <w:r>
              <w:rPr/>
              <w:t xml:space="preserve">NC-20</w:t>
            </w:r>
          </w:p>
        </w:tc>
        <w:tc>
          <w:tcPr>
            <w:tcW w:w="3191" w:type="dxa"/>
          </w:tcPr>
          <w:p>
            <w:pPr>
              <w:pStyle w:val="CeldaAPA"/>
              <w:jc w:val="left"/>
            </w:pPr>
            <w:r>
              <w:rPr/>
              <w:t xml:space="preserve">Cronograma «actualizado» que no refleja la ejecución; retraso de 3,03 puntos y desfase del periodo mal calculado</w:t>
            </w:r>
          </w:p>
        </w:tc>
        <w:tc>
          <w:tcPr>
            <w:tcW w:w="1610" w:type="dxa"/>
          </w:tcPr>
          <w:p>
            <w:pPr>
              <w:pStyle w:val="CeldaAPA"/>
              <w:jc w:val="left"/>
            </w:pPr>
            <w:r>
              <w:rPr/>
              <w:t xml:space="preserve">PAO2, pp. 10, 137</w:t>
            </w:r>
          </w:p>
        </w:tc>
        <w:tc>
          <w:tcPr>
            <w:tcW w:w="2087" w:type="dxa"/>
          </w:tcPr>
          <w:p>
            <w:pPr>
              <w:pStyle w:val="CeldaAPA"/>
              <w:jc w:val="left"/>
            </w:pPr>
            <w:r>
              <w:rPr/>
              <w:t xml:space="preserve">ISO 6.2, 8.1 y 9.1.3; cl. 32.ª</w:t>
            </w:r>
          </w:p>
        </w:tc>
        <w:tc>
          <w:tcPr>
            <w:tcW w:w="1388" w:type="dxa"/>
          </w:tcPr>
          <w:p>
            <w:pPr>
              <w:pStyle w:val="CeldaAPA"/>
              <w:jc w:val="left"/>
            </w:pPr>
            <w:r>
              <w:rPr/>
              <w:t xml:space="preserve">Gestión</w:t>
            </w:r>
          </w:p>
        </w:tc>
      </w:tr>
      <w:tr>
        <w:tc>
          <w:tcPr>
            <w:tcW w:w="1083" w:type="dxa"/>
          </w:tcPr>
          <w:p>
            <w:pPr>
              <w:pStyle w:val="CeldaAPA"/>
              <w:jc w:val="left"/>
            </w:pPr>
            <w:r>
              <w:rPr/>
              <w:t xml:space="preserve">NC-21</w:t>
            </w:r>
          </w:p>
        </w:tc>
        <w:tc>
          <w:tcPr>
            <w:tcW w:w="3191" w:type="dxa"/>
          </w:tcPr>
          <w:p>
            <w:pPr>
              <w:pStyle w:val="CeldaAPA"/>
              <w:jc w:val="left"/>
            </w:pPr>
            <w:r>
              <w:rPr/>
              <w:t xml:space="preserve">Riesgos de suministro y de precios no identificados ni tratados (combustible, acero, viguetas)</w:t>
            </w:r>
          </w:p>
        </w:tc>
        <w:tc>
          <w:tcPr>
            <w:tcW w:w="1610" w:type="dxa"/>
          </w:tcPr>
          <w:p>
            <w:pPr>
              <w:pStyle w:val="CeldaAPA"/>
              <w:jc w:val="left"/>
            </w:pPr>
            <w:r>
              <w:rPr/>
              <w:t xml:space="preserve">PAO2, pp. 11, 123; Las Lomas</w:t>
            </w:r>
          </w:p>
        </w:tc>
        <w:tc>
          <w:tcPr>
            <w:tcW w:w="2087" w:type="dxa"/>
          </w:tcPr>
          <w:p>
            <w:pPr>
              <w:pStyle w:val="CeldaAPA"/>
              <w:jc w:val="left"/>
            </w:pPr>
            <w:r>
              <w:rPr/>
              <w:t xml:space="preserve">ISO 6.1</w:t>
            </w:r>
          </w:p>
        </w:tc>
        <w:tc>
          <w:tcPr>
            <w:tcW w:w="1388" w:type="dxa"/>
          </w:tcPr>
          <w:p>
            <w:pPr>
              <w:pStyle w:val="CeldaAPA"/>
              <w:jc w:val="left"/>
            </w:pPr>
            <w:r>
              <w:rPr/>
              <w:t xml:space="preserve">Gestión</w:t>
            </w:r>
          </w:p>
        </w:tc>
      </w:tr>
      <w:tr>
        <w:tc>
          <w:tcPr>
            <w:tcW w:w="1083" w:type="dxa"/>
            <w:tcBorders>
              <w:bottom w:val="single" w:sz="8" w:space="0" w:color="000000"/>
            </w:tcBorders>
          </w:tcPr>
          <w:p>
            <w:pPr>
              <w:pStyle w:val="CeldaAPA"/>
              <w:jc w:val="left"/>
            </w:pPr>
            <w:r>
              <w:rPr/>
              <w:t xml:space="preserve">NC-22</w:t>
            </w:r>
          </w:p>
        </w:tc>
        <w:tc>
          <w:tcPr>
            <w:tcW w:w="3191" w:type="dxa"/>
            <w:tcBorders>
              <w:bottom w:val="single" w:sz="8" w:space="0" w:color="000000"/>
            </w:tcBorders>
          </w:tcPr>
          <w:p>
            <w:pPr>
              <w:pStyle w:val="CeldaAPA"/>
              <w:jc w:val="left"/>
            </w:pPr>
            <w:r>
              <w:rPr/>
              <w:t xml:space="preserve">Sin previsiones para lluvias y bajas temperaturas en el vaciado y el curado</w:t>
            </w:r>
          </w:p>
        </w:tc>
        <w:tc>
          <w:tcPr>
            <w:tcW w:w="1610" w:type="dxa"/>
            <w:tcBorders>
              <w:bottom w:val="single" w:sz="8" w:space="0" w:color="000000"/>
            </w:tcBorders>
          </w:tcPr>
          <w:p>
            <w:pPr>
              <w:pStyle w:val="CeldaAPA"/>
              <w:jc w:val="left"/>
            </w:pPr>
            <w:r>
              <w:rPr/>
              <w:t xml:space="preserve">PAO2, pp. 122, 124</w:t>
            </w:r>
          </w:p>
        </w:tc>
        <w:tc>
          <w:tcPr>
            <w:tcW w:w="2087" w:type="dxa"/>
            <w:tcBorders>
              <w:bottom w:val="single" w:sz="8" w:space="0" w:color="000000"/>
            </w:tcBorders>
          </w:tcPr>
          <w:p>
            <w:pPr>
              <w:pStyle w:val="CeldaAPA"/>
              <w:jc w:val="left"/>
            </w:pPr>
            <w:r>
              <w:rPr/>
              <w:t xml:space="preserve">ISO 6.1 y 7.1.4; ACI 318-25, 26.5</w:t>
            </w:r>
          </w:p>
        </w:tc>
        <w:tc>
          <w:tcPr>
            <w:tcW w:w="1388" w:type="dxa"/>
            <w:tcBorders>
              <w:bottom w:val="single" w:sz="8" w:space="0" w:color="000000"/>
            </w:tcBorders>
          </w:tcPr>
          <w:p>
            <w:pPr>
              <w:pStyle w:val="CeldaAPA"/>
              <w:jc w:val="left"/>
            </w:pPr>
            <w:r>
              <w:rPr/>
              <w:t xml:space="preserve">Medio ambiente</w:t>
            </w:r>
          </w:p>
        </w:tc>
      </w:tr>
    </w:tbl>
    <w:p>
      <w:pPr>
        <w:pStyle w:val="NotaAPA"/>
      </w:pPr>
      <w:r>
        <w:rPr>
          <w:iCs/>
          <w:i/>
        </w:rPr>
        <w:t xml:space="preserve">Nota.</w:t>
      </w:r>
      <w:r>
        <w:t xml:space="preserve"> </w:t>
      </w:r>
      <w:r>
        <w:t xml:space="preserve">Elaboración propia. PAO2:</w:t>
      </w:r>
      <w:r>
        <w:t xml:space="preserve"> </w:t>
      </w:r>
      <w:r>
        <w:t xml:space="preserve">UATF (2025)</w:t>
      </w:r>
      <w:r>
        <w:t xml:space="preserve">; PAO3:</w:t>
      </w:r>
      <w:r>
        <w:t xml:space="preserve"> </w:t>
      </w:r>
      <w:r>
        <w:t xml:space="preserve">UATF (s. f.-c)</w:t>
      </w:r>
      <w:r>
        <w:t xml:space="preserve">; Exp.:</w:t>
      </w:r>
      <w:r>
        <w:t xml:space="preserve"> </w:t>
      </w:r>
      <w:r>
        <w:t xml:space="preserve">UATF (s. f.-b)</w:t>
      </w:r>
      <w:r>
        <w:t xml:space="preserve">; ET:</w:t>
      </w:r>
      <w:r>
        <w:t xml:space="preserve"> </w:t>
      </w:r>
      <w:r>
        <w:t xml:space="preserve">UATF (s. f.-a)</w:t>
      </w:r>
      <w:r>
        <w:t xml:space="preserve">; Las Lomas:</w:t>
      </w:r>
      <w:r>
        <w:t xml:space="preserve"> </w:t>
      </w:r>
      <w:r>
        <w:t xml:space="preserve">Import Export Las Lomas Ltda. (2025)</w:t>
      </w:r>
      <w:r>
        <w:t xml:space="preserve">; ACI 318-25:</w:t>
      </w:r>
      <w:r>
        <w:t xml:space="preserve"> </w:t>
      </w:r>
      <w:r>
        <w:t xml:space="preserve">ACI Committee 318 (2025)</w:t>
      </w:r>
      <w:r>
        <w:t xml:space="preserve">; cl.: cláusula del contrato. Los numerales de ISO 9001 corresponden a la lista C.1.</w:t>
      </w:r>
    </w:p>
    <w:p>
      <w:pPr>
        <w:pStyle w:val="BodyText"/>
      </w:pPr>
      <w:r>
        <w:t xml:space="preserve">Las NC se relacionan con las nueve brechas que orientan el diseño del SGC (Sección 2.6): el control del hormigón (B1) agrupa las NC-01 a NC-03 y la NC-10; las evidencias de conformidad entregadas solo a pedido (B2), las NC-04, NC-05 y NC-12; la información documentada incoherente (B3), las NC-06, NC-07 y NC-09; el control de cantidades (B4), las NC-13 a NC-15; la falta de registro de consumos (B5), las NC-16 y NC-17; la falta de puntos de inspección (B6), las NC-10, NC-18 y NC-19; la falta de registro de NC y de costos de la calidad (B7), la NC-11; los riesgos de suministro y precios (B8), las NC-08, NC-20 y NC-21; y el clima (B9), la NC-22.</w:t>
      </w:r>
    </w:p>
    <w:p>
      <w:pPr>
        <w:pStyle w:val="BodyText"/>
      </w:pPr>
      <w:r>
        <w:rPr>
          <w:bCs/>
          <w:b/>
        </w:rPr>
        <w:t xml:space="preserve">Diagrama de Pareto.</w:t>
      </w:r>
      <w:r>
        <w:t xml:space="preserve"> </w:t>
      </w:r>
      <w:r>
        <w:t xml:space="preserve">La Figura 8 ordena las NC por categoría. La medición y la gestión reúnen 12 de las 22 NC (54,5 %); con los materiales llegan al 72,7 % y con el método, al 86,4 %. Esta concentración es coherente con la regla de Pareto, según la cual pocos factores explican la mayor parte de los problemas de calidad de una obra</w:t>
      </w:r>
      <w:r>
        <w:t xml:space="preserve"> </w:t>
      </w:r>
      <w:r>
        <w:t xml:space="preserve">(Alfaro Félix, 2011, p. 70)</w:t>
      </w:r>
      <w:r>
        <w:t xml:space="preserve">. Las «pocas causas vitales» de la primera losa no están en la mano de obra ni en el clima, sino en la ausencia de un sistema que mida, registre y concilie: ensayos, recepción de materiales, consumos y cantidades. No se identificaron NC en la categoría de maquinaria; el vaciado con carretillas se consideró parte del método.</w:t>
      </w:r>
    </w:p>
    <w:p>
      <w:pPr>
        <w:pStyle w:val="Caption"/>
      </w:pPr>
      <w:bookmarkStart w:id="1437" w:name="fig8"/>
      <w:r>
        <w:t xml:space="preserve"/>
      </w:r>
      <w:r>
        <w:rPr>
          <w:bCs/>
          <w:b/>
        </w:rPr>
        <w:t xml:space="preserve">Figura 8</w:t>
      </w:r>
      <w:r>
        <w:br/>
      </w:r>
      <w:r>
        <w:rPr>
          <w:iCs/>
          <w:i/>
        </w:rPr>
        <w:t xml:space="preserve">Diagrama de Pareto de las no conformidades de la primera losa por categoría</w:t>
      </w:r>
      <w:bookmarkEnd w:id="1437"/>
    </w:p>
    <w:p>
      <w:pPr>
        <w:pStyle w:val="FiguraAPA"/>
      </w:pPr>
      <w:r>
        <w:drawing>
          <wp:inline>
            <wp:extent cx="5943599" cy="3108959"/>
            <wp:effectExtent b="0" l="0" r="0" t="0"/>
            <wp:docPr descr="image" title="" id="144" name="Picture"/>
            <a:graphic>
              <a:graphicData uri="http://schemas.openxmlformats.org/drawingml/2006/picture">
                <pic:pic>
                  <pic:nvPicPr>
                    <pic:cNvPr descr="/home/user/TesisSGC/05_Tesis_LaTeX/figuras/fig_pareto_nc.png" id="145" name="Picture"/>
                    <pic:cNvPicPr>
                      <a:picLocks noChangeArrowheads="1" noChangeAspect="1"/>
                    </pic:cNvPicPr>
                  </pic:nvPicPr>
                  <pic:blipFill>
                    <a:blip r:embed="rId143"/>
                    <a:stretch>
                      <a:fillRect/>
                    </a:stretch>
                  </pic:blipFill>
                  <pic:spPr bwMode="auto">
                    <a:xfrm>
                      <a:off x="0" y="0"/>
                      <a:ext cx="5943599" cy="3108959"/>
                    </a:xfrm>
                    <a:prstGeom prst="rect">
                      <a:avLst/>
                    </a:prstGeom>
                    <a:noFill/>
                    <a:ln w="9525">
                      <a:noFill/>
                      <a:headEnd/>
                      <a:tailEnd/>
                    </a:ln>
                  </pic:spPr>
                </pic:pic>
              </a:graphicData>
            </a:graphic>
          </wp:inline>
        </w:drawing>
      </w:r>
    </w:p>
    <w:p>
      <w:pPr>
        <w:pStyle w:val="NotaAPA"/>
      </w:pPr>
      <w:r>
        <w:rPr>
          <w:iCs/>
          <w:i/>
        </w:rPr>
        <w:t xml:space="preserve">Nota.</w:t>
      </w:r>
      <w:r>
        <w:t xml:space="preserve"> </w:t>
      </w:r>
      <w:r>
        <w:t xml:space="preserve">Elaboración propia con los datos de la Tabla 26 (</w:t>
      </w:r>
      <m:oMath>
        <m:r>
          <m:t>n</m:t>
        </m:r>
        <m:r>
          <m:rPr>
            <m:sty m:val="p"/>
          </m:rPr>
          <m:t>=</m:t>
        </m:r>
        <m:r>
          <m:t>22</m:t>
        </m:r>
      </m:oMath>
      <w:r>
        <w:t xml:space="preserve">). Las barras indican el porcentaje de NC de cada categoría y la línea, el porcentaje acumulado; la línea discontinua marca el 80 %. Figura generada con el script</w:t>
      </w:r>
      <w:r>
        <w:t xml:space="preserve"> </w:t>
      </w:r>
      <w:r>
        <w:rPr>
          <w:rStyle w:val="VerbatimChar"/>
        </w:rPr>
        <w:t xml:space="preserve">cap2_diagnostico_figuras.py</w:t>
      </w:r>
      <w:r>
        <w:t xml:space="preserve">.</w:t>
      </w:r>
    </w:p>
    <w:p>
      <w:pPr>
        <w:pStyle w:val="BodyText"/>
      </w:pPr>
      <w:r>
        <w:rPr>
          <w:bCs/>
          <w:b/>
        </w:rPr>
        <w:t xml:space="preserve">Diagrama de Ishikawa.</w:t>
      </w:r>
      <w:r>
        <w:t xml:space="preserve"> </w:t>
      </w:r>
      <w:r>
        <w:t xml:space="preserve">Las causas del desperdicio de materiales y de los sobrecostos de la losa se organizaron en un diagrama de causa y efecto (Figura 9). El efecto analizado es el costo adicional de la losa respecto de su costo teórico: materiales entregados por encima de lo necesario, hormigón y acero sin control de consumo, cantidades que hubo que corregir y riesgo de retrabajos por un hormigón no verificado.</w:t>
      </w:r>
    </w:p>
    <w:p>
      <w:pPr>
        <w:pStyle w:val="Caption"/>
      </w:pPr>
      <w:bookmarkStart w:id="1438" w:name="fig9"/>
      <w:r>
        <w:t xml:space="preserve"/>
      </w:r>
      <w:r>
        <w:rPr>
          <w:bCs/>
          <w:b/>
        </w:rPr>
        <w:t xml:space="preserve">Figura 9</w:t>
      </w:r>
      <w:r>
        <w:br/>
      </w:r>
      <w:r>
        <w:rPr>
          <w:iCs/>
          <w:i/>
        </w:rPr>
        <w:t xml:space="preserve">Diagrama de Ishikawa del desperdicio de materiales y los sobrecostos de la primera losa</w:t>
      </w:r>
      <w:bookmarkEnd w:id="1438"/>
    </w:p>
    <w:p>
      <w:pPr>
        <w:pStyle w:val="FiguraAPA"/>
      </w:pPr>
      <w:r>
        <w:drawing>
          <wp:inline>
            <wp:extent cx="5810399" cy="3656255"/>
            <wp:effectExtent b="0" l="0" r="0" t="0"/>
            <wp:docPr descr="image" title="" id="147" name="Picture"/>
            <a:graphic>
              <a:graphicData uri="http://schemas.openxmlformats.org/drawingml/2006/picture">
                <pic:pic>
                  <pic:nvPicPr>
                    <pic:cNvPr descr="/home/user/TesisSGC/07_Entregables/scripts/_trabajo_sencilla/tikz/tikz_2f96208590ab897516bc.png" id="148" name="Picture"/>
                    <pic:cNvPicPr>
                      <a:picLocks noChangeArrowheads="1" noChangeAspect="1"/>
                    </pic:cNvPicPr>
                  </pic:nvPicPr>
                  <pic:blipFill>
                    <a:blip r:embed="rId146"/>
                    <a:stretch>
                      <a:fillRect/>
                    </a:stretch>
                  </pic:blipFill>
                  <pic:spPr bwMode="auto">
                    <a:xfrm>
                      <a:off x="0" y="0"/>
                      <a:ext cx="5810399" cy="3656255"/>
                    </a:xfrm>
                    <a:prstGeom prst="rect">
                      <a:avLst/>
                    </a:prstGeom>
                    <a:noFill/>
                    <a:ln w="9525">
                      <a:noFill/>
                      <a:headEnd/>
                      <a:tailEnd/>
                    </a:ln>
                  </pic:spPr>
                </pic:pic>
              </a:graphicData>
            </a:graphic>
          </wp:inline>
        </w:drawing>
      </w:r>
    </w:p>
    <w:p>
      <w:pPr>
        <w:pStyle w:val="NotaAPA"/>
      </w:pPr>
      <w:r>
        <w:rPr>
          <w:iCs/>
          <w:i/>
        </w:rPr>
        <w:t xml:space="preserve">Nota.</w:t>
      </w:r>
      <w:r>
        <w:t xml:space="preserve"> </w:t>
      </w:r>
      <w:r>
        <w:t xml:space="preserve">Elaboración propia con base en las no conformidades de la Tabla 26 y en el análisis documental de la Sección 2.5.2. No se identificaron causas documentadas en la categoría de maquinaria.</w:t>
      </w:r>
    </w:p>
    <w:p>
      <w:pPr>
        <w:pStyle w:val="BodyText"/>
      </w:pPr>
      <w:r>
        <w:t xml:space="preserve">El diagrama muestra que las causas se refuerzan entre sí. Las externas (escasez de combustible, falta de viguetas, alza de precios y lluvias) se convirtieron en problemas de la losa porque no había un sistema que las anticipara: sin plan de compras ni existencias mínimas, el desabastecimiento obligó a cambiar el diseño y a recibir materiales sin inspección; sin cantidades teóricas por paño, el excedente de materiales no pudo detectarse; y sin ensayos ni registros, la conformidad del hormigón y de las cantidades quedó sin demostrar. La causa raíz común es la falta de un sistema de gestión de la calidad del ítem: la calidad se confió a la verificación puntual de la Supervisión antes de cada vaciado, sin criterios escritos, registros ni seguimiento. Como el contrato no admite reajuste de precios y los precios unitarios incluyen la reparación de trabajos defectuosos</w:t>
      </w:r>
      <w:r>
        <w:t xml:space="preserve"> </w:t>
      </w:r>
      <w:r>
        <w:t xml:space="preserve">(UATF, 2025, pp. 92, 95)</w:t>
      </w:r>
      <w:r>
        <w:t xml:space="preserve">, el costo de estas causas recae en el contratista; es la justificación económica del SGC que se diseña en la Sección 2.6.</w:t>
      </w:r>
    </w:p>
    <w:p>
      <w:pPr>
        <w:pStyle w:val="Heading3"/>
      </w:pPr>
      <w:bookmarkStart w:id="150" w:name="tit106"/>
      <w:r>
        <w:t xml:space="preserve">2.5.4. Línea base cuantitativa</w:t>
      </w:r>
      <w:bookmarkEnd w:id="150"/>
    </w:p>
    <w:p>
      <w:pPr>
        <w:pStyle w:val="FirstParagraph"/>
      </w:pPr>
      <w:r>
        <w:t xml:space="preserve">La línea base cuantitativa (</w:t>
      </w:r>
      <m:oMath>
        <m:sSub>
          <m:e>
            <m:r>
              <m:t>O</m:t>
            </m:r>
          </m:e>
          <m:sub>
            <m:r>
              <m:t>1</m:t>
            </m:r>
          </m:sub>
        </m:sSub>
      </m:oMath>
      <w:r>
        <w:t xml:space="preserve">) expresa, para cada material, la cantidad teórica de la primera losa, la cantidad entregada y la pagada, el índice de desperdicio que puede documentarse y los parámetros con que el modelo representa el escenario de control (sin SGC). En ella se distinguen tres tipos de dato:</w:t>
      </w:r>
      <w:r>
        <w:t xml:space="preserve"> </w:t>
      </w:r>
      <w:r>
        <w:rPr>
          <w:iCs/>
          <w:i/>
        </w:rPr>
        <w:t xml:space="preserve">hechos documentados</w:t>
      </w:r>
      <w:r>
        <w:t xml:space="preserve">, que son las cantidades entregadas y pagadas con su fuente;</w:t>
      </w:r>
      <w:r>
        <w:t xml:space="preserve"> </w:t>
      </w:r>
      <w:r>
        <w:rPr>
          <w:iCs/>
          <w:i/>
        </w:rPr>
        <w:t xml:space="preserve">cálculos propios</w:t>
      </w:r>
      <w:r>
        <w:t xml:space="preserve"> </w:t>
      </w:r>
      <w:r>
        <w:t xml:space="preserve">reproducibles, que son las cantidades teóricas y los índices calculados con ellas; y</w:t>
      </w:r>
      <w:r>
        <w:t xml:space="preserve"> </w:t>
      </w:r>
      <w:r>
        <w:rPr>
          <w:iCs/>
          <w:i/>
        </w:rPr>
        <w:t xml:space="preserve">supuestos con fuente</w:t>
      </w:r>
      <w:r>
        <w:t xml:space="preserve">, que se usan para los materiales sin registros de consumo.</w:t>
      </w:r>
    </w:p>
    <w:p>
      <w:pPr>
        <w:pStyle w:val="BodyText"/>
      </w:pPr>
      <w:r>
        <w:rPr>
          <w:bCs/>
          <w:b/>
        </w:rPr>
        <w:t xml:space="preserve">Cantidades teóricas.</w:t>
      </w:r>
      <w:r>
        <w:t xml:space="preserve"> </w:t>
      </w:r>
      <w:r>
        <w:t xml:space="preserve">Las cantidades teóricas se calcularon paño por paño con los planos 01 a 03</w:t>
      </w:r>
      <w:r>
        <w:t xml:space="preserve"> </w:t>
      </w:r>
      <w:r>
        <w:t xml:space="preserve">(UATF, s. f.-d)</w:t>
      </w:r>
      <w:r>
        <w:t xml:space="preserve">. Las 41 áreas del Plano 01 coinciden con las del cómputo. Las viguetas se contaron y midieron en el Plano 03, corrigiendo las etiquetas con el dibujo cuando no coincidían, y su longitud se tomó como la luz libre más 5 cm de apoyo en cada extremo, según el detalle de apoyo del Plano 02. Los complementos se contaron por filas entre viguetas, con la pieza suministrada de 20 </w:t>
      </w:r>
      <m:oMath>
        <m:r>
          <m:rPr>
            <m:sty m:val="p"/>
          </m:rPr>
          <m:t>×</m:t>
        </m:r>
      </m:oMath>
      <w:r>
        <w:t xml:space="preserve"> 100 </w:t>
      </w:r>
      <m:oMath>
        <m:r>
          <m:rPr>
            <m:sty m:val="p"/>
          </m:rPr>
          <m:t>×</m:t>
        </m:r>
      </m:oMath>
      <w:r>
        <w:t xml:space="preserve"> 44 cm. El hormigón es el volumen de la losa de 25 cm menos el de los complementos y el de las viguetas. El acero comprende la malla de</w:t>
      </w:r>
      <w:r>
        <w:t xml:space="preserve"> </w:t>
      </w:r>
      <m:oMath>
        <m:r>
          <m:t>ϕ</m:t>
        </m:r>
      </m:oMath>
      <w:r>
        <w:t xml:space="preserve">6 c/20 cm en ambas direcciones, con anclajes y traslapes, los negativos sobre los apoyos y los nervios transversales. Como ningún plano ubica los nervios ni define los negativos, el escenario base supone un nervio a media luz en los paños con luz libre media de 4,0 m o más y una barra de</w:t>
      </w:r>
      <w:r>
        <w:t xml:space="preserve"> </w:t>
      </w:r>
      <m:oMath>
        <m:r>
          <m:t>ϕ</m:t>
        </m:r>
      </m:oMath>
      <w:r>
        <w:t xml:space="preserve">8 por vigueta sobre cada apoyo continuo; con otros supuestos razonables, el acero teórico varía entre 2,72 y 3,44 kg/m</w:t>
      </w:r>
      <w:r>
        <w:rPr>
          <w:vertAlign w:val="superscript"/>
        </w:rPr>
        <w:t xml:space="preserve">2</w:t>
      </w:r>
      <w:r>
        <w:t xml:space="preserve">. La Tabla 27 presenta los resultados; el cálculo por paño, sus supuestos y su análisis de sensibilidad se conservan en la carpeta de extracción de datos de obra del repositorio (</w:t>
      </w:r>
      <w:r>
        <w:rPr>
          <w:rStyle w:val="VerbatimChar"/>
        </w:rPr>
        <w:t xml:space="preserve">Cantidades_Teoricas_Primera_Losa_por_Pano.csv</w:t>
      </w:r>
      <w:r>
        <w:t xml:space="preserve"> </w:t>
      </w:r>
      <w:r>
        <w:t xml:space="preserve">y</w:t>
      </w:r>
      <w:r>
        <w:t xml:space="preserve"> </w:t>
      </w:r>
      <w:r>
        <w:rPr>
          <w:rStyle w:val="VerbatimChar"/>
        </w:rPr>
        <w:t xml:space="preserve">Metodo_Cantidades_Teoricas.md</w:t>
      </w:r>
      <w:r>
        <w:t xml:space="preserve">).</w:t>
      </w:r>
    </w:p>
    <w:p>
      <w:pPr>
        <w:pStyle w:val="Caption"/>
      </w:pPr>
      <w:bookmarkStart w:id="1439" w:name="tab27"/>
      <w:r>
        <w:t xml:space="preserve"/>
      </w:r>
      <w:r>
        <w:rPr>
          <w:bCs/>
          <w:b/>
        </w:rPr>
        <w:t xml:space="preserve">Tabla 27</w:t>
      </w:r>
      <w:r>
        <w:br/>
      </w:r>
      <w:r>
        <w:rPr>
          <w:iCs/>
          <w:i/>
        </w:rPr>
        <w:t xml:space="preserve">Cantidades teóricas de materiales de la primera losa y del saldo</w:t>
      </w:r>
      <w:bookmarkEnd w:id="1439"/>
    </w:p>
    <w:tbl>
      <w:tblPr>
        <w:tblStyle w:val="Table"/>
        <w:tblW w:w="9361" w:type="dxa"/>
        <w:jc w:val="left"/>
        <w:tblLayout w:type="fixed"/>
        <w:tblCellMar>
          <w:top w:w="0" w:type="dxa"/>
          <w:left w:w="85" w:type="dxa"/>
          <w:bottom w:w="0" w:type="dxa"/>
          <w:right w:w="85" w:type="dxa"/>
        </w:tblCellMar>
        <w:tblLook w:firstRow="1" w:lastRow="0" w:firstColumn="0" w:lastColumn="0" w:noHBand="0" w:noVBand="0" w:val="0020"/>
      </w:tblPr>
      <w:tblGrid>
        <w:gridCol w:w="1802"/>
        <w:gridCol w:w="1685"/>
        <w:gridCol w:w="1599"/>
        <w:gridCol w:w="1657"/>
        <w:gridCol w:w="2618"/>
      </w:tblGrid>
      <w:tr>
        <w:trPr>
          <w:cantSplit/>
          <w:tblHeader w:val="true"/>
        </w:trPr>
        <w:tc>
          <w:tcPr>
            <w:tcW w:w="1802" w:type="dxa"/>
            <w:tcBorders>
              <w:top w:val="single" w:sz="8" w:space="0" w:color="000000"/>
              <w:bottom w:val="single" w:sz="4" w:space="0" w:color="000000"/>
            </w:tcBorders>
          </w:tcPr>
          <w:p>
            <w:pPr>
              <w:pStyle w:val="CeldaAPA"/>
              <w:jc w:val="center"/>
            </w:pPr>
            <w:r>
              <w:rPr>
                <w:bCs/>
                <w:b/>
              </w:rPr>
              <w:t xml:space="preserve">Material</w:t>
            </w:r>
          </w:p>
        </w:tc>
        <w:tc>
          <w:tcPr>
            <w:tcW w:w="1685" w:type="dxa"/>
            <w:tcBorders>
              <w:top w:val="single" w:sz="8" w:space="0" w:color="000000"/>
              <w:bottom w:val="single" w:sz="4" w:space="0" w:color="000000"/>
            </w:tcBorders>
          </w:tcPr>
          <w:p>
            <w:pPr>
              <w:pStyle w:val="CeldaAPA"/>
              <w:jc w:val="center"/>
            </w:pPr>
            <w:r>
              <w:rPr>
                <w:bCs/>
                <w:b/>
              </w:rPr>
              <w:t xml:space="preserve">Primera losa (1.109,84 m</w:t>
            </w:r>
            <w:r>
              <w:rPr>
                <w:vertAlign w:val="superscript"/>
                <w:bCs/>
                <w:b/>
              </w:rPr>
              <w:t xml:space="preserve">2</w:t>
            </w:r>
            <w:r>
              <w:rPr>
                <w:bCs/>
                <w:b/>
              </w:rPr>
              <w:t xml:space="preserve">)</w:t>
            </w:r>
          </w:p>
        </w:tc>
        <w:tc>
          <w:tcPr>
            <w:tcW w:w="1599" w:type="dxa"/>
            <w:tcBorders>
              <w:top w:val="single" w:sz="8" w:space="0" w:color="000000"/>
              <w:bottom w:val="single" w:sz="4" w:space="0" w:color="000000"/>
            </w:tcBorders>
          </w:tcPr>
          <w:p>
            <w:pPr>
              <w:pStyle w:val="CeldaAPA"/>
              <w:jc w:val="center"/>
            </w:pPr>
            <w:r>
              <w:rPr>
                <w:bCs/>
                <w:b/>
              </w:rPr>
              <w:t xml:space="preserve">Por m</w:t>
            </w:r>
            <w:r>
              <w:rPr>
                <w:vertAlign w:val="superscript"/>
                <w:bCs/>
                <w:b/>
              </w:rPr>
              <w:t xml:space="preserve">2</w:t>
            </w:r>
          </w:p>
        </w:tc>
        <w:tc>
          <w:tcPr>
            <w:tcW w:w="1657" w:type="dxa"/>
            <w:tcBorders>
              <w:top w:val="single" w:sz="8" w:space="0" w:color="000000"/>
              <w:bottom w:val="single" w:sz="4" w:space="0" w:color="000000"/>
            </w:tcBorders>
          </w:tcPr>
          <w:p>
            <w:pPr>
              <w:pStyle w:val="CeldaAPA"/>
              <w:jc w:val="center"/>
            </w:pPr>
            <w:r>
              <w:rPr>
                <w:bCs/>
                <w:b/>
              </w:rPr>
              <w:t xml:space="preserve">Saldo (2.234,60 m</w:t>
            </w:r>
            <w:r>
              <w:rPr>
                <w:vertAlign w:val="superscript"/>
                <w:bCs/>
                <w:b/>
              </w:rPr>
              <w:t xml:space="preserve">2</w:t>
            </w:r>
            <w:r>
              <w:rPr>
                <w:bCs/>
                <w:b/>
              </w:rPr>
              <w:t xml:space="preserve">)</w:t>
            </w:r>
          </w:p>
        </w:tc>
        <w:tc>
          <w:tcPr>
            <w:tcW w:w="2618" w:type="dxa"/>
            <w:tcBorders>
              <w:top w:val="single" w:sz="8" w:space="0" w:color="000000"/>
              <w:bottom w:val="single" w:sz="4" w:space="0" w:color="000000"/>
            </w:tcBorders>
          </w:tcPr>
          <w:p>
            <w:pPr>
              <w:pStyle w:val="CeldaAPA"/>
              <w:jc w:val="center"/>
            </w:pPr>
            <w:r>
              <w:rPr>
                <w:bCs/>
                <w:b/>
              </w:rPr>
              <w:t xml:space="preserve">Supuestos principales</w:t>
            </w:r>
          </w:p>
        </w:tc>
      </w:tr>
      <w:tr>
        <w:tc>
          <w:tcPr>
            <w:tcW w:w="1802" w:type="dxa"/>
          </w:tcPr>
          <w:p>
            <w:pPr>
              <w:pStyle w:val="CeldaAPA"/>
              <w:jc w:val="left"/>
            </w:pPr>
            <w:r>
              <w:rPr/>
              <w:t xml:space="preserve">Viguetas pretensadas</w:t>
            </w:r>
          </w:p>
        </w:tc>
        <w:tc>
          <w:tcPr>
            <w:tcW w:w="1685" w:type="dxa"/>
          </w:tcPr>
          <w:p>
            <w:pPr>
              <w:pStyle w:val="CeldaAPA"/>
              <w:jc w:val="left"/>
            </w:pPr>
            <w:r>
              <w:rPr/>
              <w:t xml:space="preserve">531 piezas; 2.205,1 m</w:t>
            </w:r>
          </w:p>
        </w:tc>
        <w:tc>
          <w:tcPr>
            <w:tcW w:w="1599" w:type="dxa"/>
          </w:tcPr>
          <w:p>
            <w:pPr>
              <w:pStyle w:val="CeldaAPA"/>
              <w:jc w:val="left"/>
            </w:pPr>
            <w:r>
              <w:rPr/>
              <w:t xml:space="preserve">1,987 m (0,478 piezas)</w:t>
            </w:r>
          </w:p>
        </w:tc>
        <w:tc>
          <w:tcPr>
            <w:tcW w:w="1657" w:type="dxa"/>
          </w:tcPr>
          <w:p>
            <w:pPr>
              <w:pStyle w:val="CeldaAPA"/>
              <w:jc w:val="left"/>
            </w:pPr>
            <w:r>
              <w:rPr/>
              <w:t xml:space="preserve">4.439,8 m</w:t>
            </w:r>
          </w:p>
        </w:tc>
        <w:tc>
          <w:tcPr>
            <w:tcW w:w="2618" w:type="dxa"/>
          </w:tcPr>
          <w:p>
            <w:pPr>
              <w:pStyle w:val="CeldaAPA"/>
              <w:jc w:val="left"/>
            </w:pPr>
            <w:r>
              <w:rPr/>
              <w:t xml:space="preserve">Longitud igual a la luz libre más 2 </w:t>
            </w:r>
            <m:oMath>
              <m:r>
                <m:rPr>
                  <m:sty m:val="p"/>
                </m:rPr>
                <m:t>×</m:t>
              </m:r>
            </m:oMath>
            <w:r>
              <w:rPr/>
              <w:t xml:space="preserve"> 0,05 m; etiquetas del Plano 03 corregidas con el dibujo</w:t>
            </w:r>
          </w:p>
        </w:tc>
      </w:tr>
      <w:tr>
        <w:tc>
          <w:tcPr>
            <w:tcW w:w="1802" w:type="dxa"/>
          </w:tcPr>
          <w:p>
            <w:pPr>
              <w:pStyle w:val="CeldaAPA"/>
              <w:jc w:val="left"/>
            </w:pPr>
            <w:r>
              <w:rPr/>
              <w:t xml:space="preserve">Complementos de EPS</w:t>
            </w:r>
          </w:p>
        </w:tc>
        <w:tc>
          <w:tcPr>
            <w:tcW w:w="1685" w:type="dxa"/>
          </w:tcPr>
          <w:p>
            <w:pPr>
              <w:pStyle w:val="CeldaAPA"/>
              <w:jc w:val="left"/>
            </w:pPr>
            <w:r>
              <w:rPr/>
              <w:t xml:space="preserve">2.237,9 piezas</w:t>
            </w:r>
          </w:p>
        </w:tc>
        <w:tc>
          <w:tcPr>
            <w:tcW w:w="1599" w:type="dxa"/>
          </w:tcPr>
          <w:p>
            <w:pPr>
              <w:pStyle w:val="CeldaAPA"/>
              <w:jc w:val="left"/>
            </w:pPr>
            <w:r>
              <w:rPr/>
              <w:t xml:space="preserve">2,016 piezas</w:t>
            </w:r>
          </w:p>
        </w:tc>
        <w:tc>
          <w:tcPr>
            <w:tcW w:w="1657" w:type="dxa"/>
          </w:tcPr>
          <w:p>
            <w:pPr>
              <w:pStyle w:val="CeldaAPA"/>
              <w:jc w:val="left"/>
            </w:pPr>
            <w:r>
              <w:rPr/>
              <w:t xml:space="preserve">4.505,9 piezas</w:t>
            </w:r>
          </w:p>
        </w:tc>
        <w:tc>
          <w:tcPr>
            <w:tcW w:w="2618" w:type="dxa"/>
          </w:tcPr>
          <w:p>
            <w:pPr>
              <w:pStyle w:val="CeldaAPA"/>
              <w:jc w:val="left"/>
            </w:pPr>
            <w:r>
              <w:rPr/>
              <w:t xml:space="preserve">Piezas netas por fila; nervio a media luz si la luz es de 4,0 m o más (sin nervios: 2,048 piezas/m</w:t>
            </w:r>
            <w:r>
              <w:rPr>
                <w:vertAlign w:val="superscript"/>
              </w:rPr>
              <w:t xml:space="preserve">2</w:t>
            </w:r>
            <w:r>
              <w:rPr/>
              <w:t xml:space="preserve">)</w:t>
            </w:r>
          </w:p>
        </w:tc>
      </w:tr>
      <w:tr>
        <w:tc>
          <w:tcPr>
            <w:tcW w:w="1802" w:type="dxa"/>
          </w:tcPr>
          <w:p>
            <w:pPr>
              <w:pStyle w:val="CeldaAPA"/>
              <w:jc w:val="left"/>
            </w:pPr>
            <w:r>
              <w:rPr/>
              <w:t xml:space="preserve">Hormigón vaciado en obra</w:t>
            </w:r>
          </w:p>
        </w:tc>
        <w:tc>
          <w:tcPr>
            <w:tcW w:w="1685" w:type="dxa"/>
          </w:tcPr>
          <w:p>
            <w:pPr>
              <w:pStyle w:val="CeldaAPA"/>
              <w:jc w:val="left"/>
            </w:pPr>
            <w:r>
              <w:rPr/>
              <w:t xml:space="preserve">79,31 m</w:t>
            </w:r>
            <w:r>
              <w:rPr>
                <w:vertAlign w:val="superscript"/>
              </w:rPr>
              <w:t xml:space="preserve">3</w:t>
            </w:r>
          </w:p>
        </w:tc>
        <w:tc>
          <w:tcPr>
            <w:tcW w:w="1599" w:type="dxa"/>
          </w:tcPr>
          <w:p>
            <w:pPr>
              <w:pStyle w:val="CeldaAPA"/>
              <w:jc w:val="left"/>
            </w:pPr>
            <w:r>
              <w:rPr/>
              <w:t xml:space="preserve">0,0715 m</w:t>
            </w:r>
            <w:r>
              <w:rPr>
                <w:vertAlign w:val="superscript"/>
              </w:rPr>
              <w:t xml:space="preserve">3</w:t>
            </w:r>
          </w:p>
        </w:tc>
        <w:tc>
          <w:tcPr>
            <w:tcW w:w="1657" w:type="dxa"/>
          </w:tcPr>
          <w:p>
            <w:pPr>
              <w:pStyle w:val="CeldaAPA"/>
              <w:jc w:val="left"/>
            </w:pPr>
            <w:r>
              <w:rPr/>
              <w:t xml:space="preserve">159,7 m</w:t>
            </w:r>
            <w:r>
              <w:rPr>
                <w:vertAlign w:val="superscript"/>
              </w:rPr>
              <w:t xml:space="preserve">3</w:t>
            </w:r>
          </w:p>
        </w:tc>
        <w:tc>
          <w:tcPr>
            <w:tcW w:w="2618" w:type="dxa"/>
          </w:tcPr>
          <w:p>
            <w:pPr>
              <w:pStyle w:val="CeldaAPA"/>
              <w:jc w:val="left"/>
            </w:pPr>
            <w:r>
              <w:rPr/>
              <w:t xml:space="preserve">Complemento de 0,20 m (el suministrado); vigueta de 17,2 kg/m según una ficha técnica de referencia</w:t>
            </w:r>
          </w:p>
        </w:tc>
      </w:tr>
      <w:tr>
        <w:tc>
          <w:tcPr>
            <w:tcW w:w="1802" w:type="dxa"/>
            <w:tcBorders>
              <w:bottom w:val="single" w:sz="8" w:space="0" w:color="000000"/>
            </w:tcBorders>
          </w:tcPr>
          <w:p>
            <w:pPr>
              <w:pStyle w:val="CeldaAPA"/>
              <w:jc w:val="left"/>
            </w:pPr>
            <w:r>
              <w:rPr/>
              <w:t xml:space="preserve">Acero</w:t>
            </w:r>
          </w:p>
        </w:tc>
        <w:tc>
          <w:tcPr>
            <w:tcW w:w="1685" w:type="dxa"/>
            <w:tcBorders>
              <w:bottom w:val="single" w:sz="8" w:space="0" w:color="000000"/>
            </w:tcBorders>
          </w:tcPr>
          <w:p>
            <w:pPr>
              <w:pStyle w:val="CeldaAPA"/>
              <w:jc w:val="left"/>
            </w:pPr>
            <w:r>
              <w:rPr/>
              <w:t xml:space="preserve">3.572,8 kg</w:t>
            </w:r>
          </w:p>
        </w:tc>
        <w:tc>
          <w:tcPr>
            <w:tcW w:w="1599" w:type="dxa"/>
            <w:tcBorders>
              <w:bottom w:val="single" w:sz="8" w:space="0" w:color="000000"/>
            </w:tcBorders>
          </w:tcPr>
          <w:p>
            <w:pPr>
              <w:pStyle w:val="CeldaAPA"/>
              <w:jc w:val="left"/>
            </w:pPr>
            <w:r>
              <w:rPr/>
              <w:t xml:space="preserve">3,22 kg (malla 2,42; negativos 0,30; nervios 0,50)</w:t>
            </w:r>
          </w:p>
        </w:tc>
        <w:tc>
          <w:tcPr>
            <w:tcW w:w="1657" w:type="dxa"/>
            <w:tcBorders>
              <w:bottom w:val="single" w:sz="8" w:space="0" w:color="000000"/>
            </w:tcBorders>
          </w:tcPr>
          <w:p>
            <w:pPr>
              <w:pStyle w:val="CeldaAPA"/>
              <w:jc w:val="left"/>
            </w:pPr>
            <w:r>
              <w:rPr/>
              <w:t xml:space="preserve">7.193,6 kg</w:t>
            </w:r>
          </w:p>
        </w:tc>
        <w:tc>
          <w:tcPr>
            <w:tcW w:w="2618" w:type="dxa"/>
            <w:tcBorders>
              <w:bottom w:val="single" w:sz="8" w:space="0" w:color="000000"/>
            </w:tcBorders>
          </w:tcPr>
          <w:p>
            <w:pPr>
              <w:pStyle w:val="CeldaAPA"/>
              <w:jc w:val="left"/>
            </w:pPr>
            <w:r>
              <w:rPr/>
              <w:t xml:space="preserve">Rango de 2,72 a 3,44 kg/m</w:t>
            </w:r>
            <w:r>
              <w:rPr>
                <w:vertAlign w:val="superscript"/>
              </w:rPr>
              <w:t xml:space="preserve">2</w:t>
            </w:r>
            <w:r>
              <w:rPr/>
              <w:t xml:space="preserve"> </w:t>
            </w:r>
            <w:r>
              <w:rPr/>
              <w:t xml:space="preserve">según la ubicación de los nervios y la cuantía de los negativos</w:t>
            </w:r>
          </w:p>
        </w:tc>
      </w:tr>
    </w:tbl>
    <w:p>
      <w:pPr>
        <w:pStyle w:val="NotaAPA"/>
      </w:pPr>
      <w:r>
        <w:rPr>
          <w:iCs/>
          <w:i/>
        </w:rPr>
        <w:t xml:space="preserve">Nota.</w:t>
      </w:r>
      <w:r>
        <w:t xml:space="preserve"> </w:t>
      </w:r>
      <w:r>
        <w:t xml:space="preserve">Elaboración propia (cálculo propio) con base en los planos 01 a 03</w:t>
      </w:r>
      <w:r>
        <w:t xml:space="preserve"> </w:t>
      </w:r>
      <w:r>
        <w:t xml:space="preserve">(UATF, s. f.-d)</w:t>
      </w:r>
      <w:r>
        <w:t xml:space="preserve">, el certificado de los complementos</w:t>
      </w:r>
      <w:r>
        <w:t xml:space="preserve"> </w:t>
      </w:r>
      <w:r>
        <w:t xml:space="preserve">(UNICON, 2025)</w:t>
      </w:r>
      <w:r>
        <w:t xml:space="preserve"> </w:t>
      </w:r>
      <w:r>
        <w:t xml:space="preserve">y la ficha de viguetas de</w:t>
      </w:r>
      <w:r>
        <w:t xml:space="preserve"> </w:t>
      </w:r>
      <w:r>
        <w:t xml:space="preserve">Concretec (2018)</w:t>
      </w:r>
      <w:r>
        <w:t xml:space="preserve">. El saldo resulta de multiplicar las cantidades por m</w:t>
      </w:r>
      <w:r>
        <w:rPr>
          <w:vertAlign w:val="superscript"/>
        </w:rPr>
        <w:t xml:space="preserve">2</w:t>
      </w:r>
      <w:r>
        <w:t xml:space="preserve"> </w:t>
      </w:r>
      <w:r>
        <w:t xml:space="preserve">de la primera losa por 2.234,60 m</w:t>
      </w:r>
      <w:r>
        <w:rPr>
          <w:vertAlign w:val="superscript"/>
        </w:rPr>
        <w:t xml:space="preserve">2</w:t>
      </w:r>
      <w:r>
        <w:t xml:space="preserve">, porque los paños de la segunda y la tercera losa son homólogos (Sección 2.4).</w:t>
      </w:r>
    </w:p>
    <w:p>
      <w:pPr>
        <w:pStyle w:val="BodyText"/>
      </w:pPr>
      <w:r>
        <w:rPr>
          <w:bCs/>
          <w:b/>
        </w:rPr>
        <w:t xml:space="preserve">Cantidades entregadas, pagadas e índices documentados.</w:t>
      </w:r>
      <w:r>
        <w:t xml:space="preserve"> </w:t>
      </w:r>
      <w:r>
        <w:t xml:space="preserve">La Tabla 28 compara las cantidades teóricas con las entregadas y las pagadas. Solo dos materiales tienen un dato documental que permite calcular un índice: el EPS, por la cantidad entregada, y el acero, por la cantidad pagada.</w:t>
      </w:r>
    </w:p>
    <w:p>
      <w:pPr>
        <w:pStyle w:val="Caption"/>
      </w:pPr>
      <w:bookmarkStart w:id="1440" w:name="tab28"/>
      <w:r>
        <w:t xml:space="preserve"/>
      </w:r>
      <w:r>
        <w:rPr>
          <w:bCs/>
          <w:b/>
        </w:rPr>
        <w:t xml:space="preserve">Tabla 28</w:t>
      </w:r>
      <w:r>
        <w:br/>
      </w:r>
      <w:r>
        <w:rPr>
          <w:iCs/>
          <w:i/>
        </w:rPr>
        <w:t xml:space="preserve">Cantidades teóricas, entregadas y pagadas de la primera losa e índices de la línea base</w:t>
      </w:r>
      <w:bookmarkEnd w:id="1440"/>
    </w:p>
    <w:tbl>
      <w:tblPr>
        <w:tblStyle w:val="Table"/>
        <w:tblW w:w="9360" w:type="dxa"/>
        <w:jc w:val="left"/>
        <w:tblLayout w:type="fixed"/>
        <w:tblCellMar>
          <w:top w:w="0" w:type="dxa"/>
          <w:left w:w="85" w:type="dxa"/>
          <w:bottom w:w="0" w:type="dxa"/>
          <w:right w:w="85" w:type="dxa"/>
        </w:tblCellMar>
        <w:tblLook w:firstRow="1" w:lastRow="0" w:firstColumn="0" w:lastColumn="0" w:noHBand="0" w:noVBand="0" w:val="0020"/>
      </w:tblPr>
      <w:tblGrid>
        <w:gridCol w:w="1291"/>
        <w:gridCol w:w="1409"/>
        <w:gridCol w:w="1493"/>
        <w:gridCol w:w="1680"/>
        <w:gridCol w:w="1660"/>
        <w:gridCol w:w="1827"/>
      </w:tblGrid>
      <w:tr>
        <w:trPr>
          <w:cantSplit/>
          <w:tblHeader w:val="true"/>
        </w:trPr>
        <w:tc>
          <w:tcPr>
            <w:tcW w:w="1291" w:type="dxa"/>
            <w:tcBorders>
              <w:top w:val="single" w:sz="8" w:space="0" w:color="000000"/>
              <w:bottom w:val="single" w:sz="4" w:space="0" w:color="000000"/>
            </w:tcBorders>
          </w:tcPr>
          <w:p>
            <w:pPr>
              <w:pStyle w:val="CeldaAPA"/>
              <w:jc w:val="center"/>
            </w:pPr>
            <w:r>
              <w:rPr>
                <w:bCs/>
                <w:b/>
              </w:rPr>
              <w:t xml:space="preserve">Material</w:t>
            </w:r>
          </w:p>
        </w:tc>
        <w:tc>
          <w:tcPr>
            <w:tcW w:w="1409" w:type="dxa"/>
            <w:tcBorders>
              <w:top w:val="single" w:sz="8" w:space="0" w:color="000000"/>
              <w:bottom w:val="single" w:sz="4" w:space="0" w:color="000000"/>
            </w:tcBorders>
          </w:tcPr>
          <w:p>
            <w:pPr>
              <w:pStyle w:val="CeldaAPA"/>
              <w:jc w:val="center"/>
            </w:pPr>
            <w:r>
              <w:rPr>
                <w:bCs/>
                <w:b/>
              </w:rPr>
              <w:t xml:space="preserve">Teórico</w:t>
            </w:r>
          </w:p>
        </w:tc>
        <w:tc>
          <w:tcPr>
            <w:tcW w:w="1493" w:type="dxa"/>
            <w:tcBorders>
              <w:top w:val="single" w:sz="8" w:space="0" w:color="000000"/>
              <w:bottom w:val="single" w:sz="4" w:space="0" w:color="000000"/>
            </w:tcBorders>
          </w:tcPr>
          <w:p>
            <w:pPr>
              <w:pStyle w:val="CeldaAPA"/>
              <w:jc w:val="center"/>
            </w:pPr>
            <w:r>
              <w:rPr>
                <w:bCs/>
                <w:b/>
              </w:rPr>
              <w:t xml:space="preserve">Entregado</w:t>
            </w:r>
          </w:p>
        </w:tc>
        <w:tc>
          <w:tcPr>
            <w:tcW w:w="1680" w:type="dxa"/>
            <w:tcBorders>
              <w:top w:val="single" w:sz="8" w:space="0" w:color="000000"/>
              <w:bottom w:val="single" w:sz="4" w:space="0" w:color="000000"/>
            </w:tcBorders>
          </w:tcPr>
          <w:p>
            <w:pPr>
              <w:pStyle w:val="CeldaAPA"/>
              <w:jc w:val="center"/>
            </w:pPr>
            <w:r>
              <w:rPr>
                <w:bCs/>
                <w:b/>
              </w:rPr>
              <w:t xml:space="preserve">Pagado o medido</w:t>
            </w:r>
          </w:p>
        </w:tc>
        <w:tc>
          <w:tcPr>
            <w:tcW w:w="1660" w:type="dxa"/>
            <w:tcBorders>
              <w:top w:val="single" w:sz="8" w:space="0" w:color="000000"/>
              <w:bottom w:val="single" w:sz="4" w:space="0" w:color="000000"/>
            </w:tcBorders>
          </w:tcPr>
          <w:p>
            <w:pPr>
              <w:pStyle w:val="CeldaAPA"/>
              <w:jc w:val="center"/>
            </w:pPr>
            <w:r>
              <w:rPr>
                <w:bCs/>
                <w:b/>
              </w:rPr>
              <w:t xml:space="preserve">Índice de la línea base</w:t>
            </w:r>
          </w:p>
        </w:tc>
        <w:tc>
          <w:tcPr>
            <w:tcW w:w="1827" w:type="dxa"/>
            <w:tcBorders>
              <w:top w:val="single" w:sz="8" w:space="0" w:color="000000"/>
              <w:bottom w:val="single" w:sz="4" w:space="0" w:color="000000"/>
            </w:tcBorders>
          </w:tcPr>
          <w:p>
            <w:pPr>
              <w:pStyle w:val="CeldaAPA"/>
              <w:jc w:val="center"/>
            </w:pPr>
            <w:r>
              <w:rPr>
                <w:bCs/>
                <w:b/>
              </w:rPr>
              <w:t xml:space="preserve">Tipo de dato</w:t>
            </w:r>
          </w:p>
        </w:tc>
      </w:tr>
      <w:tr>
        <w:tc>
          <w:tcPr>
            <w:tcW w:w="1291" w:type="dxa"/>
          </w:tcPr>
          <w:p>
            <w:pPr>
              <w:pStyle w:val="CeldaAPA"/>
              <w:jc w:val="left"/>
            </w:pPr>
            <w:r>
              <w:rPr/>
              <w:t xml:space="preserve">Viguetas</w:t>
            </w:r>
          </w:p>
        </w:tc>
        <w:tc>
          <w:tcPr>
            <w:tcW w:w="1409" w:type="dxa"/>
          </w:tcPr>
          <w:p>
            <w:pPr>
              <w:pStyle w:val="CeldaAPA"/>
              <w:jc w:val="left"/>
            </w:pPr>
            <w:r>
              <w:rPr/>
              <w:t xml:space="preserve">531 piezas; 2.205,1 m</w:t>
            </w:r>
          </w:p>
        </w:tc>
        <w:tc>
          <w:tcPr>
            <w:tcW w:w="1493" w:type="dxa"/>
          </w:tcPr>
          <w:p>
            <w:pPr>
              <w:pStyle w:val="CeldaAPA"/>
              <w:jc w:val="left"/>
            </w:pPr>
            <w:r>
              <w:rPr/>
              <w:t xml:space="preserve">Sin notas de entrega</w:t>
            </w:r>
          </w:p>
        </w:tc>
        <w:tc>
          <w:tcPr>
            <w:tcW w:w="1680" w:type="dxa"/>
          </w:tcPr>
          <w:p>
            <w:pPr>
              <w:pStyle w:val="CeldaAPA"/>
              <w:jc w:val="left"/>
            </w:pPr>
            <w:r>
              <w:rPr/>
              <w:t xml:space="preserve">Incluidas en el ítem 13 (1.109,84 m</w:t>
            </w:r>
            <w:r>
              <w:rPr>
                <w:vertAlign w:val="superscript"/>
              </w:rPr>
              <w:t xml:space="preserve">2</w:t>
            </w:r>
            <w:r>
              <w:rPr/>
              <w:t xml:space="preserve">)</w:t>
            </w:r>
          </w:p>
        </w:tc>
        <w:tc>
          <w:tcPr>
            <w:tcW w:w="1660" w:type="dxa"/>
          </w:tcPr>
          <w:p>
            <w:pPr>
              <w:pStyle w:val="CeldaAPA"/>
              <w:jc w:val="left"/>
            </w:pPr>
            <w:r>
              <w:rPr/>
              <w:t xml:space="preserve">No documentado</w:t>
            </w:r>
          </w:p>
        </w:tc>
        <w:tc>
          <w:tcPr>
            <w:tcW w:w="1827" w:type="dxa"/>
          </w:tcPr>
          <w:p>
            <w:pPr>
              <w:pStyle w:val="CeldaAPA"/>
              <w:jc w:val="left"/>
            </w:pPr>
            <w:r>
              <w:rPr/>
              <w:t xml:space="preserve">Supuesto del autor</w:t>
            </w:r>
          </w:p>
        </w:tc>
      </w:tr>
      <w:tr>
        <w:tc>
          <w:tcPr>
            <w:tcW w:w="1291" w:type="dxa"/>
          </w:tcPr>
          <w:p>
            <w:pPr>
              <w:pStyle w:val="CeldaAPA"/>
              <w:jc w:val="left"/>
            </w:pPr>
            <w:r>
              <w:rPr/>
              <w:t xml:space="preserve">EPS</w:t>
            </w:r>
          </w:p>
        </w:tc>
        <w:tc>
          <w:tcPr>
            <w:tcW w:w="1409" w:type="dxa"/>
          </w:tcPr>
          <w:p>
            <w:pPr>
              <w:pStyle w:val="CeldaAPA"/>
              <w:jc w:val="left"/>
            </w:pPr>
            <w:r>
              <w:rPr/>
              <w:t xml:space="preserve">2.237,9 piezas</w:t>
            </w:r>
          </w:p>
        </w:tc>
        <w:tc>
          <w:tcPr>
            <w:tcW w:w="1493" w:type="dxa"/>
          </w:tcPr>
          <w:p>
            <w:pPr>
              <w:pStyle w:val="CeldaAPA"/>
              <w:jc w:val="left"/>
            </w:pPr>
            <w:r>
              <w:rPr/>
              <w:t xml:space="preserve">2.350 piezas</w:t>
            </w:r>
          </w:p>
        </w:tc>
        <w:tc>
          <w:tcPr>
            <w:tcW w:w="1680" w:type="dxa"/>
          </w:tcPr>
          <w:p>
            <w:pPr>
              <w:pStyle w:val="CeldaAPA"/>
              <w:jc w:val="left"/>
            </w:pPr>
            <w:r>
              <w:rPr/>
              <w:t xml:space="preserve">Incluido en el ítem 13</w:t>
            </w:r>
          </w:p>
        </w:tc>
        <w:tc>
          <w:tcPr>
            <w:tcW w:w="1660" w:type="dxa"/>
          </w:tcPr>
          <w:p>
            <w:pPr>
              <w:pStyle w:val="CeldaAPA"/>
              <w:jc w:val="left"/>
            </w:pPr>
            <w:r>
              <w:rPr/>
              <w:t xml:space="preserve">IDM = +5,01 % (+112 piezas); entre +3,4 y +5,9 % según los supuestos</w:t>
            </w:r>
          </w:p>
        </w:tc>
        <w:tc>
          <w:tcPr>
            <w:tcW w:w="1827" w:type="dxa"/>
          </w:tcPr>
          <w:p>
            <w:pPr>
              <w:pStyle w:val="CeldaAPA"/>
              <w:jc w:val="left"/>
            </w:pPr>
            <w:r>
              <w:rPr/>
              <w:t xml:space="preserve">Documentado y cálculo propio</w:t>
            </w:r>
          </w:p>
        </w:tc>
      </w:tr>
      <w:tr>
        <w:tc>
          <w:tcPr>
            <w:tcW w:w="1291" w:type="dxa"/>
          </w:tcPr>
          <w:p>
            <w:pPr>
              <w:pStyle w:val="CeldaAPA"/>
              <w:jc w:val="left"/>
            </w:pPr>
            <w:r>
              <w:rPr/>
              <w:t xml:space="preserve">Hormigón</w:t>
            </w:r>
          </w:p>
        </w:tc>
        <w:tc>
          <w:tcPr>
            <w:tcW w:w="1409" w:type="dxa"/>
          </w:tcPr>
          <w:p>
            <w:pPr>
              <w:pStyle w:val="CeldaAPA"/>
              <w:jc w:val="left"/>
            </w:pPr>
            <w:r>
              <w:rPr/>
              <w:t xml:space="preserve">79,31 m</w:t>
            </w:r>
            <w:r>
              <w:rPr>
                <w:vertAlign w:val="superscript"/>
              </w:rPr>
              <w:t xml:space="preserve">3</w:t>
            </w:r>
          </w:p>
        </w:tc>
        <w:tc>
          <w:tcPr>
            <w:tcW w:w="1493" w:type="dxa"/>
          </w:tcPr>
          <w:p>
            <w:pPr>
              <w:pStyle w:val="CeldaAPA"/>
              <w:jc w:val="left"/>
            </w:pPr>
            <w:r>
              <w:rPr/>
              <w:t xml:space="preserve">Sin remisiones ni vales de cemento</w:t>
            </w:r>
          </w:p>
        </w:tc>
        <w:tc>
          <w:tcPr>
            <w:tcW w:w="1680" w:type="dxa"/>
          </w:tcPr>
          <w:p>
            <w:pPr>
              <w:pStyle w:val="CeldaAPA"/>
              <w:jc w:val="left"/>
            </w:pPr>
            <w:r>
              <w:rPr/>
              <w:t xml:space="preserve">Incluido en el ítem 13</w:t>
            </w:r>
          </w:p>
        </w:tc>
        <w:tc>
          <w:tcPr>
            <w:tcW w:w="1660" w:type="dxa"/>
          </w:tcPr>
          <w:p>
            <w:pPr>
              <w:pStyle w:val="CeldaAPA"/>
              <w:jc w:val="left"/>
            </w:pPr>
            <w:r>
              <w:rPr/>
              <w:t xml:space="preserve">No documentado</w:t>
            </w:r>
          </w:p>
        </w:tc>
        <w:tc>
          <w:tcPr>
            <w:tcW w:w="1827" w:type="dxa"/>
          </w:tcPr>
          <w:p>
            <w:pPr>
              <w:pStyle w:val="CeldaAPA"/>
              <w:jc w:val="left"/>
            </w:pPr>
            <w:r>
              <w:rPr/>
              <w:t xml:space="preserve">Supuesto de literatura</w:t>
            </w:r>
          </w:p>
        </w:tc>
      </w:tr>
      <w:tr>
        <w:tc>
          <w:tcPr>
            <w:tcW w:w="1291" w:type="dxa"/>
            <w:tcBorders>
              <w:bottom w:val="single" w:sz="8" w:space="0" w:color="000000"/>
            </w:tcBorders>
          </w:tcPr>
          <w:p>
            <w:pPr>
              <w:pStyle w:val="CeldaAPA"/>
              <w:jc w:val="left"/>
            </w:pPr>
            <w:r>
              <w:rPr/>
              <w:t xml:space="preserve">Acero</w:t>
            </w:r>
          </w:p>
        </w:tc>
        <w:tc>
          <w:tcPr>
            <w:tcW w:w="1409" w:type="dxa"/>
            <w:tcBorders>
              <w:bottom w:val="single" w:sz="8" w:space="0" w:color="000000"/>
            </w:tcBorders>
          </w:tcPr>
          <w:p>
            <w:pPr>
              <w:pStyle w:val="CeldaAPA"/>
              <w:jc w:val="left"/>
            </w:pPr>
            <w:r>
              <w:rPr/>
              <w:t xml:space="preserve">3.572,8 kg (3,22 kg/m</w:t>
            </w:r>
            <w:r>
              <w:rPr>
                <w:vertAlign w:val="superscript"/>
              </w:rPr>
              <w:t xml:space="preserve">2</w:t>
            </w:r>
            <w:r>
              <w:rPr/>
              <w:t xml:space="preserve">)</w:t>
            </w:r>
          </w:p>
        </w:tc>
        <w:tc>
          <w:tcPr>
            <w:tcW w:w="1493" w:type="dxa"/>
            <w:tcBorders>
              <w:bottom w:val="single" w:sz="8" w:space="0" w:color="000000"/>
            </w:tcBorders>
          </w:tcPr>
          <w:p>
            <w:pPr>
              <w:pStyle w:val="CeldaAPA"/>
              <w:jc w:val="left"/>
            </w:pPr>
            <w:r>
              <w:rPr/>
              <w:t xml:space="preserve">Sin registro de entregas para la losa</w:t>
            </w:r>
          </w:p>
        </w:tc>
        <w:tc>
          <w:tcPr>
            <w:tcW w:w="1680" w:type="dxa"/>
            <w:tcBorders>
              <w:bottom w:val="single" w:sz="8" w:space="0" w:color="000000"/>
            </w:tcBorders>
          </w:tcPr>
          <w:p>
            <w:pPr>
              <w:pStyle w:val="CeldaAPA"/>
              <w:jc w:val="left"/>
            </w:pPr>
            <w:r>
              <w:rPr/>
              <w:t xml:space="preserve">4.171,18 kg (3,76 kg/m</w:t>
            </w:r>
            <w:r>
              <w:rPr>
                <w:vertAlign w:val="superscript"/>
              </w:rPr>
              <w:t xml:space="preserve">2</w:t>
            </w:r>
            <w:r>
              <w:rPr/>
              <w:t xml:space="preserve">) en el ítem 8; 3 </w:t>
            </w:r>
            <m:oMath>
              <m:r>
                <m:rPr>
                  <m:sty m:val="p"/>
                </m:rPr>
                <m:t>×</m:t>
              </m:r>
            </m:oMath>
            <w:r>
              <w:rPr/>
              <w:t xml:space="preserve"> 4.171,18 kg en el cómputo de cierre</w:t>
            </w:r>
          </w:p>
        </w:tc>
        <w:tc>
          <w:tcPr>
            <w:tcW w:w="1660" w:type="dxa"/>
            <w:tcBorders>
              <w:bottom w:val="single" w:sz="8" w:space="0" w:color="000000"/>
            </w:tcBorders>
          </w:tcPr>
          <w:p>
            <w:pPr>
              <w:pStyle w:val="CeldaAPA"/>
              <w:jc w:val="left"/>
            </w:pPr>
            <w:r>
              <w:rPr/>
              <w:t xml:space="preserve">Pagado frente a teórico: +16,75 %; entre +9,2 y +38,3 % según los supuestos</w:t>
            </w:r>
          </w:p>
        </w:tc>
        <w:tc>
          <w:tcPr>
            <w:tcW w:w="1827" w:type="dxa"/>
            <w:tcBorders>
              <w:bottom w:val="single" w:sz="8" w:space="0" w:color="000000"/>
            </w:tcBorders>
          </w:tcPr>
          <w:p>
            <w:pPr>
              <w:pStyle w:val="CeldaAPA"/>
              <w:jc w:val="left"/>
            </w:pPr>
            <w:r>
              <w:rPr/>
              <w:t xml:space="preserve">Documentado y cálculo propio (aproximación del IDM)</w:t>
            </w:r>
          </w:p>
        </w:tc>
      </w:tr>
    </w:tbl>
    <w:p>
      <w:pPr>
        <w:pStyle w:val="NotaAPA"/>
      </w:pPr>
      <w:r>
        <w:rPr>
          <w:iCs/>
          <w:i/>
        </w:rPr>
        <w:t xml:space="preserve">Nota.</w:t>
      </w:r>
      <w:r>
        <w:t xml:space="preserve"> </w:t>
      </w:r>
      <w:r>
        <w:t xml:space="preserve">Elaboración propia con base en la Tabla 27,</w:t>
      </w:r>
      <w:r>
        <w:t xml:space="preserve"> </w:t>
      </w:r>
      <w:r>
        <w:t xml:space="preserve">UNICON (2025)</w:t>
      </w:r>
      <w:r>
        <w:t xml:space="preserve">,</w:t>
      </w:r>
      <w:r>
        <w:t xml:space="preserve"> </w:t>
      </w:r>
      <w:r>
        <w:t xml:space="preserve">UATF (2025, pp. 16, 19–20)</w:t>
      </w:r>
      <w:r>
        <w:t xml:space="preserve"> </w:t>
      </w:r>
      <w:r>
        <w:t xml:space="preserve">y</w:t>
      </w:r>
      <w:r>
        <w:t xml:space="preserve"> </w:t>
      </w:r>
      <w:r>
        <w:t xml:space="preserve">UATF (s. f.-c, hoja «Cómputos métricos», fila 538)</w:t>
      </w:r>
      <w:r>
        <w:t xml:space="preserve">. IDM: ecuación (8).</w:t>
      </w:r>
    </w:p>
    <w:p>
      <w:pPr>
        <w:pStyle w:val="BodyText"/>
      </w:pPr>
      <w:r>
        <w:t xml:space="preserve">En el EPS se entregaron 2.350 piezas frente a 2.237,9 teóricas: 112 piezas más, es decir, un IDM de +5,01 % (cálculo propio). Si no se construyeran nervios, el índice sería de +3,4 %, y con la regla simplificada de dos piezas por m</w:t>
      </w:r>
      <w:r>
        <w:rPr>
          <w:vertAlign w:val="superscript"/>
        </w:rPr>
        <w:t xml:space="preserve">2</w:t>
      </w:r>
      <w:r>
        <w:t xml:space="preserve">, de +5,9 %. Si cada fila se completara con piezas enteras, sin reaprovechar los recortes, se necesitarían unas 2.476 piezas, más que las entregadas; la cantidad recibida solo alcanza si los recortes se reaprovecharon, lo que es compatible con un desperdicio de 3 % a 6 % sobre el consumo neto. El índice supone que todas las piezas se destinaron a la primera losa y que no hubo devoluciones ni sobrantes, lo que no puede verificarse sin notas de entrega ni kardex.</w:t>
      </w:r>
    </w:p>
    <w:p>
      <w:pPr>
        <w:pStyle w:val="BodyText"/>
      </w:pPr>
      <w:r>
        <w:t xml:space="preserve">En el acero, la única cantidad documentada de la losa es la pagada en la Planilla N.</w:t>
      </w:r>
      <w:r>
        <w:rPr>
          <w:vertAlign w:val="superscript"/>
        </w:rPr>
        <w:t xml:space="preserve">o</w:t>
      </w:r>
      <w:r>
        <w:t xml:space="preserve"> 2: 4.171,18 kg, es decir, 3,76 kg/m</w:t>
      </w:r>
      <w:r>
        <w:rPr>
          <w:vertAlign w:val="superscript"/>
        </w:rPr>
        <w:t xml:space="preserve">2</w:t>
      </w:r>
      <w:r>
        <w:t xml:space="preserve">, un 16,75 % más que la cantidad teórica del escenario base (cálculo propio). La cantidad pagada supera la teórica con todos los supuestos ensayados: de +9,2 % si se colocaran nervios en todas las luces de 3 m o más, a +38,3 % si no hubiera nervios. La documentación no permite separar en esa diferencia el desperdicio real (recortes y traslapes no previstos), una medición superior a la ejecutada o armaduras que los planos no definen; por eso el índice se usa como una aproximación del desperdicio de acero de la línea base, no como una medición directa. El valor coincide con los desperdicios de 14,58 % y 17,09 % que</w:t>
      </w:r>
      <w:r>
        <w:t xml:space="preserve"> </w:t>
      </w:r>
      <w:r>
        <w:t xml:space="preserve">Chino Quispe y Zarate Chilqquetuma (2024, pp. 147, 169)</w:t>
      </w:r>
      <w:r>
        <w:t xml:space="preserve"> </w:t>
      </w:r>
      <w:r>
        <w:t xml:space="preserve">midieron con el método convencional de habilitado del acero. La cifra de 12.513,54 kg del cómputo de cierre, 3,5 veces la cantidad teórica de una losa, no se usó, porque no corresponde a una losa ejecutada (Sección 2.5.2).</w:t>
      </w:r>
    </w:p>
    <w:p>
      <w:pPr>
        <w:pStyle w:val="BodyText"/>
      </w:pPr>
      <w:r>
        <w:t xml:space="preserve">Para las viguetas y el hormigón no existen notas de entrega, remisiones, vales de cemento ni volúmenes por vaciado, por lo que su desperdicio en la primera losa no puede medirse. Para el hormigón se adoptó el rango de la literatura: 5 % como valor típico y hasta 22 % en obras sin control volumétrico</w:t>
      </w:r>
      <w:r>
        <w:t xml:space="preserve"> </w:t>
      </w:r>
      <w:r>
        <w:t xml:space="preserve">(Galarza Meza, 2011, pp. 53, 73)</w:t>
      </w:r>
      <w:r>
        <w:t xml:space="preserve">, pérdidas reales de 14 % a 27 % en vaciados semanales sin control</w:t>
      </w:r>
      <w:r>
        <w:t xml:space="preserve"> </w:t>
      </w:r>
      <w:r>
        <w:t xml:space="preserve">(Ruiz Muñoz y Rojas Bonilla, 2018, pp. 33, 40)</w:t>
      </w:r>
      <w:r>
        <w:t xml:space="preserve"> </w:t>
      </w:r>
      <w:r>
        <w:t xml:space="preserve">y de 1,5 % a 13 % para el hormigón premezclado en Brasil</w:t>
      </w:r>
      <w:r>
        <w:t xml:space="preserve"> </w:t>
      </w:r>
      <w:r>
        <w:t xml:space="preserve">(Maciel et al., 2016, p. 106)</w:t>
      </w:r>
      <w:r>
        <w:t xml:space="preserve">. Para las viguetas, que se fabrican a medida según el Plano 03, se supuso un desperdicio pequeño por rotura en la manipulación. Tampoco hay registros de retrabajos en la primera losa (NC-11), lo que no prueba que no los hubiera; su costo se representó como una fracción del costo directo tomada de la literatura: fallas visibles de 2,34 % del costo total en 25 proyectos</w:t>
      </w:r>
      <w:r>
        <w:t xml:space="preserve"> </w:t>
      </w:r>
      <w:r>
        <w:t xml:space="preserve">(Khadim et al., 2023, p. 5421)</w:t>
      </w:r>
      <w:r>
        <w:t xml:space="preserve">, costos de no calidad de 2,7 % a 5,1 % en la partida de hormigón armado</w:t>
      </w:r>
      <w:r>
        <w:t xml:space="preserve"> </w:t>
      </w:r>
      <w:r>
        <w:t xml:space="preserve">(Gudiel Cairampoma y Solis Puente, 2020, p. 1)</w:t>
      </w:r>
      <w:r>
        <w:t xml:space="preserve"> </w:t>
      </w:r>
      <w:r>
        <w:t xml:space="preserve">y reprocesos de 6,5 % en proyectos sin SGC</w:t>
      </w:r>
      <w:r>
        <w:t xml:space="preserve"> </w:t>
      </w:r>
      <w:r>
        <w:t xml:space="preserve">(Álvarez Quintero, 2014, p. 12)</w:t>
      </w:r>
      <w:r>
        <w:t xml:space="preserve">.</w:t>
      </w:r>
    </w:p>
    <w:p>
      <w:pPr>
        <w:pStyle w:val="BodyText"/>
      </w:pPr>
      <w:r>
        <w:rPr>
          <w:bCs/>
          <w:b/>
        </w:rPr>
        <w:t xml:space="preserve">Parámetros del escenario de control.</w:t>
      </w:r>
      <w:r>
        <w:t xml:space="preserve"> </w:t>
      </w:r>
      <w:r>
        <w:t xml:space="preserve">La Tabla 29 resume los parámetros de la línea base que usa el modelo, con distribuciones triangulares (mínimo, moda y máximo). La tabla completa, con las eficacias del SGC y sus costos, está en el Anexo K.</w:t>
      </w:r>
    </w:p>
    <w:p>
      <w:pPr>
        <w:pStyle w:val="Caption"/>
      </w:pPr>
      <w:bookmarkStart w:id="1441" w:name="tab29"/>
      <w:r>
        <w:t xml:space="preserve"/>
      </w:r>
      <w:r>
        <w:rPr>
          <w:bCs/>
          <w:b/>
        </w:rPr>
        <w:t xml:space="preserve">Tabla 29</w:t>
      </w:r>
      <w:r>
        <w:br/>
      </w:r>
      <w:r>
        <w:rPr>
          <w:iCs/>
          <w:i/>
        </w:rPr>
        <w:t xml:space="preserve">Parámetros de la línea base (escenario de control) del modelo de costos</w:t>
      </w:r>
      <w:bookmarkEnd w:id="1441"/>
    </w:p>
    <w:tbl>
      <w:tblPr>
        <w:tblStyle w:val="Table"/>
        <w:tblW w:w="9359" w:type="dxa"/>
        <w:jc w:val="left"/>
        <w:tblLayout w:type="fixed"/>
        <w:tblCellMar>
          <w:top w:w="0" w:type="dxa"/>
          <w:left w:w="85" w:type="dxa"/>
          <w:bottom w:w="0" w:type="dxa"/>
          <w:right w:w="85" w:type="dxa"/>
        </w:tblCellMar>
        <w:tblLook w:firstRow="1" w:lastRow="0" w:firstColumn="0" w:lastColumn="0" w:noHBand="0" w:noVBand="0" w:val="0020"/>
      </w:tblPr>
      <w:tblGrid>
        <w:gridCol w:w="1692"/>
        <w:gridCol w:w="1159"/>
        <w:gridCol w:w="1063"/>
        <w:gridCol w:w="1210"/>
        <w:gridCol w:w="1710"/>
        <w:gridCol w:w="2525"/>
      </w:tblGrid>
      <w:tr>
        <w:trPr>
          <w:cantSplit/>
          <w:tblHeader w:val="true"/>
        </w:trPr>
        <w:tc>
          <w:tcPr>
            <w:tcW w:w="1692" w:type="dxa"/>
            <w:tcBorders>
              <w:top w:val="single" w:sz="8" w:space="0" w:color="000000"/>
              <w:bottom w:val="single" w:sz="4" w:space="0" w:color="000000"/>
            </w:tcBorders>
          </w:tcPr>
          <w:p>
            <w:pPr>
              <w:pStyle w:val="CeldaAPA"/>
              <w:jc w:val="center"/>
            </w:pPr>
            <w:r>
              <w:rPr>
                <w:bCs/>
                <w:b/>
              </w:rPr>
              <w:t xml:space="preserve">Parámetro</w:t>
            </w:r>
          </w:p>
        </w:tc>
        <w:tc>
          <w:tcPr>
            <w:tcW w:w="1159" w:type="dxa"/>
            <w:tcBorders>
              <w:top w:val="single" w:sz="8" w:space="0" w:color="000000"/>
              <w:bottom w:val="single" w:sz="4" w:space="0" w:color="000000"/>
            </w:tcBorders>
          </w:tcPr>
          <w:p>
            <w:pPr>
              <w:pStyle w:val="CeldaAPA"/>
              <w:jc w:val="center"/>
            </w:pPr>
            <w:r>
              <w:rPr>
                <w:bCs/>
                <w:b/>
              </w:rPr>
              <w:t xml:space="preserve">Mínimo</w:t>
            </w:r>
          </w:p>
        </w:tc>
        <w:tc>
          <w:tcPr>
            <w:tcW w:w="1063" w:type="dxa"/>
            <w:tcBorders>
              <w:top w:val="single" w:sz="8" w:space="0" w:color="000000"/>
              <w:bottom w:val="single" w:sz="4" w:space="0" w:color="000000"/>
            </w:tcBorders>
          </w:tcPr>
          <w:p>
            <w:pPr>
              <w:pStyle w:val="CeldaAPA"/>
              <w:jc w:val="center"/>
            </w:pPr>
            <w:r>
              <w:rPr>
                <w:bCs/>
                <w:b/>
              </w:rPr>
              <w:t xml:space="preserve">Moda</w:t>
            </w:r>
          </w:p>
        </w:tc>
        <w:tc>
          <w:tcPr>
            <w:tcW w:w="1210" w:type="dxa"/>
            <w:tcBorders>
              <w:top w:val="single" w:sz="8" w:space="0" w:color="000000"/>
              <w:bottom w:val="single" w:sz="4" w:space="0" w:color="000000"/>
            </w:tcBorders>
          </w:tcPr>
          <w:p>
            <w:pPr>
              <w:pStyle w:val="CeldaAPA"/>
              <w:jc w:val="center"/>
            </w:pPr>
            <w:r>
              <w:rPr>
                <w:bCs/>
                <w:b/>
              </w:rPr>
              <w:t xml:space="preserve">Máximo</w:t>
            </w:r>
          </w:p>
        </w:tc>
        <w:tc>
          <w:tcPr>
            <w:tcW w:w="1710" w:type="dxa"/>
            <w:tcBorders>
              <w:top w:val="single" w:sz="8" w:space="0" w:color="000000"/>
              <w:bottom w:val="single" w:sz="4" w:space="0" w:color="000000"/>
            </w:tcBorders>
          </w:tcPr>
          <w:p>
            <w:pPr>
              <w:pStyle w:val="CeldaAPA"/>
              <w:jc w:val="center"/>
            </w:pPr>
            <w:r>
              <w:rPr>
                <w:bCs/>
                <w:b/>
              </w:rPr>
              <w:t xml:space="preserve">Tipo de dato</w:t>
            </w:r>
          </w:p>
        </w:tc>
        <w:tc>
          <w:tcPr>
            <w:tcW w:w="2525" w:type="dxa"/>
            <w:tcBorders>
              <w:top w:val="single" w:sz="8" w:space="0" w:color="000000"/>
              <w:bottom w:val="single" w:sz="4" w:space="0" w:color="000000"/>
            </w:tcBorders>
          </w:tcPr>
          <w:p>
            <w:pPr>
              <w:pStyle w:val="CeldaAPA"/>
              <w:jc w:val="center"/>
            </w:pPr>
            <w:r>
              <w:rPr>
                <w:bCs/>
                <w:b/>
              </w:rPr>
              <w:t xml:space="preserve">Fuente</w:t>
            </w:r>
          </w:p>
        </w:tc>
      </w:tr>
      <w:tr>
        <w:tc>
          <w:tcPr>
            <w:tcW w:w="1692" w:type="dxa"/>
          </w:tcPr>
          <w:p>
            <w:pPr>
              <w:pStyle w:val="CeldaAPA"/>
              <w:jc w:val="left"/>
            </w:pPr>
            <w:r>
              <w:rPr/>
              <w:t xml:space="preserve">IDM de las viguetas</w:t>
            </w:r>
          </w:p>
        </w:tc>
        <w:tc>
          <w:tcPr>
            <w:tcW w:w="1159" w:type="dxa"/>
          </w:tcPr>
          <w:p>
            <w:pPr>
              <w:pStyle w:val="CeldaAPA"/>
              <w:jc w:val="center"/>
            </w:pPr>
            <w:r>
              <w:rPr/>
              <w:t xml:space="preserve">0,0 %</w:t>
            </w:r>
          </w:p>
        </w:tc>
        <w:tc>
          <w:tcPr>
            <w:tcW w:w="1063" w:type="dxa"/>
          </w:tcPr>
          <w:p>
            <w:pPr>
              <w:pStyle w:val="CeldaAPA"/>
              <w:jc w:val="center"/>
            </w:pPr>
            <w:r>
              <w:rPr/>
              <w:t xml:space="preserve">1,00 %</w:t>
            </w:r>
          </w:p>
        </w:tc>
        <w:tc>
          <w:tcPr>
            <w:tcW w:w="1210" w:type="dxa"/>
          </w:tcPr>
          <w:p>
            <w:pPr>
              <w:pStyle w:val="CeldaAPA"/>
              <w:jc w:val="center"/>
            </w:pPr>
            <w:r>
              <w:rPr/>
              <w:t xml:space="preserve">3,0 %</w:t>
            </w:r>
          </w:p>
        </w:tc>
        <w:tc>
          <w:tcPr>
            <w:tcW w:w="1710" w:type="dxa"/>
          </w:tcPr>
          <w:p>
            <w:pPr>
              <w:pStyle w:val="CeldaAPA"/>
              <w:jc w:val="left"/>
            </w:pPr>
            <w:r>
              <w:rPr/>
              <w:t xml:space="preserve">Supuesto del autor</w:t>
            </w:r>
          </w:p>
        </w:tc>
        <w:tc>
          <w:tcPr>
            <w:tcW w:w="2525" w:type="dxa"/>
          </w:tcPr>
          <w:p>
            <w:pPr>
              <w:pStyle w:val="CeldaAPA"/>
              <w:jc w:val="left"/>
            </w:pPr>
            <w:r>
              <w:rPr/>
              <w:t xml:space="preserve">Viguetas fabricadas a medida; rotura en la manipulación</w:t>
            </w:r>
          </w:p>
        </w:tc>
      </w:tr>
      <w:tr>
        <w:tc>
          <w:tcPr>
            <w:tcW w:w="1692" w:type="dxa"/>
          </w:tcPr>
          <w:p>
            <w:pPr>
              <w:pStyle w:val="CeldaAPA"/>
              <w:jc w:val="left"/>
            </w:pPr>
            <w:r>
              <w:rPr/>
              <w:t xml:space="preserve">IDM del EPS</w:t>
            </w:r>
          </w:p>
        </w:tc>
        <w:tc>
          <w:tcPr>
            <w:tcW w:w="1159" w:type="dxa"/>
          </w:tcPr>
          <w:p>
            <w:pPr>
              <w:pStyle w:val="CeldaAPA"/>
              <w:jc w:val="center"/>
            </w:pPr>
            <w:r>
              <w:rPr/>
              <w:t xml:space="preserve">2,5 %</w:t>
            </w:r>
          </w:p>
        </w:tc>
        <w:tc>
          <w:tcPr>
            <w:tcW w:w="1063" w:type="dxa"/>
          </w:tcPr>
          <w:p>
            <w:pPr>
              <w:pStyle w:val="CeldaAPA"/>
              <w:jc w:val="center"/>
            </w:pPr>
            <w:r>
              <w:rPr/>
              <w:t xml:space="preserve">5,01 %</w:t>
            </w:r>
          </w:p>
        </w:tc>
        <w:tc>
          <w:tcPr>
            <w:tcW w:w="1210" w:type="dxa"/>
          </w:tcPr>
          <w:p>
            <w:pPr>
              <w:pStyle w:val="CeldaAPA"/>
              <w:jc w:val="center"/>
            </w:pPr>
            <w:r>
              <w:rPr/>
              <w:t xml:space="preserve">7,5 %</w:t>
            </w:r>
          </w:p>
        </w:tc>
        <w:tc>
          <w:tcPr>
            <w:tcW w:w="1710" w:type="dxa"/>
          </w:tcPr>
          <w:p>
            <w:pPr>
              <w:pStyle w:val="CeldaAPA"/>
              <w:jc w:val="left"/>
            </w:pPr>
            <w:r>
              <w:rPr/>
              <w:t xml:space="preserve">Documentado (moda); rango supuesto de</w:t>
            </w:r>
            <w:r>
              <w:rPr/>
              <w:t xml:space="preserve"> </w:t>
            </w:r>
            <m:oMath>
              <m:r>
                <m:rPr>
                  <m:sty m:val="p"/>
                </m:rPr>
                <m:t>±</m:t>
              </m:r>
            </m:oMath>
            <w:r>
              <w:rPr/>
              <w:t xml:space="preserve">50 %</w:t>
            </w:r>
          </w:p>
        </w:tc>
        <w:tc>
          <w:tcPr>
            <w:tcW w:w="2525" w:type="dxa"/>
          </w:tcPr>
          <w:p>
            <w:pPr>
              <w:pStyle w:val="CeldaAPA"/>
              <w:jc w:val="left"/>
            </w:pPr>
            <w:r>
              <w:rPr/>
              <w:t xml:space="preserve">2.350 piezas entregadas frente a 2.237,9 teóricas</w:t>
            </w:r>
          </w:p>
        </w:tc>
      </w:tr>
      <w:tr>
        <w:tc>
          <w:tcPr>
            <w:tcW w:w="1692" w:type="dxa"/>
          </w:tcPr>
          <w:p>
            <w:pPr>
              <w:pStyle w:val="CeldaAPA"/>
              <w:jc w:val="left"/>
            </w:pPr>
            <w:r>
              <w:rPr/>
              <w:t xml:space="preserve">IDM del hormigón</w:t>
            </w:r>
          </w:p>
        </w:tc>
        <w:tc>
          <w:tcPr>
            <w:tcW w:w="1159" w:type="dxa"/>
          </w:tcPr>
          <w:p>
            <w:pPr>
              <w:pStyle w:val="CeldaAPA"/>
              <w:jc w:val="center"/>
            </w:pPr>
            <w:r>
              <w:rPr/>
              <w:t xml:space="preserve">5,0 %</w:t>
            </w:r>
          </w:p>
        </w:tc>
        <w:tc>
          <w:tcPr>
            <w:tcW w:w="1063" w:type="dxa"/>
          </w:tcPr>
          <w:p>
            <w:pPr>
              <w:pStyle w:val="CeldaAPA"/>
              <w:jc w:val="center"/>
            </w:pPr>
            <w:r>
              <w:rPr/>
              <w:t xml:space="preserve">10,00 %</w:t>
            </w:r>
          </w:p>
        </w:tc>
        <w:tc>
          <w:tcPr>
            <w:tcW w:w="1210" w:type="dxa"/>
          </w:tcPr>
          <w:p>
            <w:pPr>
              <w:pStyle w:val="CeldaAPA"/>
              <w:jc w:val="center"/>
            </w:pPr>
            <w:r>
              <w:rPr/>
              <w:t xml:space="preserve">22,0 %</w:t>
            </w:r>
          </w:p>
        </w:tc>
        <w:tc>
          <w:tcPr>
            <w:tcW w:w="1710" w:type="dxa"/>
          </w:tcPr>
          <w:p>
            <w:pPr>
              <w:pStyle w:val="CeldaAPA"/>
              <w:jc w:val="left"/>
            </w:pPr>
            <w:r>
              <w:rPr/>
              <w:t xml:space="preserve">Literatura</w:t>
            </w:r>
          </w:p>
        </w:tc>
        <w:tc>
          <w:tcPr>
            <w:tcW w:w="2525" w:type="dxa"/>
          </w:tcPr>
          <w:p>
            <w:pPr>
              <w:pStyle w:val="CeldaAPA"/>
              <w:jc w:val="left"/>
            </w:pPr>
            <w:r>
              <w:rPr/>
              <w:t xml:space="preserve">Galarza Meza (2011)</w:t>
            </w:r>
            <w:r>
              <w:rPr/>
              <w:t xml:space="preserve">;</w:t>
            </w:r>
            <w:r>
              <w:rPr/>
              <w:t xml:space="preserve"> </w:t>
            </w:r>
            <w:r>
              <w:rPr/>
              <w:t xml:space="preserve">Ruiz Muñoz y Rojas Bonilla (2018)</w:t>
            </w:r>
            <w:r>
              <w:rPr/>
              <w:t xml:space="preserve">;</w:t>
            </w:r>
            <w:r>
              <w:rPr/>
              <w:t xml:space="preserve"> </w:t>
            </w:r>
            <w:r>
              <w:rPr/>
              <w:t xml:space="preserve">Maciel et al. (2016)</w:t>
            </w:r>
          </w:p>
        </w:tc>
      </w:tr>
      <w:tr>
        <w:tc>
          <w:tcPr>
            <w:tcW w:w="1692" w:type="dxa"/>
          </w:tcPr>
          <w:p>
            <w:pPr>
              <w:pStyle w:val="CeldaAPA"/>
              <w:jc w:val="left"/>
            </w:pPr>
            <w:r>
              <w:rPr/>
              <w:t xml:space="preserve">IDM del acero</w:t>
            </w:r>
          </w:p>
        </w:tc>
        <w:tc>
          <w:tcPr>
            <w:tcW w:w="1159" w:type="dxa"/>
          </w:tcPr>
          <w:p>
            <w:pPr>
              <w:pStyle w:val="CeldaAPA"/>
              <w:jc w:val="center"/>
            </w:pPr>
            <w:r>
              <w:rPr/>
              <w:t xml:space="preserve">7,0 %</w:t>
            </w:r>
          </w:p>
        </w:tc>
        <w:tc>
          <w:tcPr>
            <w:tcW w:w="1063" w:type="dxa"/>
          </w:tcPr>
          <w:p>
            <w:pPr>
              <w:pStyle w:val="CeldaAPA"/>
              <w:jc w:val="center"/>
            </w:pPr>
            <w:r>
              <w:rPr/>
              <w:t xml:space="preserve">16,75 %</w:t>
            </w:r>
          </w:p>
        </w:tc>
        <w:tc>
          <w:tcPr>
            <w:tcW w:w="1210" w:type="dxa"/>
          </w:tcPr>
          <w:p>
            <w:pPr>
              <w:pStyle w:val="CeldaAPA"/>
              <w:jc w:val="center"/>
            </w:pPr>
            <w:r>
              <w:rPr/>
              <w:t xml:space="preserve">26,0 %</w:t>
            </w:r>
          </w:p>
        </w:tc>
        <w:tc>
          <w:tcPr>
            <w:tcW w:w="1710" w:type="dxa"/>
          </w:tcPr>
          <w:p>
            <w:pPr>
              <w:pStyle w:val="CeldaAPA"/>
              <w:jc w:val="left"/>
            </w:pPr>
            <w:r>
              <w:rPr/>
              <w:t xml:space="preserve">Documentado (moda); rango de literatura</w:t>
            </w:r>
          </w:p>
        </w:tc>
        <w:tc>
          <w:tcPr>
            <w:tcW w:w="2525" w:type="dxa"/>
          </w:tcPr>
          <w:p>
            <w:pPr>
              <w:pStyle w:val="CeldaAPA"/>
              <w:jc w:val="left"/>
            </w:pPr>
            <w:r>
              <w:rPr/>
              <w:t xml:space="preserve">4.171,18 kg pagados frente a 3.572,8 kg teóricos;</w:t>
            </w:r>
            <w:r>
              <w:rPr/>
              <w:t xml:space="preserve"> </w:t>
            </w:r>
            <w:r>
              <w:rPr/>
              <w:t xml:space="preserve">Galarza Meza (2011)</w:t>
            </w:r>
            <w:r>
              <w:rPr/>
              <w:t xml:space="preserve">;</w:t>
            </w:r>
            <w:r>
              <w:rPr/>
              <w:t xml:space="preserve"> </w:t>
            </w:r>
            <w:r>
              <w:rPr/>
              <w:t xml:space="preserve">Maciel et al. (2016)</w:t>
            </w:r>
          </w:p>
        </w:tc>
      </w:tr>
      <w:tr>
        <w:tc>
          <w:tcPr>
            <w:tcW w:w="1692" w:type="dxa"/>
            <w:tcBorders>
              <w:bottom w:val="single" w:sz="8" w:space="0" w:color="000000"/>
            </w:tcBorders>
          </w:tcPr>
          <w:p>
            <w:pPr>
              <w:pStyle w:val="CeldaAPA"/>
              <w:jc w:val="left"/>
            </w:pPr>
            <w:r>
              <w:rPr/>
              <w:t xml:space="preserve">Retrabajo (</w:t>
            </w:r>
            <m:oMath>
              <m:r>
                <m:t>ρ</m:t>
              </m:r>
            </m:oMath>
            <w:r>
              <w:rPr/>
              <w:t xml:space="preserve">), fracción del costo directo</w:t>
            </w:r>
          </w:p>
        </w:tc>
        <w:tc>
          <w:tcPr>
            <w:tcW w:w="1159" w:type="dxa"/>
            <w:tcBorders>
              <w:bottom w:val="single" w:sz="8" w:space="0" w:color="000000"/>
            </w:tcBorders>
          </w:tcPr>
          <w:p>
            <w:pPr>
              <w:pStyle w:val="CeldaAPA"/>
              <w:jc w:val="center"/>
            </w:pPr>
            <w:r>
              <w:rPr/>
              <w:t xml:space="preserve">0,5 %</w:t>
            </w:r>
          </w:p>
        </w:tc>
        <w:tc>
          <w:tcPr>
            <w:tcW w:w="1063" w:type="dxa"/>
            <w:tcBorders>
              <w:bottom w:val="single" w:sz="8" w:space="0" w:color="000000"/>
            </w:tcBorders>
          </w:tcPr>
          <w:p>
            <w:pPr>
              <w:pStyle w:val="CeldaAPA"/>
              <w:jc w:val="center"/>
            </w:pPr>
            <w:r>
              <w:rPr/>
              <w:t xml:space="preserve">2,34 %</w:t>
            </w:r>
          </w:p>
        </w:tc>
        <w:tc>
          <w:tcPr>
            <w:tcW w:w="1210" w:type="dxa"/>
            <w:tcBorders>
              <w:bottom w:val="single" w:sz="8" w:space="0" w:color="000000"/>
            </w:tcBorders>
          </w:tcPr>
          <w:p>
            <w:pPr>
              <w:pStyle w:val="CeldaAPA"/>
              <w:jc w:val="center"/>
            </w:pPr>
            <w:r>
              <w:rPr/>
              <w:t xml:space="preserve">6,5 %</w:t>
            </w:r>
          </w:p>
        </w:tc>
        <w:tc>
          <w:tcPr>
            <w:tcW w:w="1710" w:type="dxa"/>
            <w:tcBorders>
              <w:bottom w:val="single" w:sz="8" w:space="0" w:color="000000"/>
            </w:tcBorders>
          </w:tcPr>
          <w:p>
            <w:pPr>
              <w:pStyle w:val="CeldaAPA"/>
              <w:jc w:val="left"/>
            </w:pPr>
            <w:r>
              <w:rPr/>
              <w:t xml:space="preserve">Literatura</w:t>
            </w:r>
          </w:p>
        </w:tc>
        <w:tc>
          <w:tcPr>
            <w:tcW w:w="2525" w:type="dxa"/>
            <w:tcBorders>
              <w:bottom w:val="single" w:sz="8" w:space="0" w:color="000000"/>
            </w:tcBorders>
          </w:tcPr>
          <w:p>
            <w:pPr>
              <w:pStyle w:val="CeldaAPA"/>
              <w:jc w:val="left"/>
            </w:pPr>
            <w:r>
              <w:rPr/>
              <w:t xml:space="preserve">Khadim et al. (2023)</w:t>
            </w:r>
            <w:r>
              <w:rPr/>
              <w:t xml:space="preserve">;</w:t>
            </w:r>
            <w:r>
              <w:rPr/>
              <w:t xml:space="preserve"> </w:t>
            </w:r>
            <w:r>
              <w:rPr/>
              <w:t xml:space="preserve">Gudiel Cairampoma y Solis Puente (2020)</w:t>
            </w:r>
            <w:r>
              <w:rPr/>
              <w:t xml:space="preserve">;</w:t>
            </w:r>
            <w:r>
              <w:rPr/>
              <w:t xml:space="preserve"> </w:t>
            </w:r>
            <w:r>
              <w:rPr/>
              <w:t xml:space="preserve">Álvarez Quintero (2014)</w:t>
            </w:r>
          </w:p>
        </w:tc>
      </w:tr>
    </w:tbl>
    <w:p>
      <w:pPr>
        <w:pStyle w:val="NotaAPA"/>
      </w:pPr>
      <w:r>
        <w:rPr>
          <w:iCs/>
          <w:i/>
        </w:rPr>
        <w:t xml:space="preserve">Nota.</w:t>
      </w:r>
      <w:r>
        <w:t xml:space="preserve"> </w:t>
      </w:r>
      <w:r>
        <w:t xml:space="preserve">Elaboración propia con los parámetros del modelo (archivo</w:t>
      </w:r>
      <w:r>
        <w:t xml:space="preserve"> </w:t>
      </w:r>
      <w:r>
        <w:rPr>
          <w:rStyle w:val="VerbatimChar"/>
        </w:rPr>
        <w:t xml:space="preserve">parametros.json</w:t>
      </w:r>
      <w:r>
        <w:t xml:space="preserve">, Anexo K). Las páginas de las fuentes se indican en el texto. IDM: índice de desperdicio de materiales.</w:t>
      </w:r>
    </w:p>
    <w:p>
      <w:pPr>
        <w:pStyle w:val="BodyText"/>
      </w:pPr>
      <w:r>
        <w:rPr>
          <w:bCs/>
          <w:b/>
        </w:rPr>
        <w:t xml:space="preserve">Costo de no calidad de la línea base.</w:t>
      </w:r>
      <w:r>
        <w:t xml:space="preserve"> </w:t>
      </w:r>
      <w:r>
        <w:t xml:space="preserve">Los materiales se valoraron con el análisis de precios unitarios de referencia, calibrado al precio del contrato (Anexo I). El costo teórico por m</w:t>
      </w:r>
      <w:r>
        <w:rPr>
          <w:vertAlign w:val="superscript"/>
        </w:rPr>
        <w:t xml:space="preserve">2</w:t>
      </w:r>
      <w:r>
        <w:t xml:space="preserve"> </w:t>
      </w:r>
      <w:r>
        <w:t xml:space="preserve">de los materiales de la losa es de Bs 63,08 para las viguetas, Bs 31,40 para el EPS, Bs 48,99 para el hormigón y Bs 38,88 para el acero, en total Bs 182,35/m</w:t>
      </w:r>
      <w:r>
        <w:rPr>
          <w:vertAlign w:val="superscript"/>
        </w:rPr>
        <w:t xml:space="preserve">2</w:t>
      </w:r>
      <w:r>
        <w:t xml:space="preserve">, dentro de un costo directo teórico de Bs 255,78/m</w:t>
      </w:r>
      <w:r>
        <w:rPr>
          <w:vertAlign w:val="superscript"/>
        </w:rPr>
        <w:t xml:space="preserve">2</w:t>
      </w:r>
      <w:r>
        <w:t xml:space="preserve">. Con los valores más probables de los parámetros, el desperdicio ponderado por el costo de los materiales —el IDM ponderado— es de 7,47 %, y el costo de no calidad, que suma el desperdicio valorado y los retrabajos, es de Bs 19,60/m</w:t>
      </w:r>
      <w:r>
        <w:rPr>
          <w:vertAlign w:val="superscript"/>
        </w:rPr>
        <w:t xml:space="preserve">2</w:t>
      </w:r>
      <w:r>
        <w:t xml:space="preserve">, el 7,12 % del costo unitario sin SGC (Bs 275,38/m</w:t>
      </w:r>
      <w:r>
        <w:rPr>
          <w:vertAlign w:val="superscript"/>
        </w:rPr>
        <w:t xml:space="preserve">2</w:t>
      </w:r>
      <w:r>
        <w:t xml:space="preserve">). Estos valores son la referencia</w:t>
      </w:r>
      <w:r>
        <w:t xml:space="preserve"> </w:t>
      </w:r>
      <m:oMath>
        <m:sSub>
          <m:e>
            <m:r>
              <m:t>O</m:t>
            </m:r>
          </m:e>
          <m:sub>
            <m:r>
              <m:t>1</m:t>
            </m:r>
          </m:sub>
        </m:sSub>
      </m:oMath>
      <w:r>
        <w:t xml:space="preserve"> </w:t>
      </w:r>
      <w:r>
        <w:t xml:space="preserve">de las hipótesis específicas: el escenario de control repite este desempeño en el saldo de 2.234,60 m</w:t>
      </w:r>
      <w:r>
        <w:rPr>
          <w:vertAlign w:val="superscript"/>
        </w:rPr>
        <w:t xml:space="preserve">2</w:t>
      </w:r>
      <w:r>
        <w:t xml:space="preserve">. Las distribuciones de probabilidad de estos indicadores y su comparación con el escenario con SGC se presentan en el Capítulo 3.</w:t>
      </w:r>
    </w:p>
    <w:p>
      <w:pPr>
        <w:pStyle w:val="BodyText"/>
      </w:pPr>
      <w:r>
        <w:t xml:space="preserve">Las cantidades teóricas por paño también son la base del control que propone el SGC: con ellas se emite la lista de materiales de cada paño antes de ejecutarlo y se concilian las cantidades entregadas, colocadas, medidas y pagadas (Sección 2.6.6). En la primera losa ese control no existió, y por eso solo dos de los cuatro materiales tienen una línea base documentada.</w:t>
      </w:r>
    </w:p>
    <w:p>
      <w:pPr>
        <w:pStyle w:val="Heading2"/>
      </w:pPr>
      <w:bookmarkStart w:id="182" w:name="tit107"/>
      <w:r>
        <w:t xml:space="preserve">2.6. Diseño del Sistema de Gestión de la Calidad</w:t>
      </w:r>
      <w:bookmarkEnd w:id="182"/>
    </w:p>
    <w:p>
      <w:pPr>
        <w:pStyle w:val="FirstParagraph"/>
      </w:pPr>
      <w:r>
        <w:t xml:space="preserve">Esta sección presenta la propuesta central de la tesis: el Sistema de Gestión de la Calidad (SGC) para el proceso constructivo de las losas alivianadas con viguetas pretensadas del Edificio de Posgrado. El sistema corresponde a la variable independiente (</w:t>
      </w:r>
      <m:oMath>
        <m:r>
          <m:t>X</m:t>
        </m:r>
      </m:oMath>
      <w:r>
        <w:t xml:space="preserve">) del modelo de investigación y se diseñó a partir de las brechas de la línea base, es decir, de la ejecución de la primera losa (41 paños; 1.109,84 m</w:t>
      </w:r>
      <w:r>
        <w:rPr>
          <w:vertAlign w:val="superscript"/>
        </w:rPr>
        <w:t xml:space="preserve">2</w:t>
      </w:r>
      <w:r>
        <w:t xml:space="preserve">) sin un sistema formal de gestión de la calidad (Sección 2.5.2). Las nueve brechas que el sistema debe cerrar agrupan las 22 no conformidades del diagnóstico (Tabla 26):</w:t>
      </w:r>
    </w:p>
    <w:p>
      <w:pPr>
        <w:pStyle w:val="Listaetiquetada"/>
      </w:pPr>
      <w:r>
        <w:rPr>
          <w:bCs/>
          <w:b/>
        </w:rPr>
        <w:t xml:space="preserve">B1.</w:t>
      </w:r>
      <w:r>
        <w:t xml:space="preserve"/>
        <w:tab/>
        <w:t xml:space="preserve"/>
      </w:r>
      <w:r>
        <w:rPr>
          <w:bCs/>
          <w:b/>
        </w:rPr>
        <w:t xml:space="preserve">Hormigón sin control.</w:t>
      </w:r>
      <w:r>
        <w:t xml:space="preserve"> </w:t>
      </w:r>
      <w:r>
        <w:t xml:space="preserve">Ninguna probeta de la losa; las de columnas y vigas, elaboradas por la contratista, se ensayaron a 55–76 días y se «proyectaron» a 28 días</w:t>
      </w:r>
      <w:r>
        <w:t xml:space="preserve"> </w:t>
      </w:r>
      <w:r>
        <w:t xml:space="preserve">(Laboratorio de Resistencia de Materiales y Tecnología del Hormigón, 2025)</w:t>
      </w:r>
      <w:r>
        <w:t xml:space="preserve">; no hay registros de dosificación, asentamiento, vaciado ni curado</w:t>
      </w:r>
      <w:r>
        <w:t xml:space="preserve"> </w:t>
      </w:r>
      <w:r>
        <w:t xml:space="preserve">(UATF, 2025, p. 76)</w:t>
      </w:r>
      <w:r>
        <w:t xml:space="preserve">. La losa se certificó para pago sin resultados de resistencia: los 28 días desde la autorización del vaciado (28/11/2025) vencían el 26/12/2025, después del cierre de la planilla N.</w:t>
      </w:r>
      <w:r>
        <w:rPr>
          <w:vertAlign w:val="superscript"/>
        </w:rPr>
        <w:t xml:space="preserve">o</w:t>
      </w:r>
      <w:r>
        <w:t xml:space="preserve"> 2 (08/12/2025) (cálculo propio).</w:t>
      </w:r>
    </w:p>
    <w:p>
      <w:pPr>
        <w:pStyle w:val="Listaetiquetada"/>
      </w:pPr>
      <w:r>
        <w:rPr>
          <w:bCs/>
          <w:b/>
        </w:rPr>
        <w:t xml:space="preserve">B2.</w:t>
      </w:r>
      <w:r>
        <w:t xml:space="preserve"/>
        <w:tab/>
        <w:t xml:space="preserve"/>
      </w:r>
      <w:r>
        <w:rPr>
          <w:bCs/>
          <w:b/>
        </w:rPr>
        <w:t xml:space="preserve">Evidencias pedidas o posteriores al uso.</w:t>
      </w:r>
      <w:r>
        <w:t xml:space="preserve"> </w:t>
      </w:r>
      <w:r>
        <w:t xml:space="preserve">La Supervisión tuvo que pedir garantías, roturas de probetas y dosificaciones</w:t>
      </w:r>
      <w:r>
        <w:t xml:space="preserve"> </w:t>
      </w:r>
      <w:r>
        <w:t xml:space="preserve">(UATF, 2025, p. 9)</w:t>
      </w:r>
      <w:r>
        <w:t xml:space="preserve">. Los certificados de viguetas y de EPS, sin firma, son del 27/11/2025, con la losa en armado desde el 14/11/2025; el de viguetas no indica cantidad, lote ni ensayos; no hay certificado del acero</w:t>
      </w:r>
      <w:r>
        <w:t xml:space="preserve"> </w:t>
      </w:r>
      <m:oMath>
        <m:r>
          <m:t>ϕ</m:t>
        </m:r>
      </m:oMath>
      <w:r>
        <w:t xml:space="preserve">6 ni del</w:t>
      </w:r>
      <w:r>
        <w:t xml:space="preserve"> </w:t>
      </w:r>
      <m:oMath>
        <m:r>
          <m:t>ϕ</m:t>
        </m:r>
      </m:oMath>
      <w:r>
        <w:t xml:space="preserve">10</w:t>
      </w:r>
      <w:r>
        <w:t xml:space="preserve"> </w:t>
      </w:r>
      <w:r>
        <w:t xml:space="preserve">(UATF, 2025, pp. 80–86, 122)</w:t>
      </w:r>
      <w:r>
        <w:t xml:space="preserve">.</w:t>
      </w:r>
    </w:p>
    <w:p>
      <w:pPr>
        <w:pStyle w:val="Listaetiquetada"/>
      </w:pPr>
      <w:r>
        <w:rPr>
          <w:bCs/>
          <w:b/>
        </w:rPr>
        <w:t xml:space="preserve">B3.</w:t>
      </w:r>
      <w:r>
        <w:t xml:space="preserve"/>
        <w:tab/>
        <w:t xml:space="preserve"/>
      </w:r>
      <w:r>
        <w:rPr>
          <w:bCs/>
          <w:b/>
        </w:rPr>
        <w:t xml:space="preserve">Documentos incoherentes.</w:t>
      </w:r>
      <w:r>
        <w:t xml:space="preserve"> </w:t>
      </w:r>
      <w:r>
        <w:t xml:space="preserve">El complemento EPS mide 100 </w:t>
      </w:r>
      <m:oMath>
        <m:r>
          <m:rPr>
            <m:sty m:val="p"/>
          </m:rPr>
          <m:t>×</m:t>
        </m:r>
      </m:oMath>
      <w:r>
        <w:t xml:space="preserve"> 50 </w:t>
      </w:r>
      <m:oMath>
        <m:r>
          <m:rPr>
            <m:sty m:val="p"/>
          </m:rPr>
          <m:t>×</m:t>
        </m:r>
      </m:oMath>
      <w:r>
        <w:t xml:space="preserve"> 20 cm en la especificación técnica (ET), 0,15 m de altura en el Plano 02 y 20 </w:t>
      </w:r>
      <m:oMath>
        <m:r>
          <m:rPr>
            <m:sty m:val="p"/>
          </m:rPr>
          <m:t>×</m:t>
        </m:r>
      </m:oMath>
      <w:r>
        <w:t xml:space="preserve"> 100 </w:t>
      </w:r>
      <m:oMath>
        <m:r>
          <m:rPr>
            <m:sty m:val="p"/>
          </m:rPr>
          <m:t>×</m:t>
        </m:r>
      </m:oMath>
      <w:r>
        <w:t xml:space="preserve"> 44 cm en el certificado; la ET cita la CBH-87 y normas antiguas de cemento, áridos y agua</w:t>
      </w:r>
      <w:r>
        <w:t xml:space="preserve"> </w:t>
      </w:r>
      <w:r>
        <w:t xml:space="preserve">(UATF, s. f.-a, pp. 1–3)</w:t>
      </w:r>
      <w:r>
        <w:t xml:space="preserve">.</w:t>
      </w:r>
    </w:p>
    <w:p>
      <w:pPr>
        <w:pStyle w:val="Listaetiquetada"/>
      </w:pPr>
      <w:r>
        <w:rPr>
          <w:bCs/>
          <w:b/>
        </w:rPr>
        <w:t xml:space="preserve">B4.</w:t>
      </w:r>
      <w:r>
        <w:t xml:space="preserve"/>
        <w:tab/>
        <w:t xml:space="preserve"/>
      </w:r>
      <w:r>
        <w:rPr>
          <w:bCs/>
          <w:b/>
        </w:rPr>
        <w:t xml:space="preserve">Cantidades sin conciliar.</w:t>
      </w:r>
      <w:r>
        <w:t xml:space="preserve"> </w:t>
      </w:r>
      <w:r>
        <w:t xml:space="preserve">Al cierre se descontaron 1.915,16 kg de acero (</w:t>
      </w:r>
      <m:oMath>
        <m:r>
          <m:rPr>
            <m:sty m:val="p"/>
          </m:rPr>
          <m:t>−</m:t>
        </m:r>
      </m:oMath>
      <w:r>
        <w:t xml:space="preserve">3,65 %); el acero de la losa figura 1,00 vez en la planilla N.</w:t>
      </w:r>
      <w:r>
        <w:rPr>
          <w:vertAlign w:val="superscript"/>
        </w:rPr>
        <w:t xml:space="preserve">o</w:t>
      </w:r>
      <w:r>
        <w:t xml:space="preserve"> 2 y «3 </w:t>
      </w:r>
      <m:oMath>
        <m:r>
          <m:rPr>
            <m:sty m:val="p"/>
          </m:rPr>
          <m:t>×</m:t>
        </m:r>
      </m:oMath>
      <w:r>
        <w:t xml:space="preserve"> 4.171,18 kg» en el cómputo de cierre, y la ET del ítem 13 incluye la parrilla y los negativos: inconsistencias (posible doble cómputo) que deben verificar la Supervisión y la Fiscalización; el acumulado de acero difiere entre documentos (52.424,65; 50.509,49 y 50.561,84 kg)</w:t>
      </w:r>
      <w:r>
        <w:t xml:space="preserve"> </w:t>
      </w:r>
      <w:r>
        <w:t xml:space="preserve">(UATF, s. f.-c; s. f.-b, p. 12; 2025, pp. 19–20)</w:t>
      </w:r>
      <w:r>
        <w:t xml:space="preserve">.</w:t>
      </w:r>
    </w:p>
    <w:p>
      <w:pPr>
        <w:pStyle w:val="Listaetiquetada"/>
      </w:pPr>
      <w:r>
        <w:rPr>
          <w:bCs/>
          <w:b/>
        </w:rPr>
        <w:t xml:space="preserve">B5.</w:t>
      </w:r>
      <w:r>
        <w:t xml:space="preserve"/>
        <w:tab/>
        <w:t xml:space="preserve"/>
      </w:r>
      <w:r>
        <w:rPr>
          <w:bCs/>
          <w:b/>
        </w:rPr>
        <w:t xml:space="preserve">Consumos sin registro.</w:t>
      </w:r>
      <w:r>
        <w:t xml:space="preserve"> </w:t>
      </w:r>
      <w:r>
        <w:t xml:space="preserve">No hay kardex, vales ni remisiones; se entregaron 2.350 piezas de EPS frente a</w:t>
      </w:r>
      <w:r>
        <w:t xml:space="preserve"> </w:t>
      </w:r>
      <m:oMath>
        <m:r>
          <m:rPr>
            <m:sty m:val="p"/>
          </m:rPr>
          <m:t>≈</m:t>
        </m:r>
      </m:oMath>
      <w:r>
        <w:t xml:space="preserve"> 2.220 teóricas, sin descontar nervios ni bordes</w:t>
      </w:r>
      <w:r>
        <w:t xml:space="preserve"> </w:t>
      </w:r>
      <w:r>
        <w:t xml:space="preserve">(UNICON, 2025)</w:t>
      </w:r>
      <w:r>
        <w:t xml:space="preserve">.</w:t>
      </w:r>
    </w:p>
    <w:p>
      <w:pPr>
        <w:pStyle w:val="Listaetiquetada"/>
      </w:pPr>
      <w:r>
        <w:rPr>
          <w:bCs/>
          <w:b/>
        </w:rPr>
        <w:t xml:space="preserve">B6.</w:t>
      </w:r>
      <w:r>
        <w:t xml:space="preserve"/>
        <w:tab/>
        <w:t xml:space="preserve"/>
      </w:r>
      <w:r>
        <w:rPr>
          <w:bCs/>
          <w:b/>
        </w:rPr>
        <w:t xml:space="preserve">Sin PPI ni liberación.</w:t>
      </w:r>
      <w:r>
        <w:t xml:space="preserve"> </w:t>
      </w:r>
      <w:r>
        <w:t xml:space="preserve">El 28/11/2025 la contratista pidió verificar el armado y la Supervisión autorizó el vaciado el mismo día, sin pedir probetas; las ocho solicitudes de vaciado del periodo se autorizaron en el día</w:t>
      </w:r>
      <w:r>
        <w:t xml:space="preserve"> </w:t>
      </w:r>
      <w:r>
        <w:t xml:space="preserve">(UATF, 2025, pp. 114–125)</w:t>
      </w:r>
      <w:r>
        <w:t xml:space="preserve">. Las fotografías muestran la parrilla pisada y sin separadores visibles</w:t>
      </w:r>
      <w:r>
        <w:t xml:space="preserve"> </w:t>
      </w:r>
      <w:r>
        <w:t xml:space="preserve">(UATF, 2025, p. 76)</w:t>
      </w:r>
      <w:r>
        <w:t xml:space="preserve">.</w:t>
      </w:r>
    </w:p>
    <w:p>
      <w:pPr>
        <w:pStyle w:val="Listaetiquetada"/>
      </w:pPr>
      <w:r>
        <w:rPr>
          <w:bCs/>
          <w:b/>
        </w:rPr>
        <w:t xml:space="preserve">B7.</w:t>
      </w:r>
      <w:r>
        <w:t xml:space="preserve"/>
        <w:tab/>
        <w:t xml:space="preserve"/>
      </w:r>
      <w:r>
        <w:rPr>
          <w:bCs/>
          <w:b/>
        </w:rPr>
        <w:t xml:space="preserve">Sin no conformidades ni costos de la calidad.</w:t>
      </w:r>
      <w:r>
        <w:t xml:space="preserve"> </w:t>
      </w:r>
      <w:r>
        <w:t xml:space="preserve">Ninguno de los 24 asientos del Libro de Órdenes registra una no conformidad o un retrabajo, y en ninguna hoja firma el Director de obra</w:t>
      </w:r>
      <w:r>
        <w:t xml:space="preserve"> </w:t>
      </w:r>
      <w:r>
        <w:t xml:space="preserve">(UATF, 2025, pp. 114–125)</w:t>
      </w:r>
      <w:r>
        <w:t xml:space="preserve">.</w:t>
      </w:r>
    </w:p>
    <w:p>
      <w:pPr>
        <w:pStyle w:val="Listaetiquetada"/>
      </w:pPr>
      <w:r>
        <w:rPr>
          <w:bCs/>
          <w:b/>
        </w:rPr>
        <w:t xml:space="preserve">B8.</w:t>
      </w:r>
      <w:r>
        <w:t xml:space="preserve"/>
        <w:tab/>
        <w:t xml:space="preserve"/>
      </w:r>
      <w:r>
        <w:rPr>
          <w:bCs/>
          <w:b/>
        </w:rPr>
        <w:t xml:space="preserve">Suministro y precios.</w:t>
      </w:r>
      <w:r>
        <w:t xml:space="preserve"> </w:t>
      </w:r>
      <w:r>
        <w:t xml:space="preserve">Escasez de diésel, paralización de FANCESA, entrega del 30 % del acero pedido, demoras por falta de combustible y falta de viguetas de los tamaños requeridos</w:t>
      </w:r>
      <w:r>
        <w:t xml:space="preserve"> </w:t>
      </w:r>
      <w:r>
        <w:t xml:space="preserve">(FANCESA, 2025; Import Export Las Lomas Ltda., 2025; UATF, 2025, pp. 11, 123)</w:t>
      </w:r>
      <w:r>
        <w:t xml:space="preserve">; alza de precios reconocida por decretos de ajuste</w:t>
      </w:r>
      <w:r>
        <w:t xml:space="preserve"> </w:t>
      </w:r>
      <w:r>
        <w:t xml:space="preserve">(Estado Plurinacional de Bolivia, 2025a, 2026)</w:t>
      </w:r>
      <w:r>
        <w:t xml:space="preserve">.</w:t>
      </w:r>
    </w:p>
    <w:p>
      <w:pPr>
        <w:pStyle w:val="Listaetiquetada"/>
      </w:pPr>
      <w:r>
        <w:rPr>
          <w:bCs/>
          <w:b/>
        </w:rPr>
        <w:t xml:space="preserve">B9.</w:t>
      </w:r>
      <w:r>
        <w:t xml:space="preserve"/>
        <w:tab/>
        <w:t xml:space="preserve"/>
      </w:r>
      <w:r>
        <w:rPr>
          <w:bCs/>
          <w:b/>
        </w:rPr>
        <w:t xml:space="preserve">Clima.</w:t>
      </w:r>
      <w:r>
        <w:t xml:space="preserve"> </w:t>
      </w:r>
      <w:r>
        <w:t xml:space="preserve">Siete días de lluvia notificados entre septiembre y noviembre de 2025, tres durante el armado de vigas y losa</w:t>
      </w:r>
      <w:r>
        <w:t xml:space="preserve"> </w:t>
      </w:r>
      <w:r>
        <w:t xml:space="preserve">(UATF, 2025, pp. 114–124)</w:t>
      </w:r>
      <w:r>
        <w:t xml:space="preserve">, y riesgo de heladas a 3.650 m s. n. m.</w:t>
      </w:r>
    </w:p>
    <w:p>
      <w:pPr>
        <w:pStyle w:val="BodyText"/>
      </w:pPr>
      <w:r>
        <w:t xml:space="preserve">El diseño se desarrolla en diez bloques: enfoque y estructura del sistema (Sección 2.6.1); contexto y alcance (Sección 2.6.2); liderazgo (Sección 2.6.3); planificación (Sección 2.6.4); apoyo (Sección 2.6.5); operación (Sección 2.6.6); evaluación del desempeño (Sección 2.6.7); mejora (Sección 2.6.8); costos de la calidad (Sección 2.6.9), y matriz de trazabilidad entre brechas, requisitos, componentes e indicadores (Sección 2.6.10). Los formatos para aplicar el sistema en obra se presentan completos en el Anexo C.</w:t>
      </w:r>
    </w:p>
    <w:p>
      <w:pPr>
        <w:pStyle w:val="Heading3"/>
      </w:pPr>
      <w:bookmarkStart w:id="155" w:name="tit108"/>
      <w:r>
        <w:t xml:space="preserve">2.6.1. Enfoque y estructura del sistema</w:t>
      </w:r>
      <w:bookmarkEnd w:id="155"/>
    </w:p>
    <w:p>
      <w:pPr>
        <w:pStyle w:val="FirstParagraph"/>
      </w:pPr>
      <w:r>
        <w:t xml:space="preserve">El SGC propuesto es un</w:t>
      </w:r>
      <w:r>
        <w:t xml:space="preserve"> </w:t>
      </w:r>
      <w:r>
        <w:rPr>
          <w:iCs/>
          <w:i/>
        </w:rPr>
        <w:t xml:space="preserve">sistema de gestión de la calidad del proyecto</w:t>
      </w:r>
      <w:r>
        <w:t xml:space="preserve">: no busca certificar a una empresa, sino asegurar que la ejecución del ítem 13 en los 2.234,60 m</w:t>
      </w:r>
      <w:r>
        <w:rPr>
          <w:vertAlign w:val="superscript"/>
        </w:rPr>
        <w:t xml:space="preserve">2</w:t>
      </w:r>
      <w:r>
        <w:t xml:space="preserve"> </w:t>
      </w:r>
      <w:r>
        <w:t xml:space="preserve">pendientes cumpla los requisitos con el menor desperdicio posible. Por ello se concreta en un</w:t>
      </w:r>
      <w:r>
        <w:t xml:space="preserve"> </w:t>
      </w:r>
      <w:r>
        <w:rPr>
          <w:iCs/>
          <w:i/>
        </w:rPr>
        <w:t xml:space="preserve">plan de la calidad del ítem</w:t>
      </w:r>
      <w:r>
        <w:t xml:space="preserve">, elaborado con las directrices de la norma ISO 10005:2018 para planes de la calidad de un proyecto o contrato específico</w:t>
      </w:r>
      <w:r>
        <w:t xml:space="preserve"> </w:t>
      </w:r>
      <w:r>
        <w:t xml:space="preserve">(ISO, 2018)</w:t>
      </w:r>
      <w:r>
        <w:t xml:space="preserve">, y organizado sobre la estructura de cláusulas 4 a 10 de la norma ISO 9001:2026</w:t>
      </w:r>
      <w:r>
        <w:t xml:space="preserve"> </w:t>
      </w:r>
      <w:r>
        <w:t xml:space="preserve">(ISO, 2026b)</w:t>
      </w:r>
      <w:r>
        <w:t xml:space="preserve">. Cada cláusula se desarrolla en un bloque: contexto (4) en la Sección 2.6.2; liderazgo (5) en la 2.6.3; planificación (6) en la 2.6.4; apoyo (7) en la 2.6.5; operación (8) en la 2.6.6; evaluación del desempeño (9) en la 2.6.7; y mejora (10) en las 2.6.8 y 2.6.9. Los números de cláusula citados corresponden a la estructura que la edición de 2026 conserva de la de 2015; las descripciones de los requisitos son paráfrasis del autor y no reproducen el texto de la norma.</w:t>
      </w:r>
    </w:p>
    <w:p>
      <w:pPr>
        <w:pStyle w:val="BodyText"/>
      </w:pPr>
      <w:r>
        <w:t xml:space="preserve">El sistema lo aplica la empresa que ejecute la segunda y la tercera losa, que es quien compra, almacena, coloca y vacía los materiales; la UATF, por medio de la Supervisión y la Fiscalización, lo exige, lo aprueba y verifica su cumplimiento. Por ello se recomienda incorporar el plan de la calidad, el plan de puntos de inspección y ensayo (PPI) y los formatos del Anexo C en las especificaciones del documento base de contratación del saldo de la obra, para que su cumplimiento sea una obligación contractual. El sistema funciona según el ciclo Planificar–Hacer–Verificar–Actuar (PHVA), aplicado a cada paño y a cada losa (Figura 10); como la segunda y la tercera losa repiten la geometría de la primera, cada vuelta del ciclo aprovecha las lecciones de la anterior.</w:t>
      </w:r>
    </w:p>
    <w:p>
      <w:pPr>
        <w:pStyle w:val="Caption"/>
      </w:pPr>
      <w:bookmarkStart w:id="1442" w:name="fig10"/>
      <w:r>
        <w:t xml:space="preserve"/>
      </w:r>
      <w:r>
        <w:rPr>
          <w:bCs/>
          <w:b/>
        </w:rPr>
        <w:t xml:space="preserve">Figura 10</w:t>
      </w:r>
      <w:r>
        <w:br/>
      </w:r>
      <w:r>
        <w:rPr>
          <w:iCs/>
          <w:i/>
        </w:rPr>
        <w:t xml:space="preserve">Ciclo PHVA aplicado a la ejecución de la losa alivianada</w:t>
      </w:r>
      <w:bookmarkEnd w:id="1442"/>
    </w:p>
    <w:p>
      <w:pPr>
        <w:pStyle w:val="FiguraAPA"/>
      </w:pPr>
      <w:r>
        <w:drawing>
          <wp:inline>
            <wp:extent cx="5288399" cy="4322718"/>
            <wp:effectExtent b="0" l="0" r="0" t="0"/>
            <wp:docPr descr="image" title="" id="153" name="Picture"/>
            <a:graphic>
              <a:graphicData uri="http://schemas.openxmlformats.org/drawingml/2006/picture">
                <pic:pic>
                  <pic:nvPicPr>
                    <pic:cNvPr descr="/home/user/TesisSGC/07_Entregables/scripts/_trabajo_sencilla/tikz/tikz_5ea47b6b9d453e0859d8.png" id="154" name="Picture"/>
                    <pic:cNvPicPr>
                      <a:picLocks noChangeArrowheads="1" noChangeAspect="1"/>
                    </pic:cNvPicPr>
                  </pic:nvPicPr>
                  <pic:blipFill>
                    <a:blip r:embed="rId152"/>
                    <a:stretch>
                      <a:fillRect/>
                    </a:stretch>
                  </pic:blipFill>
                  <pic:spPr bwMode="auto">
                    <a:xfrm>
                      <a:off x="0" y="0"/>
                      <a:ext cx="5288399" cy="4322718"/>
                    </a:xfrm>
                    <a:prstGeom prst="rect">
                      <a:avLst/>
                    </a:prstGeom>
                    <a:noFill/>
                    <a:ln w="9525">
                      <a:noFill/>
                      <a:headEnd/>
                      <a:tailEnd/>
                    </a:ln>
                  </pic:spPr>
                </pic:pic>
              </a:graphicData>
            </a:graphic>
          </wp:inline>
        </w:drawing>
      </w:r>
    </w:p>
    <w:p>
      <w:pPr>
        <w:pStyle w:val="NotaAPA"/>
      </w:pPr>
      <w:r>
        <w:rPr>
          <w:iCs/>
          <w:i/>
        </w:rPr>
        <w:t xml:space="preserve">Nota.</w:t>
      </w:r>
      <w:r>
        <w:t xml:space="preserve"> </w:t>
      </w:r>
      <w:r>
        <w:t xml:space="preserve">Elaboración propia. IDM: índice de desperdicio de materiales; %CNC: costo de no calidad en porcentaje del costo del ítem; PCM: procedimiento de control de materiales; PAF: prevención, evaluación y fallas.</w:t>
      </w:r>
    </w:p>
    <w:p>
      <w:pPr>
        <w:pStyle w:val="Heading3"/>
      </w:pPr>
      <w:bookmarkStart w:id="156" w:name="tit109"/>
      <w:r>
        <w:t xml:space="preserve">2.6.2. Contexto, partes interesadas, alcance y exclusiones</w:t>
      </w:r>
      <w:bookmarkEnd w:id="156"/>
    </w:p>
    <w:p>
      <w:pPr>
        <w:pStyle w:val="FirstParagraph"/>
      </w:pPr>
      <w:r>
        <w:rPr>
          <w:bCs/>
          <w:b/>
        </w:rPr>
        <w:t xml:space="preserve">Cuestiones externas e internas.</w:t>
      </w:r>
      <w:r>
        <w:t xml:space="preserve"> </w:t>
      </w:r>
      <w:r>
        <w:t xml:space="preserve">Las cuestiones externas pertinentes son la escasez de combustible, que paralizó temporalmente la producción de cemento y retrasó la entrega del acero</w:t>
      </w:r>
      <w:r>
        <w:t xml:space="preserve"> </w:t>
      </w:r>
      <w:r>
        <w:t xml:space="preserve">(FANCESA, 2025; Import Export Las Lomas Ltda., 2025)</w:t>
      </w:r>
      <w:r>
        <w:t xml:space="preserve">; el alza de precios de los materiales</w:t>
      </w:r>
      <w:r>
        <w:t xml:space="preserve"> </w:t>
      </w:r>
      <w:r>
        <w:t xml:space="preserve">(Estado Plurinacional de Bolivia, 2026)</w:t>
      </w:r>
      <w:r>
        <w:t xml:space="preserve">; la falta de viguetas de los tamaños requeridos</w:t>
      </w:r>
      <w:r>
        <w:t xml:space="preserve"> </w:t>
      </w:r>
      <w:r>
        <w:t xml:space="preserve">(UATF, 2025, p. 11)</w:t>
      </w:r>
      <w:r>
        <w:t xml:space="preserve">; el clima, con lluvias y bajas temperaturas, coherente con la atención que la edición vigente de la norma presta al cambio climático</w:t>
      </w:r>
      <w:r>
        <w:t xml:space="preserve"> </w:t>
      </w:r>
      <w:r>
        <w:t xml:space="preserve">(ISO, 2026b)</w:t>
      </w:r>
      <w:r>
        <w:t xml:space="preserve">; y la normativa de contratación pública. Las internas son la ausencia de registros de consumos, de inspección y de no conformidades; la dependencia de la experiencia del capataz; la información técnica incoherente; y el cambio de contratista para el saldo de la obra. Estas cuestiones se traducen en los riesgos de la Tabla 32.</w:t>
      </w:r>
    </w:p>
    <w:p>
      <w:pPr>
        <w:pStyle w:val="BodyText"/>
      </w:pPr>
      <w:r>
        <w:rPr>
          <w:bCs/>
          <w:b/>
        </w:rPr>
        <w:t xml:space="preserve">Requisitos contractuales.</w:t>
      </w:r>
      <w:r>
        <w:t xml:space="preserve"> </w:t>
      </w:r>
      <w:r>
        <w:t xml:space="preserve">El contrato fija reglas que el SGC operativiza: los materiales se inspeccionan y ensayan antes de su incorporación, a costa de la contratista (cláusula 26.6), y se acopian en zonas aprobadas (26.9); el control de calidad es responsabilidad directa de la Supervisión (26.3); cada orden del Libro de Órdenes lleva la constancia firmada del Director de obra (25.ª); y las obras se miden netas, sin medir excedentes no aprobados por escrito (27.ª)</w:t>
      </w:r>
      <w:r>
        <w:t xml:space="preserve"> </w:t>
      </w:r>
      <w:r>
        <w:t xml:space="preserve">(UATF, 2025, pp. 99–102)</w:t>
      </w:r>
      <w:r>
        <w:t xml:space="preserve">. Como los precios unitarios incluyen las reparaciones por trabajos defectuosos</w:t>
      </w:r>
      <w:r>
        <w:t xml:space="preserve"> </w:t>
      </w:r>
      <w:r>
        <w:t xml:space="preserve">(UATF, 2025, p. 92)</w:t>
      </w:r>
      <w:r>
        <w:t xml:space="preserve">, el desperdicio y el retrabajo los absorbe la contratista, que tiene así un incentivo directo para aplicar el sistema.</w:t>
      </w:r>
    </w:p>
    <w:p>
      <w:pPr>
        <w:pStyle w:val="BodyText"/>
      </w:pPr>
      <w:r>
        <w:rPr>
          <w:bCs/>
          <w:b/>
        </w:rPr>
        <w:t xml:space="preserve">Partes interesadas.</w:t>
      </w:r>
      <w:r>
        <w:t xml:space="preserve"> </w:t>
      </w:r>
      <w:r>
        <w:t xml:space="preserve">La Tabla 30 identifica a las partes interesadas pertinentes, sus necesidades y expectativas y el requisito que cada una genera para el SGC.</w:t>
      </w:r>
    </w:p>
    <w:p>
      <w:pPr>
        <w:pStyle w:val="Caption"/>
      </w:pPr>
      <w:bookmarkStart w:id="1443" w:name="tab30"/>
      <w:r>
        <w:t xml:space="preserve"/>
      </w:r>
      <w:r>
        <w:rPr>
          <w:bCs/>
          <w:b/>
        </w:rPr>
        <w:t xml:space="preserve">Tabla 30</w:t>
      </w:r>
      <w:r>
        <w:br/>
      </w:r>
      <w:r>
        <w:rPr>
          <w:iCs/>
          <w:i/>
        </w:rPr>
        <w:t xml:space="preserve">Partes interesadas, necesidades y requisitos para el SGC</w:t>
      </w:r>
      <w:bookmarkEnd w:id="1443"/>
    </w:p>
    <w:tbl>
      <w:tblPr>
        <w:tblStyle w:val="Table"/>
        <w:tblW w:w="9360" w:type="dxa"/>
        <w:jc w:val="left"/>
        <w:tblLayout w:type="fixed"/>
        <w:tblCellMar>
          <w:top w:w="0" w:type="dxa"/>
          <w:left w:w="85" w:type="dxa"/>
          <w:bottom w:w="0" w:type="dxa"/>
          <w:right w:w="85" w:type="dxa"/>
        </w:tblCellMar>
        <w:tblLook w:firstRow="1" w:lastRow="0" w:firstColumn="0" w:lastColumn="0" w:noHBand="0" w:noVBand="0" w:val="0020"/>
      </w:tblPr>
      <w:tblGrid>
        <w:gridCol w:w="1990"/>
        <w:gridCol w:w="3324"/>
        <w:gridCol w:w="4046"/>
      </w:tblGrid>
      <w:tr>
        <w:trPr>
          <w:cantSplit/>
          <w:tblHeader w:val="true"/>
        </w:trPr>
        <w:tc>
          <w:tcPr>
            <w:tcW w:w="1990" w:type="dxa"/>
            <w:tcBorders>
              <w:top w:val="single" w:sz="8" w:space="0" w:color="000000"/>
              <w:bottom w:val="single" w:sz="4" w:space="0" w:color="000000"/>
            </w:tcBorders>
          </w:tcPr>
          <w:p>
            <w:pPr>
              <w:pStyle w:val="CeldaAPA"/>
              <w:jc w:val="center"/>
            </w:pPr>
            <w:r>
              <w:rPr>
                <w:bCs/>
                <w:b/>
              </w:rPr>
              <w:t xml:space="preserve">Parte interesada</w:t>
            </w:r>
          </w:p>
        </w:tc>
        <w:tc>
          <w:tcPr>
            <w:tcW w:w="3324" w:type="dxa"/>
            <w:tcBorders>
              <w:top w:val="single" w:sz="8" w:space="0" w:color="000000"/>
              <w:bottom w:val="single" w:sz="4" w:space="0" w:color="000000"/>
            </w:tcBorders>
          </w:tcPr>
          <w:p>
            <w:pPr>
              <w:pStyle w:val="CeldaAPA"/>
              <w:jc w:val="center"/>
            </w:pPr>
            <w:r>
              <w:rPr>
                <w:bCs/>
                <w:b/>
              </w:rPr>
              <w:t xml:space="preserve">Necesidades y expectativas</w:t>
            </w:r>
          </w:p>
        </w:tc>
        <w:tc>
          <w:tcPr>
            <w:tcW w:w="4046" w:type="dxa"/>
            <w:tcBorders>
              <w:top w:val="single" w:sz="8" w:space="0" w:color="000000"/>
              <w:bottom w:val="single" w:sz="4" w:space="0" w:color="000000"/>
            </w:tcBorders>
          </w:tcPr>
          <w:p>
            <w:pPr>
              <w:pStyle w:val="CeldaAPA"/>
              <w:jc w:val="center"/>
            </w:pPr>
            <w:r>
              <w:rPr>
                <w:bCs/>
                <w:b/>
              </w:rPr>
              <w:t xml:space="preserve">Requisito que genera para el SGC</w:t>
            </w:r>
          </w:p>
        </w:tc>
      </w:tr>
      <w:tr>
        <w:tc>
          <w:tcPr>
            <w:tcW w:w="1990" w:type="dxa"/>
          </w:tcPr>
          <w:p>
            <w:pPr>
              <w:pStyle w:val="CeldaAPA"/>
              <w:jc w:val="left"/>
            </w:pPr>
            <w:r>
              <w:rPr/>
              <w:t xml:space="preserve">UATF (propietaria; Departamento de Infraestructura)</w:t>
            </w:r>
          </w:p>
        </w:tc>
        <w:tc>
          <w:tcPr>
            <w:tcW w:w="3324" w:type="dxa"/>
          </w:tcPr>
          <w:p>
            <w:pPr>
              <w:pStyle w:val="CeldaAPA"/>
              <w:jc w:val="left"/>
            </w:pPr>
            <w:r>
              <w:rPr/>
              <w:t xml:space="preserve">Losa conforme a la ET y a los planos, en plazo y dentro del presupuesto; pagar solo lo ejecutado; uso transparente de recursos del IDH</w:t>
            </w:r>
          </w:p>
        </w:tc>
        <w:tc>
          <w:tcPr>
            <w:tcW w:w="4046" w:type="dxa"/>
          </w:tcPr>
          <w:p>
            <w:pPr>
              <w:pStyle w:val="CeldaAPA"/>
              <w:jc w:val="left"/>
            </w:pPr>
            <w:r>
              <w:rPr/>
              <w:t xml:space="preserve">Liberación documentada de cada paño; conciliación de cantidades antes de cada planilla; informe mensual de calidad</w:t>
            </w:r>
          </w:p>
        </w:tc>
      </w:tr>
      <w:tr>
        <w:tc>
          <w:tcPr>
            <w:tcW w:w="1990" w:type="dxa"/>
          </w:tcPr>
          <w:p>
            <w:pPr>
              <w:pStyle w:val="CeldaAPA"/>
              <w:jc w:val="left"/>
            </w:pPr>
            <w:r>
              <w:rPr/>
              <w:t xml:space="preserve">Fiscal de obra (UATF)</w:t>
            </w:r>
          </w:p>
        </w:tc>
        <w:tc>
          <w:tcPr>
            <w:tcW w:w="3324" w:type="dxa"/>
          </w:tcPr>
          <w:p>
            <w:pPr>
              <w:pStyle w:val="CeldaAPA"/>
              <w:jc w:val="left"/>
            </w:pPr>
            <w:r>
              <w:rPr/>
              <w:t xml:space="preserve">Control del avance físico y financiero y de las modificaciones del contrato</w:t>
            </w:r>
          </w:p>
        </w:tc>
        <w:tc>
          <w:tcPr>
            <w:tcW w:w="4046" w:type="dxa"/>
          </w:tcPr>
          <w:p>
            <w:pPr>
              <w:pStyle w:val="CeldaAPA"/>
              <w:jc w:val="left"/>
            </w:pPr>
            <w:r>
              <w:rPr/>
              <w:t xml:space="preserve">Trazabilidad de cantidades desde el plano hasta el pago; cambios documentados y aprobados antes de ejecutarse</w:t>
            </w:r>
          </w:p>
        </w:tc>
      </w:tr>
      <w:tr>
        <w:tc>
          <w:tcPr>
            <w:tcW w:w="1990" w:type="dxa"/>
          </w:tcPr>
          <w:p>
            <w:pPr>
              <w:pStyle w:val="CeldaAPA"/>
              <w:jc w:val="left"/>
            </w:pPr>
            <w:r>
              <w:rPr/>
              <w:t xml:space="preserve">Supervisor de obra</w:t>
            </w:r>
          </w:p>
        </w:tc>
        <w:tc>
          <w:tcPr>
            <w:tcW w:w="3324" w:type="dxa"/>
          </w:tcPr>
          <w:p>
            <w:pPr>
              <w:pStyle w:val="CeldaAPA"/>
              <w:jc w:val="left"/>
            </w:pPr>
            <w:r>
              <w:rPr/>
              <w:t xml:space="preserve">Verificar el trabajo antes de cada vaciado; contar con certificados, dosificaciones y ensayos sin tener que pedirlos (B2)</w:t>
            </w:r>
          </w:p>
        </w:tc>
        <w:tc>
          <w:tcPr>
            <w:tcW w:w="4046" w:type="dxa"/>
          </w:tcPr>
          <w:p>
            <w:pPr>
              <w:pStyle w:val="CeldaAPA"/>
              <w:jc w:val="left"/>
            </w:pPr>
            <w:r>
              <w:rPr/>
              <w:t xml:space="preserve">Puntos de espera del PPI; expediente de calidad al día; muestreo del hormigón por personal independiente de la producción</w:t>
            </w:r>
          </w:p>
        </w:tc>
      </w:tr>
      <w:tr>
        <w:tc>
          <w:tcPr>
            <w:tcW w:w="1990" w:type="dxa"/>
          </w:tcPr>
          <w:p>
            <w:pPr>
              <w:pStyle w:val="CeldaAPA"/>
              <w:jc w:val="left"/>
            </w:pPr>
            <w:r>
              <w:rPr/>
              <w:t xml:space="preserve">Contratista (Director de obra y personal)</w:t>
            </w:r>
          </w:p>
        </w:tc>
        <w:tc>
          <w:tcPr>
            <w:tcW w:w="3324" w:type="dxa"/>
          </w:tcPr>
          <w:p>
            <w:pPr>
              <w:pStyle w:val="CeldaAPA"/>
              <w:jc w:val="left"/>
            </w:pPr>
            <w:r>
              <w:rPr/>
              <w:t xml:space="preserve">Ejecutar sin retrabajos, paralizaciones ni descuentos; reglas de aceptación claras; cobro oportuno</w:t>
            </w:r>
          </w:p>
        </w:tc>
        <w:tc>
          <w:tcPr>
            <w:tcW w:w="4046" w:type="dxa"/>
          </w:tcPr>
          <w:p>
            <w:pPr>
              <w:pStyle w:val="CeldaAPA"/>
              <w:jc w:val="left"/>
            </w:pPr>
            <w:r>
              <w:rPr/>
              <w:t xml:space="preserve">Criterios de aceptación definidos de antemano; formatos simples; control del desperdicio, que es ahorro propio</w:t>
            </w:r>
          </w:p>
        </w:tc>
      </w:tr>
      <w:tr>
        <w:tc>
          <w:tcPr>
            <w:tcW w:w="1990" w:type="dxa"/>
          </w:tcPr>
          <w:p>
            <w:pPr>
              <w:pStyle w:val="CeldaAPA"/>
              <w:jc w:val="left"/>
            </w:pPr>
            <w:r>
              <w:rPr/>
              <w:t xml:space="preserve">Proyectista estructural (por medio de la UATF)</w:t>
            </w:r>
          </w:p>
        </w:tc>
        <w:tc>
          <w:tcPr>
            <w:tcW w:w="3324" w:type="dxa"/>
          </w:tcPr>
          <w:p>
            <w:pPr>
              <w:pStyle w:val="CeldaAPA"/>
              <w:jc w:val="left"/>
            </w:pPr>
            <w:r>
              <w:rPr/>
              <w:t xml:space="preserve">Que la losa se ejecute según el diseño: altura del complemento, armaduras, recubrimientos y apoyos</w:t>
            </w:r>
          </w:p>
        </w:tc>
        <w:tc>
          <w:tcPr>
            <w:tcW w:w="4046" w:type="dxa"/>
          </w:tcPr>
          <w:p>
            <w:pPr>
              <w:pStyle w:val="CeldaAPA"/>
              <w:jc w:val="left"/>
            </w:pPr>
            <w:r>
              <w:rPr/>
              <w:t xml:space="preserve">Consulta técnica y aprobación de los cambios; resolución de la discrepancia del complemento EPS (B3)</w:t>
            </w:r>
          </w:p>
        </w:tc>
      </w:tr>
      <w:tr>
        <w:tc>
          <w:tcPr>
            <w:tcW w:w="1990" w:type="dxa"/>
          </w:tcPr>
          <w:p>
            <w:pPr>
              <w:pStyle w:val="CeldaAPA"/>
              <w:jc w:val="left"/>
            </w:pPr>
            <w:r>
              <w:rPr/>
              <w:t xml:space="preserve">Proveedores de viguetas y de complementos (PRETENSA, UNICON)</w:t>
            </w:r>
          </w:p>
        </w:tc>
        <w:tc>
          <w:tcPr>
            <w:tcW w:w="3324" w:type="dxa"/>
          </w:tcPr>
          <w:p>
            <w:pPr>
              <w:pStyle w:val="CeldaAPA"/>
              <w:jc w:val="left"/>
            </w:pPr>
            <w:r>
              <w:rPr/>
              <w:t xml:space="preserve">Pedidos exactos por tipo, longitud y cantidad; manipulación y montaje según sus instrucciones</w:t>
            </w:r>
          </w:p>
        </w:tc>
        <w:tc>
          <w:tcPr>
            <w:tcW w:w="4046" w:type="dxa"/>
          </w:tcPr>
          <w:p>
            <w:pPr>
              <w:pStyle w:val="CeldaAPA"/>
              <w:jc w:val="left"/>
            </w:pPr>
            <w:r>
              <w:rPr/>
              <w:t xml:space="preserve">Pedido por paño según el Plano 03; recepción con criterios conocidos; cumplimiento de los pasos de montaje que exige el fabricante</w:t>
            </w:r>
            <w:r>
              <w:rPr/>
              <w:t xml:space="preserve"> </w:t>
            </w:r>
            <w:r>
              <w:rPr/>
              <w:t xml:space="preserve">(UATF, s. f.-b, p. 8)</w:t>
            </w:r>
          </w:p>
        </w:tc>
      </w:tr>
      <w:tr>
        <w:tc>
          <w:tcPr>
            <w:tcW w:w="1990" w:type="dxa"/>
          </w:tcPr>
          <w:p>
            <w:pPr>
              <w:pStyle w:val="CeldaAPA"/>
              <w:jc w:val="left"/>
            </w:pPr>
            <w:r>
              <w:rPr/>
              <w:t xml:space="preserve">Proveedores de acero, cemento y áridos</w:t>
            </w:r>
          </w:p>
        </w:tc>
        <w:tc>
          <w:tcPr>
            <w:tcW w:w="3324" w:type="dxa"/>
          </w:tcPr>
          <w:p>
            <w:pPr>
              <w:pStyle w:val="CeldaAPA"/>
              <w:jc w:val="left"/>
            </w:pPr>
            <w:r>
              <w:rPr/>
              <w:t xml:space="preserve">Pedidos programados; condiciones de entrega en un mercado con escasez de combustible</w:t>
            </w:r>
          </w:p>
        </w:tc>
        <w:tc>
          <w:tcPr>
            <w:tcW w:w="4046" w:type="dxa"/>
          </w:tcPr>
          <w:p>
            <w:pPr>
              <w:pStyle w:val="CeldaAPA"/>
              <w:jc w:val="left"/>
            </w:pPr>
            <w:r>
              <w:rPr/>
              <w:t xml:space="preserve">Plan de compras anticipado y existencia mínima; certificado por colada (acero) y por lote (cemento)</w:t>
            </w:r>
          </w:p>
        </w:tc>
      </w:tr>
      <w:tr>
        <w:tc>
          <w:tcPr>
            <w:tcW w:w="1990" w:type="dxa"/>
          </w:tcPr>
          <w:p>
            <w:pPr>
              <w:pStyle w:val="CeldaAPA"/>
              <w:jc w:val="left"/>
            </w:pPr>
            <w:r>
              <w:rPr/>
              <w:t xml:space="preserve">Laboratorio de ensayos</w:t>
            </w:r>
          </w:p>
        </w:tc>
        <w:tc>
          <w:tcPr>
            <w:tcW w:w="3324" w:type="dxa"/>
          </w:tcPr>
          <w:p>
            <w:pPr>
              <w:pStyle w:val="CeldaAPA"/>
              <w:jc w:val="left"/>
            </w:pPr>
            <w:r>
              <w:rPr/>
              <w:t xml:space="preserve">Muestras representativas, bien elaboradas, identificadas y curadas</w:t>
            </w:r>
          </w:p>
        </w:tc>
        <w:tc>
          <w:tcPr>
            <w:tcW w:w="4046" w:type="dxa"/>
          </w:tcPr>
          <w:p>
            <w:pPr>
              <w:pStyle w:val="CeldaAPA"/>
              <w:jc w:val="left"/>
            </w:pPr>
            <w:r>
              <w:rPr/>
              <w:t xml:space="preserve">Muestreo según ASTM C172 y C31 por técnico competente; codificación de probetas por paño y vaciado</w:t>
            </w:r>
          </w:p>
        </w:tc>
      </w:tr>
      <w:tr>
        <w:tc>
          <w:tcPr>
            <w:tcW w:w="1990" w:type="dxa"/>
          </w:tcPr>
          <w:p>
            <w:pPr>
              <w:pStyle w:val="CeldaAPA"/>
              <w:jc w:val="left"/>
            </w:pPr>
            <w:r>
              <w:rPr/>
              <w:t xml:space="preserve">Usuarios del edificio (comunidad de posgrado)</w:t>
            </w:r>
          </w:p>
        </w:tc>
        <w:tc>
          <w:tcPr>
            <w:tcW w:w="3324" w:type="dxa"/>
          </w:tcPr>
          <w:p>
            <w:pPr>
              <w:pStyle w:val="CeldaAPA"/>
              <w:jc w:val="left"/>
            </w:pPr>
            <w:r>
              <w:rPr/>
              <w:t xml:space="preserve">Estructura segura y durable, sin fisuras ni flechas excesivas</w:t>
            </w:r>
          </w:p>
        </w:tc>
        <w:tc>
          <w:tcPr>
            <w:tcW w:w="4046" w:type="dxa"/>
          </w:tcPr>
          <w:p>
            <w:pPr>
              <w:pStyle w:val="CeldaAPA"/>
              <w:jc w:val="left"/>
            </w:pPr>
            <w:r>
              <w:rPr/>
              <w:t xml:space="preserve">Aceptación del hormigón según ACI 318-25; curado y desapuntalamiento controlados</w:t>
            </w:r>
          </w:p>
        </w:tc>
      </w:tr>
      <w:tr>
        <w:tc>
          <w:tcPr>
            <w:tcW w:w="1990" w:type="dxa"/>
            <w:tcBorders>
              <w:bottom w:val="single" w:sz="8" w:space="0" w:color="000000"/>
            </w:tcBorders>
          </w:tcPr>
          <w:p>
            <w:pPr>
              <w:pStyle w:val="CeldaAPA"/>
              <w:jc w:val="left"/>
            </w:pPr>
            <w:r>
              <w:rPr/>
              <w:t xml:space="preserve">Órganos de control gubernamental y sociedad</w:t>
            </w:r>
          </w:p>
        </w:tc>
        <w:tc>
          <w:tcPr>
            <w:tcW w:w="3324" w:type="dxa"/>
            <w:tcBorders>
              <w:bottom w:val="single" w:sz="8" w:space="0" w:color="000000"/>
            </w:tcBorders>
          </w:tcPr>
          <w:p>
            <w:pPr>
              <w:pStyle w:val="CeldaAPA"/>
              <w:jc w:val="left"/>
            </w:pPr>
            <w:r>
              <w:rPr/>
              <w:t xml:space="preserve">Uso transparente y verificable de recursos públicos</w:t>
            </w:r>
          </w:p>
        </w:tc>
        <w:tc>
          <w:tcPr>
            <w:tcW w:w="4046" w:type="dxa"/>
            <w:tcBorders>
              <w:bottom w:val="single" w:sz="8" w:space="0" w:color="000000"/>
            </w:tcBorders>
          </w:tcPr>
          <w:p>
            <w:pPr>
              <w:pStyle w:val="CeldaAPA"/>
              <w:jc w:val="left"/>
            </w:pPr>
            <w:r>
              <w:rPr/>
              <w:t xml:space="preserve">Registros auditables y comportamiento ético en la medición y el pago de cantidades</w:t>
            </w:r>
          </w:p>
        </w:tc>
      </w:tr>
    </w:tbl>
    <w:p>
      <w:pPr>
        <w:pStyle w:val="NotaAPA"/>
      </w:pPr>
      <w:r>
        <w:rPr>
          <w:iCs/>
          <w:i/>
        </w:rPr>
        <w:t xml:space="preserve">Nota.</w:t>
      </w:r>
      <w:r>
        <w:t xml:space="preserve"> </w:t>
      </w:r>
      <w:r>
        <w:t xml:space="preserve">Elaboración propia con base en los documentos del caso</w:t>
      </w:r>
      <w:r>
        <w:t xml:space="preserve"> </w:t>
      </w:r>
      <w:r>
        <w:t xml:space="preserve">(UATF, s. f.-b, s. f.-a, 2025)</w:t>
      </w:r>
      <w:r>
        <w:t xml:space="preserve">. B2 y B3: brechas de la línea base.</w:t>
      </w:r>
    </w:p>
    <w:p>
      <w:pPr>
        <w:pStyle w:val="BodyText"/>
      </w:pPr>
      <w:r>
        <w:rPr>
          <w:bCs/>
          <w:b/>
        </w:rPr>
        <w:t xml:space="preserve">Alcance y exclusiones.</w:t>
      </w:r>
      <w:r>
        <w:t xml:space="preserve"> </w:t>
      </w:r>
      <w:r>
        <w:t xml:space="preserve">El SGC comprende la planificación, el abastecimiento (compra, recepción, almacenamiento y despacho), la ejecución (apuntalamiento, viguetas y complementos, nervios, armaduras, instalaciones embebidas, hormigonado, curado y desapuntalamiento), el control de calidad (inspección, ensayos y liberación) y la medición, conciliación y pago del ítem 13 en la segunda y la tercera losa: 2.234,60 m</w:t>
      </w:r>
      <w:r>
        <w:rPr>
          <w:vertAlign w:val="superscript"/>
        </w:rPr>
        <w:t xml:space="preserve">2</w:t>
      </w:r>
      <w:r>
        <w:t xml:space="preserve">,</w:t>
      </w:r>
      <w:r>
        <w:t xml:space="preserve"> </w:t>
      </w:r>
      <m:oMath>
        <m:r>
          <m:rPr>
            <m:sty m:val="p"/>
          </m:rPr>
          <m:t>≈</m:t>
        </m:r>
      </m:oMath>
      <w:r>
        <w:t xml:space="preserve"> 1.117,30 m</w:t>
      </w:r>
      <w:r>
        <w:rPr>
          <w:vertAlign w:val="superscript"/>
        </w:rPr>
        <w:t xml:space="preserve">2</w:t>
      </w:r>
      <w:r>
        <w:t xml:space="preserve"> </w:t>
      </w:r>
      <w:r>
        <w:t xml:space="preserve">por losa</w:t>
      </w:r>
      <w:r>
        <w:t xml:space="preserve"> </w:t>
      </w:r>
      <w:r>
        <w:t xml:space="preserve">(UATF, s. f.-c)</w:t>
      </w:r>
      <w:r>
        <w:t xml:space="preserve">. Incluye todo el acero colocado en la losa (parrilla, nervios y negativos), se pague por el ítem 8 o por el 13, para no dejar vacíos entre ítems (B4), y el muestreo de cada vaciado completo, incluidas las vigas que se vacían monolíticamente con la losa</w:t>
      </w:r>
      <w:r>
        <w:t xml:space="preserve"> </w:t>
      </w:r>
      <w:r>
        <w:t xml:space="preserve">(UATF, s. f.-a, p. 3)</w:t>
      </w:r>
      <w:r>
        <w:t xml:space="preserve">. Se excluyen el diseño estructural (diseño y desarrollo, cláusula 8.3), que corresponde al proyectista de la UATF y del que el SGC solo gestiona las consultas y los cambios; la fabricación de viguetas y complementos, que se controla como suministro externo mediante certificados e inspección de recepción; y los demás ítems de la obra. Estas exclusiones no afectan la capacidad del sistema para asegurar la conformidad de la losa.</w:t>
      </w:r>
    </w:p>
    <w:p>
      <w:pPr>
        <w:pStyle w:val="Heading3"/>
      </w:pPr>
      <w:bookmarkStart w:id="157" w:name="tit110"/>
      <w:r>
        <w:t xml:space="preserve">2.6.3. Liderazgo: política de la calidad, organización y responsabilidades</w:t>
      </w:r>
      <w:bookmarkEnd w:id="157"/>
    </w:p>
    <w:p>
      <w:pPr>
        <w:pStyle w:val="FirstParagraph"/>
      </w:pPr>
      <w:r>
        <w:rPr>
          <w:bCs/>
          <w:b/>
        </w:rPr>
        <w:t xml:space="preserve">Política de la calidad del proyecto.</w:t>
      </w:r>
      <w:r>
        <w:t xml:space="preserve"> </w:t>
      </w:r>
      <w:r>
        <w:t xml:space="preserve">La política expresa el compromiso de la dirección de obra y sirve de marco para los objetivos de la Sección 2.6.4. Se propone el siguiente texto, que debe firmar el Director de obra, contar con el visto bueno de la Supervisión y exhibirse en la oficina y en el almacén de la obra:</w:t>
      </w:r>
    </w:p>
    <w:p>
      <w:pPr>
        <w:pStyle w:val="Recuadro"/>
      </w:pPr>
      <w:r>
        <w:rPr>
          <w:bCs/>
          <w:b/>
        </w:rPr>
        <w:t xml:space="preserve">Política de la calidad de la ejecución de las losas alivianadas del Edificio de Posgrado (UATF)</w:t>
      </w:r>
      <w:r>
        <w:t xml:space="preserve"> </w:t>
      </w:r>
      <w:r>
        <w:t xml:space="preserve">La dirección de obra se compromete a:</w:t>
      </w:r>
      <w:r>
        <w:t xml:space="preserve"> </w:t>
      </w:r>
      <w:r>
        <w:t xml:space="preserve">(1) ejecutar cada paño conforme a los planos aprobados, a las especificaciones técnicas y al código ACI 318-25, sin vaciar ningún paño que no haya sido liberado; (2) controlar cada material desde la compra hasta su colocación, para consumir y pagar solo lo necesario y reducir el desperdicio; (3) medir y cobrar las cantidades con evidencia verificable, con honestidad y transparencia en el uso de los recursos públicos; (4) anticipar los riesgos de suministro, de precios y de clima; (5) registrar, corregir y analizar las no conformidades para mejorar de forma continua; y (6) capacitar al personal y comunicar oportunamente la información de la calidad a la Supervisión y a la Fiscalización.</w:t>
      </w:r>
    </w:p>
    <w:p>
      <w:pPr>
        <w:pStyle w:val="BodyText"/>
      </w:pPr>
      <w:r>
        <w:rPr>
          <w:bCs/>
          <w:b/>
        </w:rPr>
        <w:t xml:space="preserve">Organización.</w:t>
      </w:r>
      <w:r>
        <w:t xml:space="preserve"> </w:t>
      </w:r>
      <w:r>
        <w:t xml:space="preserve">En la contratista, el Director de obra es el responsable del SGC: aprueba el plan, asigna los recursos y preside la revisión mensual; el Residente de obra actúa como encargado de calidad (en una obra de este tamaño, con tiempo asignado para inspeccionar, registrar y conciliar); el Almacenero administra el kardex y los vales; y el Capataz dirige a los armadores y ejecuta el autocontrol. Por la UATF, el Supervisor de obra verifica y libera los paños, y el Fiscal de obra controla el contrato, las planillas y las modificaciones. El laboratorio y los proveedores son externos; el laboratorio entrega los informes de ensayo a la Supervisión y a la contratista</w:t>
      </w:r>
      <w:r>
        <w:t xml:space="preserve"> </w:t>
      </w:r>
      <w:r>
        <w:t xml:space="preserve">(ACI Committee 318, 2025, Sección 26.12.1.1, p. 602)</w:t>
      </w:r>
      <w:r>
        <w:t xml:space="preserve">.</w:t>
      </w:r>
    </w:p>
    <w:p>
      <w:pPr>
        <w:pStyle w:val="BodyText"/>
      </w:pPr>
      <w:r>
        <w:rPr>
          <w:bCs/>
          <w:b/>
        </w:rPr>
        <w:t xml:space="preserve">Matriz de responsabilidades.</w:t>
      </w:r>
      <w:r>
        <w:t xml:space="preserve"> </w:t>
      </w:r>
      <w:r>
        <w:t xml:space="preserve">La Tabla 31 asigna las responsabilidades con la notación RACI:</w:t>
      </w:r>
      <w:r>
        <w:t xml:space="preserve"> </w:t>
      </w:r>
      <w:r>
        <w:rPr>
          <w:bCs/>
          <w:b/>
        </w:rPr>
        <w:t xml:space="preserve">R</w:t>
      </w:r>
      <w:r>
        <w:t xml:space="preserve">, ejecuta la actividad;</w:t>
      </w:r>
      <w:r>
        <w:t xml:space="preserve"> </w:t>
      </w:r>
      <w:r>
        <w:rPr>
          <w:bCs/>
          <w:b/>
        </w:rPr>
        <w:t xml:space="preserve">A</w:t>
      </w:r>
      <w:r>
        <w:t xml:space="preserve">, aprueba y rinde cuentas por ella (una sola por actividad);</w:t>
      </w:r>
      <w:r>
        <w:t xml:space="preserve"> </w:t>
      </w:r>
      <w:r>
        <w:rPr>
          <w:bCs/>
          <w:b/>
        </w:rPr>
        <w:t xml:space="preserve">C</w:t>
      </w:r>
      <w:r>
        <w:t xml:space="preserve">, es consultado antes de decidir; e</w:t>
      </w:r>
      <w:r>
        <w:t xml:space="preserve"> </w:t>
      </w:r>
      <w:r>
        <w:rPr>
          <w:bCs/>
          <w:b/>
        </w:rPr>
        <w:t xml:space="preserve">I</w:t>
      </w:r>
      <w:r>
        <w:t xml:space="preserve">, es informado del resultado.</w:t>
      </w:r>
    </w:p>
    <w:p>
      <w:pPr>
        <w:pStyle w:val="Caption"/>
      </w:pPr>
      <w:bookmarkStart w:id="1444" w:name="tab31"/>
      <w:r>
        <w:t xml:space="preserve"/>
      </w:r>
      <w:r>
        <w:rPr>
          <w:bCs/>
          <w:b/>
        </w:rPr>
        <w:t xml:space="preserve">Tabla 31</w:t>
      </w:r>
      <w:r>
        <w:br/>
      </w:r>
      <w:r>
        <w:rPr>
          <w:iCs/>
          <w:i/>
        </w:rPr>
        <w:t xml:space="preserve">Matriz de responsabilidades (RACI) del SGC del ítem losa alivianada</w:t>
      </w:r>
      <w:bookmarkEnd w:id="1444"/>
    </w:p>
    <w:tbl>
      <w:tblPr>
        <w:tblStyle w:val="Table"/>
        <w:tblW w:w="9358" w:type="dxa"/>
        <w:jc w:val="left"/>
        <w:tblLayout w:type="fixed"/>
        <w:tblCellMar>
          <w:top w:w="0" w:type="dxa"/>
          <w:left w:w="85" w:type="dxa"/>
          <w:bottom w:w="0" w:type="dxa"/>
          <w:right w:w="85" w:type="dxa"/>
        </w:tblCellMar>
        <w:tblLook w:firstRow="1" w:lastRow="0" w:firstColumn="0" w:lastColumn="0" w:noHBand="0" w:noVBand="0" w:val="0020"/>
      </w:tblPr>
      <w:tblGrid>
        <w:gridCol w:w="3494"/>
        <w:gridCol w:w="733"/>
        <w:gridCol w:w="733"/>
        <w:gridCol w:w="733"/>
        <w:gridCol w:w="733"/>
        <w:gridCol w:w="733"/>
        <w:gridCol w:w="733"/>
        <w:gridCol w:w="733"/>
        <w:gridCol w:w="733"/>
      </w:tblGrid>
      <w:tr>
        <w:trPr>
          <w:cantSplit/>
          <w:tblHeader w:val="true"/>
        </w:trPr>
        <w:tc>
          <w:tcPr>
            <w:tcW w:w="3494" w:type="dxa"/>
            <w:tcBorders>
              <w:top w:val="single" w:sz="8" w:space="0" w:color="000000"/>
              <w:bottom w:val="single" w:sz="4" w:space="0" w:color="000000"/>
            </w:tcBorders>
          </w:tcPr>
          <w:p>
            <w:pPr>
              <w:pStyle w:val="CeldaAPA"/>
              <w:jc w:val="center"/>
            </w:pPr>
            <w:r>
              <w:rPr>
                <w:bCs/>
                <w:b/>
              </w:rPr>
              <w:t xml:space="preserve">Actividad</w:t>
            </w:r>
          </w:p>
        </w:tc>
        <w:tc>
          <w:tcPr>
            <w:tcW w:w="733" w:type="dxa"/>
            <w:tcBorders>
              <w:top w:val="single" w:sz="8" w:space="0" w:color="000000"/>
              <w:bottom w:val="single" w:sz="4" w:space="0" w:color="000000"/>
            </w:tcBorders>
          </w:tcPr>
          <w:p>
            <w:pPr>
              <w:pStyle w:val="CeldaAPA"/>
              <w:jc w:val="center"/>
            </w:pPr>
            <w:r>
              <w:rPr>
                <w:bCs/>
                <w:b/>
              </w:rPr>
              <w:t xml:space="preserve">DO</w:t>
            </w:r>
          </w:p>
        </w:tc>
        <w:tc>
          <w:tcPr>
            <w:tcW w:w="733" w:type="dxa"/>
            <w:tcBorders>
              <w:top w:val="single" w:sz="8" w:space="0" w:color="000000"/>
              <w:bottom w:val="single" w:sz="4" w:space="0" w:color="000000"/>
            </w:tcBorders>
          </w:tcPr>
          <w:p>
            <w:pPr>
              <w:pStyle w:val="CeldaAPA"/>
              <w:jc w:val="center"/>
            </w:pPr>
            <w:r>
              <w:rPr>
                <w:bCs/>
                <w:b/>
              </w:rPr>
              <w:t xml:space="preserve">RC</w:t>
            </w:r>
          </w:p>
        </w:tc>
        <w:tc>
          <w:tcPr>
            <w:tcW w:w="733" w:type="dxa"/>
            <w:tcBorders>
              <w:top w:val="single" w:sz="8" w:space="0" w:color="000000"/>
              <w:bottom w:val="single" w:sz="4" w:space="0" w:color="000000"/>
            </w:tcBorders>
          </w:tcPr>
          <w:p>
            <w:pPr>
              <w:pStyle w:val="CeldaAPA"/>
              <w:jc w:val="center"/>
            </w:pPr>
            <w:r>
              <w:rPr>
                <w:bCs/>
                <w:b/>
              </w:rPr>
              <w:t xml:space="preserve">AL</w:t>
            </w:r>
          </w:p>
        </w:tc>
        <w:tc>
          <w:tcPr>
            <w:tcW w:w="733" w:type="dxa"/>
            <w:tcBorders>
              <w:top w:val="single" w:sz="8" w:space="0" w:color="000000"/>
              <w:bottom w:val="single" w:sz="4" w:space="0" w:color="000000"/>
            </w:tcBorders>
          </w:tcPr>
          <w:p>
            <w:pPr>
              <w:pStyle w:val="CeldaAPA"/>
              <w:jc w:val="center"/>
            </w:pPr>
            <w:r>
              <w:rPr>
                <w:bCs/>
                <w:b/>
              </w:rPr>
              <w:t xml:space="preserve">CA</w:t>
            </w:r>
          </w:p>
        </w:tc>
        <w:tc>
          <w:tcPr>
            <w:tcW w:w="733" w:type="dxa"/>
            <w:tcBorders>
              <w:top w:val="single" w:sz="8" w:space="0" w:color="000000"/>
              <w:bottom w:val="single" w:sz="4" w:space="0" w:color="000000"/>
            </w:tcBorders>
          </w:tcPr>
          <w:p>
            <w:pPr>
              <w:pStyle w:val="CeldaAPA"/>
              <w:jc w:val="center"/>
            </w:pPr>
            <w:r>
              <w:rPr>
                <w:bCs/>
                <w:b/>
              </w:rPr>
              <w:t xml:space="preserve">LB</w:t>
            </w:r>
          </w:p>
        </w:tc>
        <w:tc>
          <w:tcPr>
            <w:tcW w:w="733" w:type="dxa"/>
            <w:tcBorders>
              <w:top w:val="single" w:sz="8" w:space="0" w:color="000000"/>
              <w:bottom w:val="single" w:sz="4" w:space="0" w:color="000000"/>
            </w:tcBorders>
          </w:tcPr>
          <w:p>
            <w:pPr>
              <w:pStyle w:val="CeldaAPA"/>
              <w:jc w:val="center"/>
            </w:pPr>
            <w:r>
              <w:rPr>
                <w:bCs/>
                <w:b/>
              </w:rPr>
              <w:t xml:space="preserve">SU</w:t>
            </w:r>
          </w:p>
        </w:tc>
        <w:tc>
          <w:tcPr>
            <w:tcW w:w="733" w:type="dxa"/>
            <w:tcBorders>
              <w:top w:val="single" w:sz="8" w:space="0" w:color="000000"/>
              <w:bottom w:val="single" w:sz="4" w:space="0" w:color="000000"/>
            </w:tcBorders>
          </w:tcPr>
          <w:p>
            <w:pPr>
              <w:pStyle w:val="CeldaAPA"/>
              <w:jc w:val="center"/>
            </w:pPr>
            <w:r>
              <w:rPr>
                <w:bCs/>
                <w:b/>
              </w:rPr>
              <w:t xml:space="preserve">FI</w:t>
            </w:r>
          </w:p>
        </w:tc>
        <w:tc>
          <w:tcPr>
            <w:tcW w:w="733" w:type="dxa"/>
            <w:tcBorders>
              <w:top w:val="single" w:sz="8" w:space="0" w:color="000000"/>
              <w:bottom w:val="single" w:sz="4" w:space="0" w:color="000000"/>
            </w:tcBorders>
          </w:tcPr>
          <w:p>
            <w:pPr>
              <w:pStyle w:val="CeldaAPA"/>
              <w:jc w:val="center"/>
            </w:pPr>
            <w:r>
              <w:rPr>
                <w:bCs/>
                <w:b/>
              </w:rPr>
              <w:t xml:space="preserve">PR</w:t>
            </w:r>
          </w:p>
        </w:tc>
      </w:tr>
      <w:tr>
        <w:tc>
          <w:tcPr>
            <w:tcW w:w="3494" w:type="dxa"/>
          </w:tcPr>
          <w:p>
            <w:pPr>
              <w:pStyle w:val="CeldaAPA"/>
              <w:jc w:val="left"/>
            </w:pPr>
            <w:r>
              <w:rPr/>
              <w:t xml:space="preserve">1. Elaborar el plan de la calidad, el PPI y los procedimientos</w:t>
            </w:r>
          </w:p>
        </w:tc>
        <w:tc>
          <w:tcPr>
            <w:tcW w:w="733" w:type="dxa"/>
          </w:tcPr>
          <w:p>
            <w:pPr>
              <w:pStyle w:val="CeldaAPA"/>
              <w:jc w:val="center"/>
            </w:pPr>
            <w:r>
              <w:rPr/>
              <w:t xml:space="preserve">A</w:t>
            </w:r>
          </w:p>
        </w:tc>
        <w:tc>
          <w:tcPr>
            <w:tcW w:w="733" w:type="dxa"/>
          </w:tcPr>
          <w:p>
            <w:pPr>
              <w:pStyle w:val="CeldaAPA"/>
              <w:jc w:val="center"/>
            </w:pPr>
            <w:r>
              <w:rPr/>
              <w:t xml:space="preserve">R</w:t>
            </w:r>
          </w:p>
        </w:tc>
        <w:tc>
          <w:tcPr>
            <w:tcW w:w="733" w:type="dxa"/>
          </w:tcPr>
          <w:p>
            <w:pPr>
              <w:pStyle w:val="CeldaAPA"/>
              <w:jc w:val="center"/>
            </w:pPr>
            <w:r>
              <w:rPr/>
              <w:t xml:space="preserve">C</w:t>
            </w:r>
          </w:p>
        </w:tc>
        <w:tc>
          <w:tcPr>
            <w:tcW w:w="733" w:type="dxa"/>
          </w:tcPr>
          <w:p>
            <w:pPr>
              <w:pStyle w:val="CeldaAPA"/>
              <w:jc w:val="center"/>
            </w:pPr>
            <w:r>
              <w:rPr/>
              <w:t xml:space="preserve">C</w:t>
            </w:r>
          </w:p>
        </w:tc>
        <w:tc>
          <w:tcPr>
            <w:tcW w:w="733" w:type="dxa"/>
          </w:tcPr>
          <w:p>
            <w:pPr>
              <w:pStyle w:val="CeldaAPA"/>
              <w:jc w:val="center"/>
            </w:pPr>
            <w:r>
              <w:rPr/>
              <w:t xml:space="preserve">C</w:t>
            </w:r>
          </w:p>
        </w:tc>
        <w:tc>
          <w:tcPr>
            <w:tcW w:w="733" w:type="dxa"/>
          </w:tcPr>
          <w:p>
            <w:pPr>
              <w:pStyle w:val="CeldaAPA"/>
              <w:jc w:val="center"/>
            </w:pPr>
            <w:r>
              <w:rPr/>
              <w:t xml:space="preserve">I</w:t>
            </w:r>
          </w:p>
        </w:tc>
        <w:tc>
          <w:tcPr>
            <w:tcW w:w="733" w:type="dxa"/>
          </w:tcPr>
          <w:p>
            <w:pPr>
              <w:pStyle w:val="CeldaAPA"/>
              <w:jc w:val="center"/>
            </w:pPr>
            <w:r>
              <w:rPr/>
              <w:t xml:space="preserve">I</w:t>
            </w:r>
          </w:p>
        </w:tc>
        <w:tc>
          <w:tcPr>
            <w:tcW w:w="733" w:type="dxa"/>
          </w:tcPr>
          <w:p>
            <w:pPr>
              <w:pStyle w:val="CeldaAPA"/>
              <w:jc w:val="center"/>
            </w:pPr>
            <w:r>
              <w:rPr/>
              <w:t xml:space="preserve">–</w:t>
            </w:r>
          </w:p>
        </w:tc>
      </w:tr>
      <w:tr>
        <w:tc>
          <w:tcPr>
            <w:tcW w:w="3494" w:type="dxa"/>
          </w:tcPr>
          <w:p>
            <w:pPr>
              <w:pStyle w:val="CeldaAPA"/>
              <w:jc w:val="left"/>
            </w:pPr>
            <w:r>
              <w:rPr/>
              <w:t xml:space="preserve">2. Revisar y aprobar el plan de la calidad, el PPI y la dosificación del hormigón</w:t>
            </w:r>
          </w:p>
        </w:tc>
        <w:tc>
          <w:tcPr>
            <w:tcW w:w="733" w:type="dxa"/>
          </w:tcPr>
          <w:p>
            <w:pPr>
              <w:pStyle w:val="CeldaAPA"/>
              <w:jc w:val="center"/>
            </w:pPr>
            <w:r>
              <w:rPr/>
              <w:t xml:space="preserve">I</w:t>
            </w:r>
          </w:p>
        </w:tc>
        <w:tc>
          <w:tcPr>
            <w:tcW w:w="733" w:type="dxa"/>
          </w:tcPr>
          <w:p>
            <w:pPr>
              <w:pStyle w:val="CeldaAPA"/>
              <w:jc w:val="center"/>
            </w:pPr>
            <w:r>
              <w:rPr/>
              <w:t xml:space="preserve">C</w:t>
            </w:r>
          </w:p>
        </w:tc>
        <w:tc>
          <w:tcPr>
            <w:tcW w:w="733" w:type="dxa"/>
          </w:tcPr>
          <w:p>
            <w:pPr>
              <w:pStyle w:val="CeldaAPA"/>
              <w:jc w:val="center"/>
            </w:pPr>
            <w:r>
              <w:rPr/>
              <w:t xml:space="preserve">–</w:t>
            </w:r>
          </w:p>
        </w:tc>
        <w:tc>
          <w:tcPr>
            <w:tcW w:w="733" w:type="dxa"/>
          </w:tcPr>
          <w:p>
            <w:pPr>
              <w:pStyle w:val="CeldaAPA"/>
              <w:jc w:val="center"/>
            </w:pPr>
            <w:r>
              <w:rPr/>
              <w:t xml:space="preserve">–</w:t>
            </w:r>
          </w:p>
        </w:tc>
        <w:tc>
          <w:tcPr>
            <w:tcW w:w="733" w:type="dxa"/>
          </w:tcPr>
          <w:p>
            <w:pPr>
              <w:pStyle w:val="CeldaAPA"/>
              <w:jc w:val="center"/>
            </w:pPr>
            <w:r>
              <w:rPr/>
              <w:t xml:space="preserve">C</w:t>
            </w:r>
          </w:p>
        </w:tc>
        <w:tc>
          <w:tcPr>
            <w:tcW w:w="733" w:type="dxa"/>
          </w:tcPr>
          <w:p>
            <w:pPr>
              <w:pStyle w:val="CeldaAPA"/>
              <w:jc w:val="center"/>
            </w:pPr>
            <w:r>
              <w:rPr/>
              <w:t xml:space="preserve">A</w:t>
            </w:r>
          </w:p>
        </w:tc>
        <w:tc>
          <w:tcPr>
            <w:tcW w:w="733" w:type="dxa"/>
          </w:tcPr>
          <w:p>
            <w:pPr>
              <w:pStyle w:val="CeldaAPA"/>
              <w:jc w:val="center"/>
            </w:pPr>
            <w:r>
              <w:rPr/>
              <w:t xml:space="preserve">I</w:t>
            </w:r>
          </w:p>
        </w:tc>
        <w:tc>
          <w:tcPr>
            <w:tcW w:w="733" w:type="dxa"/>
          </w:tcPr>
          <w:p>
            <w:pPr>
              <w:pStyle w:val="CeldaAPA"/>
              <w:jc w:val="center"/>
            </w:pPr>
            <w:r>
              <w:rPr/>
              <w:t xml:space="preserve">–</w:t>
            </w:r>
          </w:p>
        </w:tc>
      </w:tr>
      <w:tr>
        <w:tc>
          <w:tcPr>
            <w:tcW w:w="3494" w:type="dxa"/>
          </w:tcPr>
          <w:p>
            <w:pPr>
              <w:pStyle w:val="CeldaAPA"/>
              <w:jc w:val="left"/>
            </w:pPr>
            <w:r>
              <w:rPr/>
              <w:t xml:space="preserve">3. Planificar las compras y evaluar a los proveedores</w:t>
            </w:r>
          </w:p>
        </w:tc>
        <w:tc>
          <w:tcPr>
            <w:tcW w:w="733" w:type="dxa"/>
          </w:tcPr>
          <w:p>
            <w:pPr>
              <w:pStyle w:val="CeldaAPA"/>
              <w:jc w:val="center"/>
            </w:pPr>
            <w:r>
              <w:rPr/>
              <w:t xml:space="preserve">A</w:t>
            </w:r>
          </w:p>
        </w:tc>
        <w:tc>
          <w:tcPr>
            <w:tcW w:w="733" w:type="dxa"/>
          </w:tcPr>
          <w:p>
            <w:pPr>
              <w:pStyle w:val="CeldaAPA"/>
              <w:jc w:val="center"/>
            </w:pPr>
            <w:r>
              <w:rPr/>
              <w:t xml:space="preserve">R</w:t>
            </w:r>
          </w:p>
        </w:tc>
        <w:tc>
          <w:tcPr>
            <w:tcW w:w="733" w:type="dxa"/>
          </w:tcPr>
          <w:p>
            <w:pPr>
              <w:pStyle w:val="CeldaAPA"/>
              <w:jc w:val="center"/>
            </w:pPr>
            <w:r>
              <w:rPr/>
              <w:t xml:space="preserve">C</w:t>
            </w:r>
          </w:p>
        </w:tc>
        <w:tc>
          <w:tcPr>
            <w:tcW w:w="733" w:type="dxa"/>
          </w:tcPr>
          <w:p>
            <w:pPr>
              <w:pStyle w:val="CeldaAPA"/>
              <w:jc w:val="center"/>
            </w:pPr>
            <w:r>
              <w:rPr/>
              <w:t xml:space="preserve">–</w:t>
            </w:r>
          </w:p>
        </w:tc>
        <w:tc>
          <w:tcPr>
            <w:tcW w:w="733" w:type="dxa"/>
          </w:tcPr>
          <w:p>
            <w:pPr>
              <w:pStyle w:val="CeldaAPA"/>
              <w:jc w:val="center"/>
            </w:pPr>
            <w:r>
              <w:rPr/>
              <w:t xml:space="preserve">–</w:t>
            </w:r>
          </w:p>
        </w:tc>
        <w:tc>
          <w:tcPr>
            <w:tcW w:w="733" w:type="dxa"/>
          </w:tcPr>
          <w:p>
            <w:pPr>
              <w:pStyle w:val="CeldaAPA"/>
              <w:jc w:val="center"/>
            </w:pPr>
            <w:r>
              <w:rPr/>
              <w:t xml:space="preserve">I</w:t>
            </w:r>
          </w:p>
        </w:tc>
        <w:tc>
          <w:tcPr>
            <w:tcW w:w="733" w:type="dxa"/>
          </w:tcPr>
          <w:p>
            <w:pPr>
              <w:pStyle w:val="CeldaAPA"/>
              <w:jc w:val="center"/>
            </w:pPr>
            <w:r>
              <w:rPr/>
              <w:t xml:space="preserve">–</w:t>
            </w:r>
          </w:p>
        </w:tc>
        <w:tc>
          <w:tcPr>
            <w:tcW w:w="733" w:type="dxa"/>
          </w:tcPr>
          <w:p>
            <w:pPr>
              <w:pStyle w:val="CeldaAPA"/>
              <w:jc w:val="center"/>
            </w:pPr>
            <w:r>
              <w:rPr/>
              <w:t xml:space="preserve">C</w:t>
            </w:r>
          </w:p>
        </w:tc>
      </w:tr>
      <w:tr>
        <w:tc>
          <w:tcPr>
            <w:tcW w:w="3494" w:type="dxa"/>
          </w:tcPr>
          <w:p>
            <w:pPr>
              <w:pStyle w:val="CeldaAPA"/>
              <w:jc w:val="left"/>
            </w:pPr>
            <w:r>
              <w:rPr/>
              <w:t xml:space="preserve">4. Recibir, inspeccionar, almacenar y registrar materiales (PCM-01 y PCM-02)</w:t>
            </w:r>
          </w:p>
        </w:tc>
        <w:tc>
          <w:tcPr>
            <w:tcW w:w="733" w:type="dxa"/>
          </w:tcPr>
          <w:p>
            <w:pPr>
              <w:pStyle w:val="CeldaAPA"/>
              <w:jc w:val="center"/>
            </w:pPr>
            <w:r>
              <w:rPr/>
              <w:t xml:space="preserve">I</w:t>
            </w:r>
          </w:p>
        </w:tc>
        <w:tc>
          <w:tcPr>
            <w:tcW w:w="733" w:type="dxa"/>
          </w:tcPr>
          <w:p>
            <w:pPr>
              <w:pStyle w:val="CeldaAPA"/>
              <w:jc w:val="center"/>
            </w:pPr>
            <w:r>
              <w:rPr/>
              <w:t xml:space="preserve">A</w:t>
            </w:r>
          </w:p>
        </w:tc>
        <w:tc>
          <w:tcPr>
            <w:tcW w:w="733" w:type="dxa"/>
          </w:tcPr>
          <w:p>
            <w:pPr>
              <w:pStyle w:val="CeldaAPA"/>
              <w:jc w:val="center"/>
            </w:pPr>
            <w:r>
              <w:rPr/>
              <w:t xml:space="preserve">R</w:t>
            </w:r>
          </w:p>
        </w:tc>
        <w:tc>
          <w:tcPr>
            <w:tcW w:w="733" w:type="dxa"/>
          </w:tcPr>
          <w:p>
            <w:pPr>
              <w:pStyle w:val="CeldaAPA"/>
              <w:jc w:val="center"/>
            </w:pPr>
            <w:r>
              <w:rPr/>
              <w:t xml:space="preserve">–</w:t>
            </w:r>
          </w:p>
        </w:tc>
        <w:tc>
          <w:tcPr>
            <w:tcW w:w="733" w:type="dxa"/>
          </w:tcPr>
          <w:p>
            <w:pPr>
              <w:pStyle w:val="CeldaAPA"/>
              <w:jc w:val="center"/>
            </w:pPr>
            <w:r>
              <w:rPr/>
              <w:t xml:space="preserve">–</w:t>
            </w:r>
          </w:p>
        </w:tc>
        <w:tc>
          <w:tcPr>
            <w:tcW w:w="733" w:type="dxa"/>
          </w:tcPr>
          <w:p>
            <w:pPr>
              <w:pStyle w:val="CeldaAPA"/>
              <w:jc w:val="center"/>
            </w:pPr>
            <w:r>
              <w:rPr/>
              <w:t xml:space="preserve">I</w:t>
            </w:r>
          </w:p>
        </w:tc>
        <w:tc>
          <w:tcPr>
            <w:tcW w:w="733" w:type="dxa"/>
          </w:tcPr>
          <w:p>
            <w:pPr>
              <w:pStyle w:val="CeldaAPA"/>
              <w:jc w:val="center"/>
            </w:pPr>
            <w:r>
              <w:rPr/>
              <w:t xml:space="preserve">–</w:t>
            </w:r>
          </w:p>
        </w:tc>
        <w:tc>
          <w:tcPr>
            <w:tcW w:w="733" w:type="dxa"/>
          </w:tcPr>
          <w:p>
            <w:pPr>
              <w:pStyle w:val="CeldaAPA"/>
              <w:jc w:val="center"/>
            </w:pPr>
            <w:r>
              <w:rPr/>
              <w:t xml:space="preserve">C</w:t>
            </w:r>
          </w:p>
        </w:tc>
      </w:tr>
      <w:tr>
        <w:tc>
          <w:tcPr>
            <w:tcW w:w="3494" w:type="dxa"/>
          </w:tcPr>
          <w:p>
            <w:pPr>
              <w:pStyle w:val="CeldaAPA"/>
              <w:jc w:val="left"/>
            </w:pPr>
            <w:r>
              <w:rPr/>
              <w:t xml:space="preserve">5. Despachar materiales por paño con vales (PCM-03)</w:t>
            </w:r>
          </w:p>
        </w:tc>
        <w:tc>
          <w:tcPr>
            <w:tcW w:w="733" w:type="dxa"/>
          </w:tcPr>
          <w:p>
            <w:pPr>
              <w:pStyle w:val="CeldaAPA"/>
              <w:jc w:val="center"/>
            </w:pPr>
            <w:r>
              <w:rPr/>
              <w:t xml:space="preserve">–</w:t>
            </w:r>
          </w:p>
        </w:tc>
        <w:tc>
          <w:tcPr>
            <w:tcW w:w="733" w:type="dxa"/>
          </w:tcPr>
          <w:p>
            <w:pPr>
              <w:pStyle w:val="CeldaAPA"/>
              <w:jc w:val="center"/>
            </w:pPr>
            <w:r>
              <w:rPr/>
              <w:t xml:space="preserve">A</w:t>
            </w:r>
          </w:p>
        </w:tc>
        <w:tc>
          <w:tcPr>
            <w:tcW w:w="733" w:type="dxa"/>
          </w:tcPr>
          <w:p>
            <w:pPr>
              <w:pStyle w:val="CeldaAPA"/>
              <w:jc w:val="center"/>
            </w:pPr>
            <w:r>
              <w:rPr/>
              <w:t xml:space="preserve">R</w:t>
            </w:r>
          </w:p>
        </w:tc>
        <w:tc>
          <w:tcPr>
            <w:tcW w:w="733" w:type="dxa"/>
          </w:tcPr>
          <w:p>
            <w:pPr>
              <w:pStyle w:val="CeldaAPA"/>
              <w:jc w:val="center"/>
            </w:pPr>
            <w:r>
              <w:rPr/>
              <w:t xml:space="preserve">R</w:t>
            </w:r>
          </w:p>
        </w:tc>
        <w:tc>
          <w:tcPr>
            <w:tcW w:w="733" w:type="dxa"/>
          </w:tcPr>
          <w:p>
            <w:pPr>
              <w:pStyle w:val="CeldaAPA"/>
              <w:jc w:val="center"/>
            </w:pPr>
            <w:r>
              <w:rPr/>
              <w:t xml:space="preserve">–</w:t>
            </w:r>
          </w:p>
        </w:tc>
        <w:tc>
          <w:tcPr>
            <w:tcW w:w="733" w:type="dxa"/>
          </w:tcPr>
          <w:p>
            <w:pPr>
              <w:pStyle w:val="CeldaAPA"/>
              <w:jc w:val="center"/>
            </w:pPr>
            <w:r>
              <w:rPr/>
              <w:t xml:space="preserve">–</w:t>
            </w:r>
          </w:p>
        </w:tc>
        <w:tc>
          <w:tcPr>
            <w:tcW w:w="733" w:type="dxa"/>
          </w:tcPr>
          <w:p>
            <w:pPr>
              <w:pStyle w:val="CeldaAPA"/>
              <w:jc w:val="center"/>
            </w:pPr>
            <w:r>
              <w:rPr/>
              <w:t xml:space="preserve">–</w:t>
            </w:r>
          </w:p>
        </w:tc>
        <w:tc>
          <w:tcPr>
            <w:tcW w:w="733" w:type="dxa"/>
          </w:tcPr>
          <w:p>
            <w:pPr>
              <w:pStyle w:val="CeldaAPA"/>
              <w:jc w:val="center"/>
            </w:pPr>
            <w:r>
              <w:rPr/>
              <w:t xml:space="preserve">–</w:t>
            </w:r>
          </w:p>
        </w:tc>
      </w:tr>
      <w:tr>
        <w:tc>
          <w:tcPr>
            <w:tcW w:w="3494" w:type="dxa"/>
          </w:tcPr>
          <w:p>
            <w:pPr>
              <w:pStyle w:val="CeldaAPA"/>
              <w:jc w:val="left"/>
            </w:pPr>
            <w:r>
              <w:rPr/>
              <w:t xml:space="preserve">6. Ejecutar apuntalamiento, viguetas, EPS, armado e instalaciones</w:t>
            </w:r>
          </w:p>
        </w:tc>
        <w:tc>
          <w:tcPr>
            <w:tcW w:w="733" w:type="dxa"/>
          </w:tcPr>
          <w:p>
            <w:pPr>
              <w:pStyle w:val="CeldaAPA"/>
              <w:jc w:val="center"/>
            </w:pPr>
            <w:r>
              <w:rPr/>
              <w:t xml:space="preserve">I</w:t>
            </w:r>
          </w:p>
        </w:tc>
        <w:tc>
          <w:tcPr>
            <w:tcW w:w="733" w:type="dxa"/>
          </w:tcPr>
          <w:p>
            <w:pPr>
              <w:pStyle w:val="CeldaAPA"/>
              <w:jc w:val="center"/>
            </w:pPr>
            <w:r>
              <w:rPr/>
              <w:t xml:space="preserve">A</w:t>
            </w:r>
          </w:p>
        </w:tc>
        <w:tc>
          <w:tcPr>
            <w:tcW w:w="733" w:type="dxa"/>
          </w:tcPr>
          <w:p>
            <w:pPr>
              <w:pStyle w:val="CeldaAPA"/>
              <w:jc w:val="center"/>
            </w:pPr>
            <w:r>
              <w:rPr/>
              <w:t xml:space="preserve">–</w:t>
            </w:r>
          </w:p>
        </w:tc>
        <w:tc>
          <w:tcPr>
            <w:tcW w:w="733" w:type="dxa"/>
          </w:tcPr>
          <w:p>
            <w:pPr>
              <w:pStyle w:val="CeldaAPA"/>
              <w:jc w:val="center"/>
            </w:pPr>
            <w:r>
              <w:rPr/>
              <w:t xml:space="preserve">R</w:t>
            </w:r>
          </w:p>
        </w:tc>
        <w:tc>
          <w:tcPr>
            <w:tcW w:w="733" w:type="dxa"/>
          </w:tcPr>
          <w:p>
            <w:pPr>
              <w:pStyle w:val="CeldaAPA"/>
              <w:jc w:val="center"/>
            </w:pPr>
            <w:r>
              <w:rPr/>
              <w:t xml:space="preserve">–</w:t>
            </w:r>
          </w:p>
        </w:tc>
        <w:tc>
          <w:tcPr>
            <w:tcW w:w="733" w:type="dxa"/>
          </w:tcPr>
          <w:p>
            <w:pPr>
              <w:pStyle w:val="CeldaAPA"/>
              <w:jc w:val="center"/>
            </w:pPr>
            <w:r>
              <w:rPr/>
              <w:t xml:space="preserve">I</w:t>
            </w:r>
          </w:p>
        </w:tc>
        <w:tc>
          <w:tcPr>
            <w:tcW w:w="733" w:type="dxa"/>
          </w:tcPr>
          <w:p>
            <w:pPr>
              <w:pStyle w:val="CeldaAPA"/>
              <w:jc w:val="center"/>
            </w:pPr>
            <w:r>
              <w:rPr/>
              <w:t xml:space="preserve">–</w:t>
            </w:r>
          </w:p>
        </w:tc>
        <w:tc>
          <w:tcPr>
            <w:tcW w:w="733" w:type="dxa"/>
          </w:tcPr>
          <w:p>
            <w:pPr>
              <w:pStyle w:val="CeldaAPA"/>
              <w:jc w:val="center"/>
            </w:pPr>
            <w:r>
              <w:rPr/>
              <w:t xml:space="preserve">C</w:t>
            </w:r>
          </w:p>
        </w:tc>
      </w:tr>
      <w:tr>
        <w:tc>
          <w:tcPr>
            <w:tcW w:w="3494" w:type="dxa"/>
          </w:tcPr>
          <w:p>
            <w:pPr>
              <w:pStyle w:val="CeldaAPA"/>
              <w:jc w:val="left"/>
            </w:pPr>
            <w:r>
              <w:rPr/>
              <w:t xml:space="preserve">7. Inspeccionar y liberar el paño en los puntos de espera</w:t>
            </w:r>
          </w:p>
        </w:tc>
        <w:tc>
          <w:tcPr>
            <w:tcW w:w="733" w:type="dxa"/>
          </w:tcPr>
          <w:p>
            <w:pPr>
              <w:pStyle w:val="CeldaAPA"/>
              <w:jc w:val="center"/>
            </w:pPr>
            <w:r>
              <w:rPr/>
              <w:t xml:space="preserve">I</w:t>
            </w:r>
          </w:p>
        </w:tc>
        <w:tc>
          <w:tcPr>
            <w:tcW w:w="733" w:type="dxa"/>
          </w:tcPr>
          <w:p>
            <w:pPr>
              <w:pStyle w:val="CeldaAPA"/>
              <w:jc w:val="center"/>
            </w:pPr>
            <w:r>
              <w:rPr/>
              <w:t xml:space="preserve">R</w:t>
            </w:r>
          </w:p>
        </w:tc>
        <w:tc>
          <w:tcPr>
            <w:tcW w:w="733" w:type="dxa"/>
          </w:tcPr>
          <w:p>
            <w:pPr>
              <w:pStyle w:val="CeldaAPA"/>
              <w:jc w:val="center"/>
            </w:pPr>
            <w:r>
              <w:rPr/>
              <w:t xml:space="preserve">–</w:t>
            </w:r>
          </w:p>
        </w:tc>
        <w:tc>
          <w:tcPr>
            <w:tcW w:w="733" w:type="dxa"/>
          </w:tcPr>
          <w:p>
            <w:pPr>
              <w:pStyle w:val="CeldaAPA"/>
              <w:jc w:val="center"/>
            </w:pPr>
            <w:r>
              <w:rPr/>
              <w:t xml:space="preserve">C</w:t>
            </w:r>
          </w:p>
        </w:tc>
        <w:tc>
          <w:tcPr>
            <w:tcW w:w="733" w:type="dxa"/>
          </w:tcPr>
          <w:p>
            <w:pPr>
              <w:pStyle w:val="CeldaAPA"/>
              <w:jc w:val="center"/>
            </w:pPr>
            <w:r>
              <w:rPr/>
              <w:t xml:space="preserve">–</w:t>
            </w:r>
          </w:p>
        </w:tc>
        <w:tc>
          <w:tcPr>
            <w:tcW w:w="733" w:type="dxa"/>
          </w:tcPr>
          <w:p>
            <w:pPr>
              <w:pStyle w:val="CeldaAPA"/>
              <w:jc w:val="center"/>
            </w:pPr>
            <w:r>
              <w:rPr/>
              <w:t xml:space="preserve">A</w:t>
            </w:r>
          </w:p>
        </w:tc>
        <w:tc>
          <w:tcPr>
            <w:tcW w:w="733" w:type="dxa"/>
          </w:tcPr>
          <w:p>
            <w:pPr>
              <w:pStyle w:val="CeldaAPA"/>
              <w:jc w:val="center"/>
            </w:pPr>
            <w:r>
              <w:rPr/>
              <w:t xml:space="preserve">I</w:t>
            </w:r>
          </w:p>
        </w:tc>
        <w:tc>
          <w:tcPr>
            <w:tcW w:w="733" w:type="dxa"/>
          </w:tcPr>
          <w:p>
            <w:pPr>
              <w:pStyle w:val="CeldaAPA"/>
              <w:jc w:val="center"/>
            </w:pPr>
            <w:r>
              <w:rPr/>
              <w:t xml:space="preserve">–</w:t>
            </w:r>
          </w:p>
        </w:tc>
      </w:tr>
      <w:tr>
        <w:tc>
          <w:tcPr>
            <w:tcW w:w="3494" w:type="dxa"/>
          </w:tcPr>
          <w:p>
            <w:pPr>
              <w:pStyle w:val="CeldaAPA"/>
              <w:jc w:val="left"/>
            </w:pPr>
            <w:r>
              <w:rPr/>
              <w:t xml:space="preserve">8. Dosificar, mezclar, vaciar, vibrar y curar el hormigón; desapuntalar</w:t>
            </w:r>
          </w:p>
        </w:tc>
        <w:tc>
          <w:tcPr>
            <w:tcW w:w="733" w:type="dxa"/>
          </w:tcPr>
          <w:p>
            <w:pPr>
              <w:pStyle w:val="CeldaAPA"/>
              <w:jc w:val="center"/>
            </w:pPr>
            <w:r>
              <w:rPr/>
              <w:t xml:space="preserve">I</w:t>
            </w:r>
          </w:p>
        </w:tc>
        <w:tc>
          <w:tcPr>
            <w:tcW w:w="733" w:type="dxa"/>
          </w:tcPr>
          <w:p>
            <w:pPr>
              <w:pStyle w:val="CeldaAPA"/>
              <w:jc w:val="center"/>
            </w:pPr>
            <w:r>
              <w:rPr/>
              <w:t xml:space="preserve">A</w:t>
            </w:r>
          </w:p>
        </w:tc>
        <w:tc>
          <w:tcPr>
            <w:tcW w:w="733" w:type="dxa"/>
          </w:tcPr>
          <w:p>
            <w:pPr>
              <w:pStyle w:val="CeldaAPA"/>
              <w:jc w:val="center"/>
            </w:pPr>
            <w:r>
              <w:rPr/>
              <w:t xml:space="preserve">C</w:t>
            </w:r>
          </w:p>
        </w:tc>
        <w:tc>
          <w:tcPr>
            <w:tcW w:w="733" w:type="dxa"/>
          </w:tcPr>
          <w:p>
            <w:pPr>
              <w:pStyle w:val="CeldaAPA"/>
              <w:jc w:val="center"/>
            </w:pPr>
            <w:r>
              <w:rPr/>
              <w:t xml:space="preserve">R</w:t>
            </w:r>
          </w:p>
        </w:tc>
        <w:tc>
          <w:tcPr>
            <w:tcW w:w="733" w:type="dxa"/>
          </w:tcPr>
          <w:p>
            <w:pPr>
              <w:pStyle w:val="CeldaAPA"/>
              <w:jc w:val="center"/>
            </w:pPr>
            <w:r>
              <w:rPr/>
              <w:t xml:space="preserve">C</w:t>
            </w:r>
          </w:p>
        </w:tc>
        <w:tc>
          <w:tcPr>
            <w:tcW w:w="733" w:type="dxa"/>
          </w:tcPr>
          <w:p>
            <w:pPr>
              <w:pStyle w:val="CeldaAPA"/>
              <w:jc w:val="center"/>
            </w:pPr>
            <w:r>
              <w:rPr/>
              <w:t xml:space="preserve">I</w:t>
            </w:r>
          </w:p>
        </w:tc>
        <w:tc>
          <w:tcPr>
            <w:tcW w:w="733" w:type="dxa"/>
          </w:tcPr>
          <w:p>
            <w:pPr>
              <w:pStyle w:val="CeldaAPA"/>
              <w:jc w:val="center"/>
            </w:pPr>
            <w:r>
              <w:rPr/>
              <w:t xml:space="preserve">–</w:t>
            </w:r>
          </w:p>
        </w:tc>
        <w:tc>
          <w:tcPr>
            <w:tcW w:w="733" w:type="dxa"/>
          </w:tcPr>
          <w:p>
            <w:pPr>
              <w:pStyle w:val="CeldaAPA"/>
              <w:jc w:val="center"/>
            </w:pPr>
            <w:r>
              <w:rPr/>
              <w:t xml:space="preserve">–</w:t>
            </w:r>
          </w:p>
        </w:tc>
      </w:tr>
      <w:tr>
        <w:tc>
          <w:tcPr>
            <w:tcW w:w="3494" w:type="dxa"/>
          </w:tcPr>
          <w:p>
            <w:pPr>
              <w:pStyle w:val="CeldaAPA"/>
              <w:jc w:val="left"/>
            </w:pPr>
            <w:r>
              <w:rPr/>
              <w:t xml:space="preserve">9. Muestrear el hormigón, elaborar y ensayar las probetas e informar</w:t>
            </w:r>
          </w:p>
        </w:tc>
        <w:tc>
          <w:tcPr>
            <w:tcW w:w="733" w:type="dxa"/>
          </w:tcPr>
          <w:p>
            <w:pPr>
              <w:pStyle w:val="CeldaAPA"/>
              <w:jc w:val="center"/>
            </w:pPr>
            <w:r>
              <w:rPr/>
              <w:t xml:space="preserve">I</w:t>
            </w:r>
          </w:p>
        </w:tc>
        <w:tc>
          <w:tcPr>
            <w:tcW w:w="733" w:type="dxa"/>
          </w:tcPr>
          <w:p>
            <w:pPr>
              <w:pStyle w:val="CeldaAPA"/>
              <w:jc w:val="center"/>
            </w:pPr>
            <w:r>
              <w:rPr/>
              <w:t xml:space="preserve">C</w:t>
            </w:r>
          </w:p>
        </w:tc>
        <w:tc>
          <w:tcPr>
            <w:tcW w:w="733" w:type="dxa"/>
          </w:tcPr>
          <w:p>
            <w:pPr>
              <w:pStyle w:val="CeldaAPA"/>
              <w:jc w:val="center"/>
            </w:pPr>
            <w:r>
              <w:rPr/>
              <w:t xml:space="preserve">–</w:t>
            </w:r>
          </w:p>
        </w:tc>
        <w:tc>
          <w:tcPr>
            <w:tcW w:w="733" w:type="dxa"/>
          </w:tcPr>
          <w:p>
            <w:pPr>
              <w:pStyle w:val="CeldaAPA"/>
              <w:jc w:val="center"/>
            </w:pPr>
            <w:r>
              <w:rPr/>
              <w:t xml:space="preserve">–</w:t>
            </w:r>
          </w:p>
        </w:tc>
        <w:tc>
          <w:tcPr>
            <w:tcW w:w="733" w:type="dxa"/>
          </w:tcPr>
          <w:p>
            <w:pPr>
              <w:pStyle w:val="CeldaAPA"/>
              <w:jc w:val="center"/>
            </w:pPr>
            <w:r>
              <w:rPr/>
              <w:t xml:space="preserve">R</w:t>
            </w:r>
          </w:p>
        </w:tc>
        <w:tc>
          <w:tcPr>
            <w:tcW w:w="733" w:type="dxa"/>
          </w:tcPr>
          <w:p>
            <w:pPr>
              <w:pStyle w:val="CeldaAPA"/>
              <w:jc w:val="center"/>
            </w:pPr>
            <w:r>
              <w:rPr/>
              <w:t xml:space="preserve">A</w:t>
            </w:r>
          </w:p>
        </w:tc>
        <w:tc>
          <w:tcPr>
            <w:tcW w:w="733" w:type="dxa"/>
          </w:tcPr>
          <w:p>
            <w:pPr>
              <w:pStyle w:val="CeldaAPA"/>
              <w:jc w:val="center"/>
            </w:pPr>
            <w:r>
              <w:rPr/>
              <w:t xml:space="preserve">I</w:t>
            </w:r>
          </w:p>
        </w:tc>
        <w:tc>
          <w:tcPr>
            <w:tcW w:w="733" w:type="dxa"/>
          </w:tcPr>
          <w:p>
            <w:pPr>
              <w:pStyle w:val="CeldaAPA"/>
              <w:jc w:val="center"/>
            </w:pPr>
            <w:r>
              <w:rPr/>
              <w:t xml:space="preserve">–</w:t>
            </w:r>
          </w:p>
        </w:tc>
      </w:tr>
      <w:tr>
        <w:tc>
          <w:tcPr>
            <w:tcW w:w="3494" w:type="dxa"/>
          </w:tcPr>
          <w:p>
            <w:pPr>
              <w:pStyle w:val="CeldaAPA"/>
              <w:jc w:val="left"/>
            </w:pPr>
            <w:r>
              <w:rPr/>
              <w:t xml:space="preserve">10. Conciliar cantidades por paño y por planilla (PCM-04)</w:t>
            </w:r>
          </w:p>
        </w:tc>
        <w:tc>
          <w:tcPr>
            <w:tcW w:w="733" w:type="dxa"/>
          </w:tcPr>
          <w:p>
            <w:pPr>
              <w:pStyle w:val="CeldaAPA"/>
              <w:jc w:val="center"/>
            </w:pPr>
            <w:r>
              <w:rPr/>
              <w:t xml:space="preserve">A</w:t>
            </w:r>
          </w:p>
        </w:tc>
        <w:tc>
          <w:tcPr>
            <w:tcW w:w="733" w:type="dxa"/>
          </w:tcPr>
          <w:p>
            <w:pPr>
              <w:pStyle w:val="CeldaAPA"/>
              <w:jc w:val="center"/>
            </w:pPr>
            <w:r>
              <w:rPr/>
              <w:t xml:space="preserve">R</w:t>
            </w:r>
          </w:p>
        </w:tc>
        <w:tc>
          <w:tcPr>
            <w:tcW w:w="733" w:type="dxa"/>
          </w:tcPr>
          <w:p>
            <w:pPr>
              <w:pStyle w:val="CeldaAPA"/>
              <w:jc w:val="center"/>
            </w:pPr>
            <w:r>
              <w:rPr/>
              <w:t xml:space="preserve">C</w:t>
            </w:r>
          </w:p>
        </w:tc>
        <w:tc>
          <w:tcPr>
            <w:tcW w:w="733" w:type="dxa"/>
          </w:tcPr>
          <w:p>
            <w:pPr>
              <w:pStyle w:val="CeldaAPA"/>
              <w:jc w:val="center"/>
            </w:pPr>
            <w:r>
              <w:rPr/>
              <w:t xml:space="preserve">C</w:t>
            </w:r>
          </w:p>
        </w:tc>
        <w:tc>
          <w:tcPr>
            <w:tcW w:w="733" w:type="dxa"/>
          </w:tcPr>
          <w:p>
            <w:pPr>
              <w:pStyle w:val="CeldaAPA"/>
              <w:jc w:val="center"/>
            </w:pPr>
            <w:r>
              <w:rPr/>
              <w:t xml:space="preserve">–</w:t>
            </w:r>
          </w:p>
        </w:tc>
        <w:tc>
          <w:tcPr>
            <w:tcW w:w="733" w:type="dxa"/>
          </w:tcPr>
          <w:p>
            <w:pPr>
              <w:pStyle w:val="CeldaAPA"/>
              <w:jc w:val="center"/>
            </w:pPr>
            <w:r>
              <w:rPr/>
              <w:t xml:space="preserve">C</w:t>
            </w:r>
          </w:p>
        </w:tc>
        <w:tc>
          <w:tcPr>
            <w:tcW w:w="733" w:type="dxa"/>
          </w:tcPr>
          <w:p>
            <w:pPr>
              <w:pStyle w:val="CeldaAPA"/>
              <w:jc w:val="center"/>
            </w:pPr>
            <w:r>
              <w:rPr/>
              <w:t xml:space="preserve">I</w:t>
            </w:r>
          </w:p>
        </w:tc>
        <w:tc>
          <w:tcPr>
            <w:tcW w:w="733" w:type="dxa"/>
          </w:tcPr>
          <w:p>
            <w:pPr>
              <w:pStyle w:val="CeldaAPA"/>
              <w:jc w:val="center"/>
            </w:pPr>
            <w:r>
              <w:rPr/>
              <w:t xml:space="preserve">–</w:t>
            </w:r>
          </w:p>
        </w:tc>
      </w:tr>
      <w:tr>
        <w:tc>
          <w:tcPr>
            <w:tcW w:w="3494" w:type="dxa"/>
          </w:tcPr>
          <w:p>
            <w:pPr>
              <w:pStyle w:val="CeldaAPA"/>
              <w:jc w:val="left"/>
            </w:pPr>
            <w:r>
              <w:rPr/>
              <w:t xml:space="preserve">11. Revisar y aprobar la planilla de avance</w:t>
            </w:r>
          </w:p>
        </w:tc>
        <w:tc>
          <w:tcPr>
            <w:tcW w:w="733" w:type="dxa"/>
          </w:tcPr>
          <w:p>
            <w:pPr>
              <w:pStyle w:val="CeldaAPA"/>
              <w:jc w:val="center"/>
            </w:pPr>
            <w:r>
              <w:rPr/>
              <w:t xml:space="preserve">C</w:t>
            </w:r>
          </w:p>
        </w:tc>
        <w:tc>
          <w:tcPr>
            <w:tcW w:w="733" w:type="dxa"/>
          </w:tcPr>
          <w:p>
            <w:pPr>
              <w:pStyle w:val="CeldaAPA"/>
              <w:jc w:val="center"/>
            </w:pPr>
            <w:r>
              <w:rPr/>
              <w:t xml:space="preserve">C</w:t>
            </w:r>
          </w:p>
        </w:tc>
        <w:tc>
          <w:tcPr>
            <w:tcW w:w="733" w:type="dxa"/>
          </w:tcPr>
          <w:p>
            <w:pPr>
              <w:pStyle w:val="CeldaAPA"/>
              <w:jc w:val="center"/>
            </w:pPr>
            <w:r>
              <w:rPr/>
              <w:t xml:space="preserve">–</w:t>
            </w:r>
          </w:p>
        </w:tc>
        <w:tc>
          <w:tcPr>
            <w:tcW w:w="733" w:type="dxa"/>
          </w:tcPr>
          <w:p>
            <w:pPr>
              <w:pStyle w:val="CeldaAPA"/>
              <w:jc w:val="center"/>
            </w:pPr>
            <w:r>
              <w:rPr/>
              <w:t xml:space="preserve">–</w:t>
            </w:r>
          </w:p>
        </w:tc>
        <w:tc>
          <w:tcPr>
            <w:tcW w:w="733" w:type="dxa"/>
          </w:tcPr>
          <w:p>
            <w:pPr>
              <w:pStyle w:val="CeldaAPA"/>
              <w:jc w:val="center"/>
            </w:pPr>
            <w:r>
              <w:rPr/>
              <w:t xml:space="preserve">–</w:t>
            </w:r>
          </w:p>
        </w:tc>
        <w:tc>
          <w:tcPr>
            <w:tcW w:w="733" w:type="dxa"/>
          </w:tcPr>
          <w:p>
            <w:pPr>
              <w:pStyle w:val="CeldaAPA"/>
              <w:jc w:val="center"/>
            </w:pPr>
            <w:r>
              <w:rPr/>
              <w:t xml:space="preserve">R</w:t>
            </w:r>
          </w:p>
        </w:tc>
        <w:tc>
          <w:tcPr>
            <w:tcW w:w="733" w:type="dxa"/>
          </w:tcPr>
          <w:p>
            <w:pPr>
              <w:pStyle w:val="CeldaAPA"/>
              <w:jc w:val="center"/>
            </w:pPr>
            <w:r>
              <w:rPr/>
              <w:t xml:space="preserve">A</w:t>
            </w:r>
          </w:p>
        </w:tc>
        <w:tc>
          <w:tcPr>
            <w:tcW w:w="733" w:type="dxa"/>
          </w:tcPr>
          <w:p>
            <w:pPr>
              <w:pStyle w:val="CeldaAPA"/>
              <w:jc w:val="center"/>
            </w:pPr>
            <w:r>
              <w:rPr/>
              <w:t xml:space="preserve">–</w:t>
            </w:r>
          </w:p>
        </w:tc>
      </w:tr>
      <w:tr>
        <w:tc>
          <w:tcPr>
            <w:tcW w:w="3494" w:type="dxa"/>
          </w:tcPr>
          <w:p>
            <w:pPr>
              <w:pStyle w:val="CeldaAPA"/>
              <w:jc w:val="left"/>
            </w:pPr>
            <w:r>
              <w:rPr/>
              <w:t xml:space="preserve">12. Tratar el material no conforme y las no conformidades (PCM-05; acción correctiva)</w:t>
            </w:r>
          </w:p>
        </w:tc>
        <w:tc>
          <w:tcPr>
            <w:tcW w:w="733" w:type="dxa"/>
          </w:tcPr>
          <w:p>
            <w:pPr>
              <w:pStyle w:val="CeldaAPA"/>
              <w:jc w:val="center"/>
            </w:pPr>
            <w:r>
              <w:rPr/>
              <w:t xml:space="preserve">A</w:t>
            </w:r>
          </w:p>
        </w:tc>
        <w:tc>
          <w:tcPr>
            <w:tcW w:w="733" w:type="dxa"/>
          </w:tcPr>
          <w:p>
            <w:pPr>
              <w:pStyle w:val="CeldaAPA"/>
              <w:jc w:val="center"/>
            </w:pPr>
            <w:r>
              <w:rPr/>
              <w:t xml:space="preserve">R</w:t>
            </w:r>
          </w:p>
        </w:tc>
        <w:tc>
          <w:tcPr>
            <w:tcW w:w="733" w:type="dxa"/>
          </w:tcPr>
          <w:p>
            <w:pPr>
              <w:pStyle w:val="CeldaAPA"/>
              <w:jc w:val="center"/>
            </w:pPr>
            <w:r>
              <w:rPr/>
              <w:t xml:space="preserve">C</w:t>
            </w:r>
          </w:p>
        </w:tc>
        <w:tc>
          <w:tcPr>
            <w:tcW w:w="733" w:type="dxa"/>
          </w:tcPr>
          <w:p>
            <w:pPr>
              <w:pStyle w:val="CeldaAPA"/>
              <w:jc w:val="center"/>
            </w:pPr>
            <w:r>
              <w:rPr/>
              <w:t xml:space="preserve">C</w:t>
            </w:r>
          </w:p>
        </w:tc>
        <w:tc>
          <w:tcPr>
            <w:tcW w:w="733" w:type="dxa"/>
          </w:tcPr>
          <w:p>
            <w:pPr>
              <w:pStyle w:val="CeldaAPA"/>
              <w:jc w:val="center"/>
            </w:pPr>
            <w:r>
              <w:rPr/>
              <w:t xml:space="preserve">C</w:t>
            </w:r>
          </w:p>
        </w:tc>
        <w:tc>
          <w:tcPr>
            <w:tcW w:w="733" w:type="dxa"/>
          </w:tcPr>
          <w:p>
            <w:pPr>
              <w:pStyle w:val="CeldaAPA"/>
              <w:jc w:val="center"/>
            </w:pPr>
            <w:r>
              <w:rPr/>
              <w:t xml:space="preserve">C</w:t>
            </w:r>
          </w:p>
        </w:tc>
        <w:tc>
          <w:tcPr>
            <w:tcW w:w="733" w:type="dxa"/>
          </w:tcPr>
          <w:p>
            <w:pPr>
              <w:pStyle w:val="CeldaAPA"/>
              <w:jc w:val="center"/>
            </w:pPr>
            <w:r>
              <w:rPr/>
              <w:t xml:space="preserve">I</w:t>
            </w:r>
          </w:p>
        </w:tc>
        <w:tc>
          <w:tcPr>
            <w:tcW w:w="733" w:type="dxa"/>
          </w:tcPr>
          <w:p>
            <w:pPr>
              <w:pStyle w:val="CeldaAPA"/>
              <w:jc w:val="center"/>
            </w:pPr>
            <w:r>
              <w:rPr/>
              <w:t xml:space="preserve">C</w:t>
            </w:r>
          </w:p>
        </w:tc>
      </w:tr>
      <w:tr>
        <w:tc>
          <w:tcPr>
            <w:tcW w:w="3494" w:type="dxa"/>
          </w:tcPr>
          <w:p>
            <w:pPr>
              <w:pStyle w:val="CeldaAPA"/>
              <w:jc w:val="left"/>
            </w:pPr>
            <w:r>
              <w:rPr/>
              <w:t xml:space="preserve">13. Registrar los costos de la calidad (PAF)</w:t>
            </w:r>
          </w:p>
        </w:tc>
        <w:tc>
          <w:tcPr>
            <w:tcW w:w="733" w:type="dxa"/>
          </w:tcPr>
          <w:p>
            <w:pPr>
              <w:pStyle w:val="CeldaAPA"/>
              <w:jc w:val="center"/>
            </w:pPr>
            <w:r>
              <w:rPr/>
              <w:t xml:space="preserve">A</w:t>
            </w:r>
          </w:p>
        </w:tc>
        <w:tc>
          <w:tcPr>
            <w:tcW w:w="733" w:type="dxa"/>
          </w:tcPr>
          <w:p>
            <w:pPr>
              <w:pStyle w:val="CeldaAPA"/>
              <w:jc w:val="center"/>
            </w:pPr>
            <w:r>
              <w:rPr/>
              <w:t xml:space="preserve">R</w:t>
            </w:r>
          </w:p>
        </w:tc>
        <w:tc>
          <w:tcPr>
            <w:tcW w:w="733" w:type="dxa"/>
          </w:tcPr>
          <w:p>
            <w:pPr>
              <w:pStyle w:val="CeldaAPA"/>
              <w:jc w:val="center"/>
            </w:pPr>
            <w:r>
              <w:rPr/>
              <w:t xml:space="preserve">C</w:t>
            </w:r>
          </w:p>
        </w:tc>
        <w:tc>
          <w:tcPr>
            <w:tcW w:w="733" w:type="dxa"/>
          </w:tcPr>
          <w:p>
            <w:pPr>
              <w:pStyle w:val="CeldaAPA"/>
              <w:jc w:val="center"/>
            </w:pPr>
            <w:r>
              <w:rPr/>
              <w:t xml:space="preserve">–</w:t>
            </w:r>
          </w:p>
        </w:tc>
        <w:tc>
          <w:tcPr>
            <w:tcW w:w="733" w:type="dxa"/>
          </w:tcPr>
          <w:p>
            <w:pPr>
              <w:pStyle w:val="CeldaAPA"/>
              <w:jc w:val="center"/>
            </w:pPr>
            <w:r>
              <w:rPr/>
              <w:t xml:space="preserve">–</w:t>
            </w:r>
          </w:p>
        </w:tc>
        <w:tc>
          <w:tcPr>
            <w:tcW w:w="733" w:type="dxa"/>
          </w:tcPr>
          <w:p>
            <w:pPr>
              <w:pStyle w:val="CeldaAPA"/>
              <w:jc w:val="center"/>
            </w:pPr>
            <w:r>
              <w:rPr/>
              <w:t xml:space="preserve">–</w:t>
            </w:r>
          </w:p>
        </w:tc>
        <w:tc>
          <w:tcPr>
            <w:tcW w:w="733" w:type="dxa"/>
          </w:tcPr>
          <w:p>
            <w:pPr>
              <w:pStyle w:val="CeldaAPA"/>
              <w:jc w:val="center"/>
            </w:pPr>
            <w:r>
              <w:rPr/>
              <w:t xml:space="preserve">I</w:t>
            </w:r>
          </w:p>
        </w:tc>
        <w:tc>
          <w:tcPr>
            <w:tcW w:w="733" w:type="dxa"/>
          </w:tcPr>
          <w:p>
            <w:pPr>
              <w:pStyle w:val="CeldaAPA"/>
              <w:jc w:val="center"/>
            </w:pPr>
            <w:r>
              <w:rPr/>
              <w:t xml:space="preserve">–</w:t>
            </w:r>
          </w:p>
        </w:tc>
      </w:tr>
      <w:tr>
        <w:tc>
          <w:tcPr>
            <w:tcW w:w="3494" w:type="dxa"/>
          </w:tcPr>
          <w:p>
            <w:pPr>
              <w:pStyle w:val="CeldaAPA"/>
              <w:jc w:val="left"/>
            </w:pPr>
            <w:r>
              <w:rPr/>
              <w:t xml:space="preserve">14. Atender consultas técnicas (p. ej., complemento EPS)</w:t>
            </w:r>
          </w:p>
        </w:tc>
        <w:tc>
          <w:tcPr>
            <w:tcW w:w="733" w:type="dxa"/>
          </w:tcPr>
          <w:p>
            <w:pPr>
              <w:pStyle w:val="CeldaAPA"/>
              <w:jc w:val="center"/>
            </w:pPr>
            <w:r>
              <w:rPr/>
              <w:t xml:space="preserve">C</w:t>
            </w:r>
          </w:p>
        </w:tc>
        <w:tc>
          <w:tcPr>
            <w:tcW w:w="733" w:type="dxa"/>
          </w:tcPr>
          <w:p>
            <w:pPr>
              <w:pStyle w:val="CeldaAPA"/>
              <w:jc w:val="center"/>
            </w:pPr>
            <w:r>
              <w:rPr/>
              <w:t xml:space="preserve">R</w:t>
            </w:r>
          </w:p>
        </w:tc>
        <w:tc>
          <w:tcPr>
            <w:tcW w:w="733" w:type="dxa"/>
          </w:tcPr>
          <w:p>
            <w:pPr>
              <w:pStyle w:val="CeldaAPA"/>
              <w:jc w:val="center"/>
            </w:pPr>
            <w:r>
              <w:rPr/>
              <w:t xml:space="preserve">–</w:t>
            </w:r>
          </w:p>
        </w:tc>
        <w:tc>
          <w:tcPr>
            <w:tcW w:w="733" w:type="dxa"/>
          </w:tcPr>
          <w:p>
            <w:pPr>
              <w:pStyle w:val="CeldaAPA"/>
              <w:jc w:val="center"/>
            </w:pPr>
            <w:r>
              <w:rPr/>
              <w:t xml:space="preserve">–</w:t>
            </w:r>
          </w:p>
        </w:tc>
        <w:tc>
          <w:tcPr>
            <w:tcW w:w="733" w:type="dxa"/>
          </w:tcPr>
          <w:p>
            <w:pPr>
              <w:pStyle w:val="CeldaAPA"/>
              <w:jc w:val="center"/>
            </w:pPr>
            <w:r>
              <w:rPr/>
              <w:t xml:space="preserve">–</w:t>
            </w:r>
          </w:p>
        </w:tc>
        <w:tc>
          <w:tcPr>
            <w:tcW w:w="733" w:type="dxa"/>
          </w:tcPr>
          <w:p>
            <w:pPr>
              <w:pStyle w:val="CeldaAPA"/>
              <w:jc w:val="center"/>
            </w:pPr>
            <w:r>
              <w:rPr/>
              <w:t xml:space="preserve">A</w:t>
            </w:r>
          </w:p>
        </w:tc>
        <w:tc>
          <w:tcPr>
            <w:tcW w:w="733" w:type="dxa"/>
          </w:tcPr>
          <w:p>
            <w:pPr>
              <w:pStyle w:val="CeldaAPA"/>
              <w:jc w:val="center"/>
            </w:pPr>
            <w:r>
              <w:rPr/>
              <w:t xml:space="preserve">I</w:t>
            </w:r>
          </w:p>
        </w:tc>
        <w:tc>
          <w:tcPr>
            <w:tcW w:w="733" w:type="dxa"/>
          </w:tcPr>
          <w:p>
            <w:pPr>
              <w:pStyle w:val="CeldaAPA"/>
              <w:jc w:val="center"/>
            </w:pPr>
            <w:r>
              <w:rPr/>
              <w:t xml:space="preserve">C</w:t>
            </w:r>
          </w:p>
        </w:tc>
      </w:tr>
      <w:tr>
        <w:tc>
          <w:tcPr>
            <w:tcW w:w="3494" w:type="dxa"/>
          </w:tcPr>
          <w:p>
            <w:pPr>
              <w:pStyle w:val="CeldaAPA"/>
              <w:jc w:val="left"/>
            </w:pPr>
            <w:r>
              <w:rPr/>
              <w:t xml:space="preserve">15. Aprobar órdenes de cambio o modificaciones con efecto en cantidades o monto</w:t>
            </w:r>
          </w:p>
        </w:tc>
        <w:tc>
          <w:tcPr>
            <w:tcW w:w="733" w:type="dxa"/>
          </w:tcPr>
          <w:p>
            <w:pPr>
              <w:pStyle w:val="CeldaAPA"/>
              <w:jc w:val="center"/>
            </w:pPr>
            <w:r>
              <w:rPr/>
              <w:t xml:space="preserve">C</w:t>
            </w:r>
          </w:p>
        </w:tc>
        <w:tc>
          <w:tcPr>
            <w:tcW w:w="733" w:type="dxa"/>
          </w:tcPr>
          <w:p>
            <w:pPr>
              <w:pStyle w:val="CeldaAPA"/>
              <w:jc w:val="center"/>
            </w:pPr>
            <w:r>
              <w:rPr/>
              <w:t xml:space="preserve">C</w:t>
            </w:r>
          </w:p>
        </w:tc>
        <w:tc>
          <w:tcPr>
            <w:tcW w:w="733" w:type="dxa"/>
          </w:tcPr>
          <w:p>
            <w:pPr>
              <w:pStyle w:val="CeldaAPA"/>
              <w:jc w:val="center"/>
            </w:pPr>
            <w:r>
              <w:rPr/>
              <w:t xml:space="preserve">–</w:t>
            </w:r>
          </w:p>
        </w:tc>
        <w:tc>
          <w:tcPr>
            <w:tcW w:w="733" w:type="dxa"/>
          </w:tcPr>
          <w:p>
            <w:pPr>
              <w:pStyle w:val="CeldaAPA"/>
              <w:jc w:val="center"/>
            </w:pPr>
            <w:r>
              <w:rPr/>
              <w:t xml:space="preserve">–</w:t>
            </w:r>
          </w:p>
        </w:tc>
        <w:tc>
          <w:tcPr>
            <w:tcW w:w="733" w:type="dxa"/>
          </w:tcPr>
          <w:p>
            <w:pPr>
              <w:pStyle w:val="CeldaAPA"/>
              <w:jc w:val="center"/>
            </w:pPr>
            <w:r>
              <w:rPr/>
              <w:t xml:space="preserve">–</w:t>
            </w:r>
          </w:p>
        </w:tc>
        <w:tc>
          <w:tcPr>
            <w:tcW w:w="733" w:type="dxa"/>
          </w:tcPr>
          <w:p>
            <w:pPr>
              <w:pStyle w:val="CeldaAPA"/>
              <w:jc w:val="center"/>
            </w:pPr>
            <w:r>
              <w:rPr/>
              <w:t xml:space="preserve">R</w:t>
            </w:r>
          </w:p>
        </w:tc>
        <w:tc>
          <w:tcPr>
            <w:tcW w:w="733" w:type="dxa"/>
          </w:tcPr>
          <w:p>
            <w:pPr>
              <w:pStyle w:val="CeldaAPA"/>
              <w:jc w:val="center"/>
            </w:pPr>
            <w:r>
              <w:rPr/>
              <w:t xml:space="preserve">A</w:t>
            </w:r>
          </w:p>
        </w:tc>
        <w:tc>
          <w:tcPr>
            <w:tcW w:w="733" w:type="dxa"/>
          </w:tcPr>
          <w:p>
            <w:pPr>
              <w:pStyle w:val="CeldaAPA"/>
              <w:jc w:val="center"/>
            </w:pPr>
            <w:r>
              <w:rPr/>
              <w:t xml:space="preserve">–</w:t>
            </w:r>
          </w:p>
        </w:tc>
      </w:tr>
      <w:tr>
        <w:tc>
          <w:tcPr>
            <w:tcW w:w="3494" w:type="dxa"/>
          </w:tcPr>
          <w:p>
            <w:pPr>
              <w:pStyle w:val="CeldaAPA"/>
              <w:jc w:val="left"/>
            </w:pPr>
            <w:r>
              <w:rPr/>
              <w:t xml:space="preserve">16. Reunión semanal de calidad y revisión mensual</w:t>
            </w:r>
          </w:p>
        </w:tc>
        <w:tc>
          <w:tcPr>
            <w:tcW w:w="733" w:type="dxa"/>
          </w:tcPr>
          <w:p>
            <w:pPr>
              <w:pStyle w:val="CeldaAPA"/>
              <w:jc w:val="center"/>
            </w:pPr>
            <w:r>
              <w:rPr/>
              <w:t xml:space="preserve">A</w:t>
            </w:r>
          </w:p>
        </w:tc>
        <w:tc>
          <w:tcPr>
            <w:tcW w:w="733" w:type="dxa"/>
          </w:tcPr>
          <w:p>
            <w:pPr>
              <w:pStyle w:val="CeldaAPA"/>
              <w:jc w:val="center"/>
            </w:pPr>
            <w:r>
              <w:rPr/>
              <w:t xml:space="preserve">R</w:t>
            </w:r>
          </w:p>
        </w:tc>
        <w:tc>
          <w:tcPr>
            <w:tcW w:w="733" w:type="dxa"/>
          </w:tcPr>
          <w:p>
            <w:pPr>
              <w:pStyle w:val="CeldaAPA"/>
              <w:jc w:val="center"/>
            </w:pPr>
            <w:r>
              <w:rPr/>
              <w:t xml:space="preserve">C</w:t>
            </w:r>
          </w:p>
        </w:tc>
        <w:tc>
          <w:tcPr>
            <w:tcW w:w="733" w:type="dxa"/>
          </w:tcPr>
          <w:p>
            <w:pPr>
              <w:pStyle w:val="CeldaAPA"/>
              <w:jc w:val="center"/>
            </w:pPr>
            <w:r>
              <w:rPr/>
              <w:t xml:space="preserve">C</w:t>
            </w:r>
          </w:p>
        </w:tc>
        <w:tc>
          <w:tcPr>
            <w:tcW w:w="733" w:type="dxa"/>
          </w:tcPr>
          <w:p>
            <w:pPr>
              <w:pStyle w:val="CeldaAPA"/>
              <w:jc w:val="center"/>
            </w:pPr>
            <w:r>
              <w:rPr/>
              <w:t xml:space="preserve">–</w:t>
            </w:r>
          </w:p>
        </w:tc>
        <w:tc>
          <w:tcPr>
            <w:tcW w:w="733" w:type="dxa"/>
          </w:tcPr>
          <w:p>
            <w:pPr>
              <w:pStyle w:val="CeldaAPA"/>
              <w:jc w:val="center"/>
            </w:pPr>
            <w:r>
              <w:rPr/>
              <w:t xml:space="preserve">C</w:t>
            </w:r>
          </w:p>
        </w:tc>
        <w:tc>
          <w:tcPr>
            <w:tcW w:w="733" w:type="dxa"/>
          </w:tcPr>
          <w:p>
            <w:pPr>
              <w:pStyle w:val="CeldaAPA"/>
              <w:jc w:val="center"/>
            </w:pPr>
            <w:r>
              <w:rPr/>
              <w:t xml:space="preserve">I</w:t>
            </w:r>
          </w:p>
        </w:tc>
        <w:tc>
          <w:tcPr>
            <w:tcW w:w="733" w:type="dxa"/>
          </w:tcPr>
          <w:p>
            <w:pPr>
              <w:pStyle w:val="CeldaAPA"/>
              <w:jc w:val="center"/>
            </w:pPr>
            <w:r>
              <w:rPr/>
              <w:t xml:space="preserve">–</w:t>
            </w:r>
          </w:p>
        </w:tc>
      </w:tr>
      <w:tr>
        <w:tc>
          <w:tcPr>
            <w:tcW w:w="3494" w:type="dxa"/>
            <w:tcBorders>
              <w:bottom w:val="single" w:sz="8" w:space="0" w:color="000000"/>
            </w:tcBorders>
          </w:tcPr>
          <w:p>
            <w:pPr>
              <w:pStyle w:val="CeldaAPA"/>
              <w:jc w:val="left"/>
            </w:pPr>
            <w:r>
              <w:rPr/>
              <w:t xml:space="preserve">17. Auditoría interna simplificada</w:t>
            </w:r>
          </w:p>
        </w:tc>
        <w:tc>
          <w:tcPr>
            <w:tcW w:w="733" w:type="dxa"/>
            <w:tcBorders>
              <w:bottom w:val="single" w:sz="8" w:space="0" w:color="000000"/>
            </w:tcBorders>
          </w:tcPr>
          <w:p>
            <w:pPr>
              <w:pStyle w:val="CeldaAPA"/>
              <w:jc w:val="center"/>
            </w:pPr>
            <w:r>
              <w:rPr/>
              <w:t xml:space="preserve">A</w:t>
            </w:r>
          </w:p>
        </w:tc>
        <w:tc>
          <w:tcPr>
            <w:tcW w:w="733" w:type="dxa"/>
            <w:tcBorders>
              <w:bottom w:val="single" w:sz="8" w:space="0" w:color="000000"/>
            </w:tcBorders>
          </w:tcPr>
          <w:p>
            <w:pPr>
              <w:pStyle w:val="CeldaAPA"/>
              <w:jc w:val="center"/>
            </w:pPr>
            <w:r>
              <w:rPr/>
              <w:t xml:space="preserve">C</w:t>
            </w:r>
          </w:p>
        </w:tc>
        <w:tc>
          <w:tcPr>
            <w:tcW w:w="733" w:type="dxa"/>
            <w:tcBorders>
              <w:bottom w:val="single" w:sz="8" w:space="0" w:color="000000"/>
            </w:tcBorders>
          </w:tcPr>
          <w:p>
            <w:pPr>
              <w:pStyle w:val="CeldaAPA"/>
              <w:jc w:val="center"/>
            </w:pPr>
            <w:r>
              <w:rPr/>
              <w:t xml:space="preserve">C</w:t>
            </w:r>
          </w:p>
        </w:tc>
        <w:tc>
          <w:tcPr>
            <w:tcW w:w="733" w:type="dxa"/>
            <w:tcBorders>
              <w:bottom w:val="single" w:sz="8" w:space="0" w:color="000000"/>
            </w:tcBorders>
          </w:tcPr>
          <w:p>
            <w:pPr>
              <w:pStyle w:val="CeldaAPA"/>
              <w:jc w:val="center"/>
            </w:pPr>
            <w:r>
              <w:rPr/>
              <w:t xml:space="preserve">C</w:t>
            </w:r>
          </w:p>
        </w:tc>
        <w:tc>
          <w:tcPr>
            <w:tcW w:w="733" w:type="dxa"/>
            <w:tcBorders>
              <w:bottom w:val="single" w:sz="8" w:space="0" w:color="000000"/>
            </w:tcBorders>
          </w:tcPr>
          <w:p>
            <w:pPr>
              <w:pStyle w:val="CeldaAPA"/>
              <w:jc w:val="center"/>
            </w:pPr>
            <w:r>
              <w:rPr/>
              <w:t xml:space="preserve">–</w:t>
            </w:r>
          </w:p>
        </w:tc>
        <w:tc>
          <w:tcPr>
            <w:tcW w:w="733" w:type="dxa"/>
            <w:tcBorders>
              <w:bottom w:val="single" w:sz="8" w:space="0" w:color="000000"/>
            </w:tcBorders>
          </w:tcPr>
          <w:p>
            <w:pPr>
              <w:pStyle w:val="CeldaAPA"/>
              <w:jc w:val="center"/>
            </w:pPr>
            <w:r>
              <w:rPr/>
              <w:t xml:space="preserve">R</w:t>
            </w:r>
          </w:p>
        </w:tc>
        <w:tc>
          <w:tcPr>
            <w:tcW w:w="733" w:type="dxa"/>
            <w:tcBorders>
              <w:bottom w:val="single" w:sz="8" w:space="0" w:color="000000"/>
            </w:tcBorders>
          </w:tcPr>
          <w:p>
            <w:pPr>
              <w:pStyle w:val="CeldaAPA"/>
              <w:jc w:val="center"/>
            </w:pPr>
            <w:r>
              <w:rPr/>
              <w:t xml:space="preserve">I</w:t>
            </w:r>
          </w:p>
        </w:tc>
        <w:tc>
          <w:tcPr>
            <w:tcW w:w="733" w:type="dxa"/>
            <w:tcBorders>
              <w:bottom w:val="single" w:sz="8" w:space="0" w:color="000000"/>
            </w:tcBorders>
          </w:tcPr>
          <w:p>
            <w:pPr>
              <w:pStyle w:val="CeldaAPA"/>
              <w:jc w:val="center"/>
            </w:pPr>
            <w:r>
              <w:rPr/>
              <w:t xml:space="preserve">–</w:t>
            </w:r>
          </w:p>
        </w:tc>
      </w:tr>
    </w:tbl>
    <w:p>
      <w:pPr>
        <w:pStyle w:val="NotaAPA"/>
      </w:pPr>
      <w:r>
        <w:rPr>
          <w:iCs/>
          <w:i/>
        </w:rPr>
        <w:t xml:space="preserve">Nota.</w:t>
      </w:r>
      <w:r>
        <w:t xml:space="preserve"> </w:t>
      </w:r>
      <w:r>
        <w:t xml:space="preserve">Elaboración propia. DO: Director de obra; RC: Residente de obra y encargado de calidad; AL: Almacenero; CA: Capataz y armadores; LB: laboratorio de ensayos; SU: Supervisor de obra; FI: Fiscal de obra; PR: proveedores. En la auditoría interna, el responsable de ejecutarla (R) puede ser el Supervisor o un profesional independiente del proceso auditado, designado de común acuerdo.</w:t>
      </w:r>
    </w:p>
    <w:p>
      <w:pPr>
        <w:pStyle w:val="Heading3"/>
      </w:pPr>
      <w:bookmarkStart w:id="158" w:name="tit111"/>
      <w:r>
        <w:t xml:space="preserve">2.6.4. Planificación: riesgos, oportunidades y objetivos de la calidad</w:t>
      </w:r>
      <w:bookmarkEnd w:id="158"/>
    </w:p>
    <w:p>
      <w:pPr>
        <w:pStyle w:val="FirstParagraph"/>
      </w:pPr>
      <w:r>
        <w:rPr>
          <w:bCs/>
          <w:b/>
        </w:rPr>
        <w:t xml:space="preserve">Método de valoración de riesgos.</w:t>
      </w:r>
      <w:r>
        <w:t xml:space="preserve"> </w:t>
      </w:r>
      <w:r>
        <w:t xml:space="preserve">Cada riesgo del proceso de la losa se valoró con una probabilidad</w:t>
      </w:r>
      <w:r>
        <w:t xml:space="preserve"> </w:t>
      </w:r>
      <m:oMath>
        <m:r>
          <m:t>P</m:t>
        </m:r>
      </m:oMath>
      <w:r>
        <w:t xml:space="preserve"> </w:t>
      </w:r>
      <w:r>
        <w:t xml:space="preserve">y un impacto</w:t>
      </w:r>
      <w:r>
        <w:t xml:space="preserve"> </w:t>
      </w:r>
      <m:oMath>
        <m:r>
          <m:t>I</m:t>
        </m:r>
      </m:oMath>
      <w:r>
        <w:t xml:space="preserve"> </w:t>
      </w:r>
      <w:r>
        <w:t xml:space="preserve">en una escala de tres niveles. La probabilidad es baja (1) si no hay antecedentes en la obra, media (2) si el hecho es posible por las condiciones de la obra y alta (3) si ya ocurrió en la primera losa o en el periodo de ejecución. El impacto es bajo (1) si solo genera una corrección menor, medio (2) si causa desperdicio, retrabajo o un retraso de días, y alto (3) si compromete la seguridad estructural, el pago correcto de cantidades o la continuidad de la obra. El nivel de riesgo es</w:t>
      </w:r>
      <w:r>
        <w:t xml:space="preserve"> </w:t>
      </w:r>
      <m:oMath>
        <m:r>
          <m:t>N</m:t>
        </m:r>
        <m:r>
          <m:rPr>
            <m:sty m:val="p"/>
          </m:rPr>
          <m:t>=</m:t>
        </m:r>
        <m:r>
          <m:t>P</m:t>
        </m:r>
        <m:r>
          <m:rPr>
            <m:sty m:val="p"/>
          </m:rPr>
          <m:t>×</m:t>
        </m:r>
        <m:r>
          <m:t>I</m:t>
        </m:r>
      </m:oMath>
      <w:r>
        <w:t xml:space="preserve">: bajo de 1 a 2, medio de 3 a 4 y alto de 6 a 9. Todo riesgo alto debe tener un control obligatorio en un procedimiento o en el PPI, un indicador y un responsable. La Tabla 32 presenta la matriz resultante.</w:t>
      </w:r>
    </w:p>
    <w:p>
      <w:pPr>
        <w:pStyle w:val="Caption"/>
      </w:pPr>
      <w:bookmarkStart w:id="1445" w:name="tab32"/>
      <w:r>
        <w:t xml:space="preserve"/>
      </w:r>
      <w:r>
        <w:rPr>
          <w:bCs/>
          <w:b/>
        </w:rPr>
        <w:t xml:space="preserve">Tabla 32</w:t>
      </w:r>
      <w:r>
        <w:br/>
      </w:r>
      <w:r>
        <w:rPr>
          <w:iCs/>
          <w:i/>
        </w:rPr>
        <w:t xml:space="preserve">Matriz de riesgos del proceso constructivo de la losa alivianada</w:t>
      </w:r>
      <w:bookmarkEnd w:id="1445"/>
    </w:p>
    <w:tbl>
      <w:tblPr>
        <w:tblStyle w:val="Table"/>
        <w:tblW w:w="9360" w:type="dxa"/>
        <w:jc w:val="left"/>
        <w:tblLayout w:type="fixed"/>
        <w:tblCellMar>
          <w:top w:w="0" w:type="dxa"/>
          <w:left w:w="85" w:type="dxa"/>
          <w:bottom w:w="0" w:type="dxa"/>
          <w:right w:w="85" w:type="dxa"/>
        </w:tblCellMar>
        <w:tblLook w:firstRow="1" w:lastRow="0" w:firstColumn="0" w:lastColumn="0" w:noHBand="0" w:noVBand="0" w:val="0020"/>
      </w:tblPr>
      <w:tblGrid>
        <w:gridCol w:w="696"/>
        <w:gridCol w:w="2269"/>
        <w:gridCol w:w="2135"/>
        <w:gridCol w:w="461"/>
        <w:gridCol w:w="426"/>
        <w:gridCol w:w="501"/>
        <w:gridCol w:w="2872"/>
      </w:tblGrid>
      <w:tr>
        <w:trPr>
          <w:cantSplit/>
          <w:tblHeader w:val="true"/>
        </w:trPr>
        <w:tc>
          <w:tcPr>
            <w:tcW w:w="696" w:type="dxa"/>
            <w:tcBorders>
              <w:top w:val="single" w:sz="8" w:space="0" w:color="000000"/>
              <w:bottom w:val="single" w:sz="4" w:space="0" w:color="000000"/>
            </w:tcBorders>
          </w:tcPr>
          <w:p>
            <w:pPr>
              <w:pStyle w:val="CeldaAPA"/>
              <w:jc w:val="center"/>
            </w:pPr>
            <w:r>
              <w:rPr>
                <w:bCs/>
                <w:b/>
              </w:rPr>
              <w:t xml:space="preserve">N.</w:t>
            </w:r>
            <w:r>
              <w:rPr>
                <w:vertAlign w:val="superscript"/>
                <w:bCs/>
                <w:b/>
              </w:rPr>
              <w:t xml:space="preserve">o</w:t>
            </w:r>
          </w:p>
        </w:tc>
        <w:tc>
          <w:tcPr>
            <w:tcW w:w="2269" w:type="dxa"/>
            <w:tcBorders>
              <w:top w:val="single" w:sz="8" w:space="0" w:color="000000"/>
              <w:bottom w:val="single" w:sz="4" w:space="0" w:color="000000"/>
            </w:tcBorders>
          </w:tcPr>
          <w:p>
            <w:pPr>
              <w:pStyle w:val="CeldaAPA"/>
              <w:jc w:val="center"/>
            </w:pPr>
            <w:r>
              <w:rPr>
                <w:bCs/>
                <w:b/>
              </w:rPr>
              <w:t xml:space="preserve">Riesgo</w:t>
            </w:r>
          </w:p>
        </w:tc>
        <w:tc>
          <w:tcPr>
            <w:tcW w:w="2135" w:type="dxa"/>
            <w:tcBorders>
              <w:top w:val="single" w:sz="8" w:space="0" w:color="000000"/>
              <w:bottom w:val="single" w:sz="4" w:space="0" w:color="000000"/>
            </w:tcBorders>
          </w:tcPr>
          <w:p>
            <w:pPr>
              <w:pStyle w:val="CeldaAPA"/>
              <w:jc w:val="center"/>
            </w:pPr>
            <w:r>
              <w:rPr>
                <w:bCs/>
                <w:b/>
              </w:rPr>
              <w:t xml:space="preserve">Causa o evidencia</w:t>
            </w:r>
          </w:p>
        </w:tc>
        <w:tc>
          <w:tcPr>
            <w:tcW w:w="461" w:type="dxa"/>
            <w:tcBorders>
              <w:top w:val="single" w:sz="8" w:space="0" w:color="000000"/>
              <w:bottom w:val="single" w:sz="4" w:space="0" w:color="000000"/>
            </w:tcBorders>
          </w:tcPr>
          <w:p>
            <w:pPr>
              <w:pStyle w:val="CeldaAPA"/>
              <w:jc w:val="center"/>
            </w:pPr>
            <m:oMath>
              <m:r>
                <m:t>P</m:t>
              </m:r>
            </m:oMath>
          </w:p>
        </w:tc>
        <w:tc>
          <w:tcPr>
            <w:tcW w:w="426" w:type="dxa"/>
            <w:tcBorders>
              <w:top w:val="single" w:sz="8" w:space="0" w:color="000000"/>
              <w:bottom w:val="single" w:sz="4" w:space="0" w:color="000000"/>
            </w:tcBorders>
          </w:tcPr>
          <w:p>
            <w:pPr>
              <w:pStyle w:val="CeldaAPA"/>
              <w:jc w:val="center"/>
            </w:pPr>
            <m:oMath>
              <m:r>
                <m:t>I</m:t>
              </m:r>
            </m:oMath>
          </w:p>
        </w:tc>
        <w:tc>
          <w:tcPr>
            <w:tcW w:w="501" w:type="dxa"/>
            <w:tcBorders>
              <w:top w:val="single" w:sz="8" w:space="0" w:color="000000"/>
              <w:bottom w:val="single" w:sz="4" w:space="0" w:color="000000"/>
            </w:tcBorders>
          </w:tcPr>
          <w:p>
            <w:pPr>
              <w:pStyle w:val="CeldaAPA"/>
              <w:jc w:val="center"/>
            </w:pPr>
            <m:oMath>
              <m:r>
                <m:t>N</m:t>
              </m:r>
            </m:oMath>
          </w:p>
        </w:tc>
        <w:tc>
          <w:tcPr>
            <w:tcW w:w="2872" w:type="dxa"/>
            <w:tcBorders>
              <w:top w:val="single" w:sz="8" w:space="0" w:color="000000"/>
              <w:bottom w:val="single" w:sz="4" w:space="0" w:color="000000"/>
            </w:tcBorders>
          </w:tcPr>
          <w:p>
            <w:pPr>
              <w:pStyle w:val="CeldaAPA"/>
              <w:jc w:val="center"/>
            </w:pPr>
            <w:r>
              <w:rPr>
                <w:bCs/>
                <w:b/>
              </w:rPr>
              <w:t xml:space="preserve">Control del SGC (respuesta)</w:t>
            </w:r>
          </w:p>
        </w:tc>
      </w:tr>
      <w:tr>
        <w:tc>
          <w:tcPr>
            <w:tcW w:w="696" w:type="dxa"/>
          </w:tcPr>
          <w:p>
            <w:pPr>
              <w:pStyle w:val="CeldaAPA"/>
              <w:jc w:val="left"/>
            </w:pPr>
            <w:r>
              <w:rPr/>
              <w:t xml:space="preserve">R1</w:t>
            </w:r>
          </w:p>
        </w:tc>
        <w:tc>
          <w:tcPr>
            <w:tcW w:w="2269" w:type="dxa"/>
          </w:tcPr>
          <w:p>
            <w:pPr>
              <w:pStyle w:val="CeldaAPA"/>
              <w:jc w:val="left"/>
            </w:pPr>
            <w:r>
              <w:rPr/>
              <w:t xml:space="preserve">Hormigón de la losa sin verificación de su resistencia</w:t>
            </w:r>
          </w:p>
        </w:tc>
        <w:tc>
          <w:tcPr>
            <w:tcW w:w="2135" w:type="dxa"/>
          </w:tcPr>
          <w:p>
            <w:pPr>
              <w:pStyle w:val="CeldaAPA"/>
              <w:jc w:val="left"/>
            </w:pPr>
            <w:r>
              <w:rPr/>
              <w:t xml:space="preserve">Sin probetas de la losa; ensayos tardíos y no independientes; losa certificada sin resultados (B1)</w:t>
            </w:r>
          </w:p>
        </w:tc>
        <w:tc>
          <w:tcPr>
            <w:tcW w:w="461" w:type="dxa"/>
          </w:tcPr>
          <w:p>
            <w:pPr>
              <w:pStyle w:val="CeldaAPA"/>
              <w:jc w:val="center"/>
            </w:pPr>
            <w:r>
              <w:rPr/>
              <w:t xml:space="preserve">3</w:t>
            </w:r>
          </w:p>
        </w:tc>
        <w:tc>
          <w:tcPr>
            <w:tcW w:w="426" w:type="dxa"/>
          </w:tcPr>
          <w:p>
            <w:pPr>
              <w:pStyle w:val="CeldaAPA"/>
              <w:jc w:val="center"/>
            </w:pPr>
            <w:r>
              <w:rPr/>
              <w:t xml:space="preserve">3</w:t>
            </w:r>
          </w:p>
        </w:tc>
        <w:tc>
          <w:tcPr>
            <w:tcW w:w="501" w:type="dxa"/>
          </w:tcPr>
          <w:p>
            <w:pPr>
              <w:pStyle w:val="CeldaAPA"/>
              <w:jc w:val="center"/>
            </w:pPr>
            <w:r>
              <w:rPr/>
              <w:t xml:space="preserve">9</w:t>
            </w:r>
          </w:p>
        </w:tc>
        <w:tc>
          <w:tcPr>
            <w:tcW w:w="2872" w:type="dxa"/>
          </w:tcPr>
          <w:p>
            <w:pPr>
              <w:pStyle w:val="CeldaAPA"/>
              <w:jc w:val="left"/>
            </w:pPr>
            <w:r>
              <w:rPr/>
              <w:t xml:space="preserve">Plan de muestreo según ACI 318-25 (Tabla 40) a cargo del laboratorio; ensayo a 28 días; pago condicionado a los resultados</w:t>
            </w:r>
          </w:p>
        </w:tc>
      </w:tr>
      <w:tr>
        <w:tc>
          <w:tcPr>
            <w:tcW w:w="696" w:type="dxa"/>
          </w:tcPr>
          <w:p>
            <w:pPr>
              <w:pStyle w:val="CeldaAPA"/>
              <w:jc w:val="left"/>
            </w:pPr>
            <w:r>
              <w:rPr/>
              <w:t xml:space="preserve">R2</w:t>
            </w:r>
          </w:p>
        </w:tc>
        <w:tc>
          <w:tcPr>
            <w:tcW w:w="2269" w:type="dxa"/>
          </w:tcPr>
          <w:p>
            <w:pPr>
              <w:pStyle w:val="CeldaAPA"/>
              <w:jc w:val="left"/>
            </w:pPr>
            <w:r>
              <w:rPr/>
              <w:t xml:space="preserve">Dosificación no aprobada o variable</w:t>
            </w:r>
          </w:p>
        </w:tc>
        <w:tc>
          <w:tcPr>
            <w:tcW w:w="2135" w:type="dxa"/>
          </w:tcPr>
          <w:p>
            <w:pPr>
              <w:pStyle w:val="CeldaAPA"/>
              <w:jc w:val="left"/>
            </w:pPr>
            <w:r>
              <w:rPr/>
              <w:t xml:space="preserve">Dosificaciones pedidas por la Supervisión (B2)</w:t>
            </w:r>
          </w:p>
        </w:tc>
        <w:tc>
          <w:tcPr>
            <w:tcW w:w="461" w:type="dxa"/>
          </w:tcPr>
          <w:p>
            <w:pPr>
              <w:pStyle w:val="CeldaAPA"/>
              <w:jc w:val="center"/>
            </w:pPr>
            <w:r>
              <w:rPr/>
              <w:t xml:space="preserve">3</w:t>
            </w:r>
          </w:p>
        </w:tc>
        <w:tc>
          <w:tcPr>
            <w:tcW w:w="426" w:type="dxa"/>
          </w:tcPr>
          <w:p>
            <w:pPr>
              <w:pStyle w:val="CeldaAPA"/>
              <w:jc w:val="center"/>
            </w:pPr>
            <w:r>
              <w:rPr/>
              <w:t xml:space="preserve">3</w:t>
            </w:r>
          </w:p>
        </w:tc>
        <w:tc>
          <w:tcPr>
            <w:tcW w:w="501" w:type="dxa"/>
          </w:tcPr>
          <w:p>
            <w:pPr>
              <w:pStyle w:val="CeldaAPA"/>
              <w:jc w:val="center"/>
            </w:pPr>
            <w:r>
              <w:rPr/>
              <w:t xml:space="preserve">9</w:t>
            </w:r>
          </w:p>
        </w:tc>
        <w:tc>
          <w:tcPr>
            <w:tcW w:w="2872" w:type="dxa"/>
          </w:tcPr>
          <w:p>
            <w:pPr>
              <w:pStyle w:val="CeldaAPA"/>
              <w:jc w:val="left"/>
            </w:pPr>
            <w:r>
              <w:rPr/>
              <w:t xml:space="preserve">Dosificación aprobada antes del primer vaciado; cajones calibrados; asentamiento; bolsas de cemento por vaciado</w:t>
            </w:r>
          </w:p>
        </w:tc>
      </w:tr>
      <w:tr>
        <w:tc>
          <w:tcPr>
            <w:tcW w:w="696" w:type="dxa"/>
          </w:tcPr>
          <w:p>
            <w:pPr>
              <w:pStyle w:val="CeldaAPA"/>
              <w:jc w:val="left"/>
            </w:pPr>
            <w:r>
              <w:rPr/>
              <w:t xml:space="preserve">R3</w:t>
            </w:r>
          </w:p>
        </w:tc>
        <w:tc>
          <w:tcPr>
            <w:tcW w:w="2269" w:type="dxa"/>
          </w:tcPr>
          <w:p>
            <w:pPr>
              <w:pStyle w:val="CeldaAPA"/>
              <w:jc w:val="left"/>
            </w:pPr>
            <w:r>
              <w:rPr/>
              <w:t xml:space="preserve">Materiales sin certificado o no conformes en la obra</w:t>
            </w:r>
          </w:p>
        </w:tc>
        <w:tc>
          <w:tcPr>
            <w:tcW w:w="2135" w:type="dxa"/>
          </w:tcPr>
          <w:p>
            <w:pPr>
              <w:pStyle w:val="CeldaAPA"/>
              <w:jc w:val="left"/>
            </w:pPr>
            <w:r>
              <w:rPr/>
              <w:t xml:space="preserve">Certificados sin firma ni lote y posteriores a la colocación; sin certificado del</w:t>
            </w:r>
            <w:r>
              <w:rPr/>
              <w:t xml:space="preserve"> </w:t>
            </w:r>
            <m:oMath>
              <m:r>
                <m:t>ϕ</m:t>
              </m:r>
            </m:oMath>
            <w:r>
              <w:rPr/>
              <w:t xml:space="preserve">6 ni del</w:t>
            </w:r>
            <w:r>
              <w:rPr/>
              <w:t xml:space="preserve"> </w:t>
            </w:r>
            <m:oMath>
              <m:r>
                <m:t>ϕ</m:t>
              </m:r>
            </m:oMath>
            <w:r>
              <w:rPr/>
              <w:t xml:space="preserve">10 (B2)</w:t>
            </w:r>
          </w:p>
        </w:tc>
        <w:tc>
          <w:tcPr>
            <w:tcW w:w="461" w:type="dxa"/>
          </w:tcPr>
          <w:p>
            <w:pPr>
              <w:pStyle w:val="CeldaAPA"/>
              <w:jc w:val="center"/>
            </w:pPr>
            <w:r>
              <w:rPr/>
              <w:t xml:space="preserve">3</w:t>
            </w:r>
          </w:p>
        </w:tc>
        <w:tc>
          <w:tcPr>
            <w:tcW w:w="426" w:type="dxa"/>
          </w:tcPr>
          <w:p>
            <w:pPr>
              <w:pStyle w:val="CeldaAPA"/>
              <w:jc w:val="center"/>
            </w:pPr>
            <w:r>
              <w:rPr/>
              <w:t xml:space="preserve">3</w:t>
            </w:r>
          </w:p>
        </w:tc>
        <w:tc>
          <w:tcPr>
            <w:tcW w:w="501" w:type="dxa"/>
          </w:tcPr>
          <w:p>
            <w:pPr>
              <w:pStyle w:val="CeldaAPA"/>
              <w:jc w:val="center"/>
            </w:pPr>
            <w:r>
              <w:rPr/>
              <w:t xml:space="preserve">9</w:t>
            </w:r>
          </w:p>
        </w:tc>
        <w:tc>
          <w:tcPr>
            <w:tcW w:w="2872" w:type="dxa"/>
          </w:tcPr>
          <w:p>
            <w:pPr>
              <w:pStyle w:val="CeldaAPA"/>
              <w:jc w:val="left"/>
            </w:pPr>
            <w:r>
              <w:rPr/>
              <w:t xml:space="preserve">PCM-01 y PCM-05: recepción antes de colocar; certificado por lote y por diámetro</w:t>
            </w:r>
          </w:p>
        </w:tc>
      </w:tr>
      <w:tr>
        <w:tc>
          <w:tcPr>
            <w:tcW w:w="696" w:type="dxa"/>
          </w:tcPr>
          <w:p>
            <w:pPr>
              <w:pStyle w:val="CeldaAPA"/>
              <w:jc w:val="left"/>
            </w:pPr>
            <w:r>
              <w:rPr/>
              <w:t xml:space="preserve">R4</w:t>
            </w:r>
          </w:p>
        </w:tc>
        <w:tc>
          <w:tcPr>
            <w:tcW w:w="2269" w:type="dxa"/>
          </w:tcPr>
          <w:p>
            <w:pPr>
              <w:pStyle w:val="CeldaAPA"/>
              <w:jc w:val="left"/>
            </w:pPr>
            <w:r>
              <w:rPr/>
              <w:t xml:space="preserve">Viguetas fisuradas o EPS roto por manipuleo, acopio, apuntalamiento o tránsito</w:t>
            </w:r>
          </w:p>
        </w:tc>
        <w:tc>
          <w:tcPr>
            <w:tcW w:w="2135" w:type="dxa"/>
          </w:tcPr>
          <w:p>
            <w:pPr>
              <w:pStyle w:val="CeldaAPA"/>
              <w:jc w:val="left"/>
            </w:pPr>
            <w:r>
              <w:rPr/>
              <w:t xml:space="preserve">Prácticas observadas en el medio boliviano</w:t>
            </w:r>
            <w:r>
              <w:rPr/>
              <w:t xml:space="preserve"> </w:t>
            </w:r>
            <w:r>
              <w:rPr/>
              <w:t xml:space="preserve">(Alcón Aranda, 2009, pp. 122, 137–138)</w:t>
            </w:r>
          </w:p>
        </w:tc>
        <w:tc>
          <w:tcPr>
            <w:tcW w:w="461" w:type="dxa"/>
          </w:tcPr>
          <w:p>
            <w:pPr>
              <w:pStyle w:val="CeldaAPA"/>
              <w:jc w:val="center"/>
            </w:pPr>
            <w:r>
              <w:rPr/>
              <w:t xml:space="preserve">2</w:t>
            </w:r>
          </w:p>
        </w:tc>
        <w:tc>
          <w:tcPr>
            <w:tcW w:w="426" w:type="dxa"/>
          </w:tcPr>
          <w:p>
            <w:pPr>
              <w:pStyle w:val="CeldaAPA"/>
              <w:jc w:val="center"/>
            </w:pPr>
            <w:r>
              <w:rPr/>
              <w:t xml:space="preserve">3</w:t>
            </w:r>
          </w:p>
        </w:tc>
        <w:tc>
          <w:tcPr>
            <w:tcW w:w="501" w:type="dxa"/>
          </w:tcPr>
          <w:p>
            <w:pPr>
              <w:pStyle w:val="CeldaAPA"/>
              <w:jc w:val="center"/>
            </w:pPr>
            <w:r>
              <w:rPr/>
              <w:t xml:space="preserve">6</w:t>
            </w:r>
          </w:p>
        </w:tc>
        <w:tc>
          <w:tcPr>
            <w:tcW w:w="2872" w:type="dxa"/>
          </w:tcPr>
          <w:p>
            <w:pPr>
              <w:pStyle w:val="CeldaAPA"/>
              <w:jc w:val="left"/>
            </w:pPr>
            <w:r>
              <w:rPr/>
              <w:t xml:space="preserve">Acopio sobre listones; punto de espera del apuntalamiento; pasarelas de tránsito; inspección de fisuras</w:t>
            </w:r>
          </w:p>
        </w:tc>
      </w:tr>
      <w:tr>
        <w:tc>
          <w:tcPr>
            <w:tcW w:w="696" w:type="dxa"/>
          </w:tcPr>
          <w:p>
            <w:pPr>
              <w:pStyle w:val="CeldaAPA"/>
              <w:jc w:val="left"/>
            </w:pPr>
            <w:r>
              <w:rPr/>
              <w:t xml:space="preserve">R5</w:t>
            </w:r>
          </w:p>
        </w:tc>
        <w:tc>
          <w:tcPr>
            <w:tcW w:w="2269" w:type="dxa"/>
          </w:tcPr>
          <w:p>
            <w:pPr>
              <w:pStyle w:val="CeldaAPA"/>
              <w:jc w:val="left"/>
            </w:pPr>
            <w:r>
              <w:rPr/>
              <w:t xml:space="preserve">Decisiones basadas en documentos incoherentes u obsoletos</w:t>
            </w:r>
          </w:p>
        </w:tc>
        <w:tc>
          <w:tcPr>
            <w:tcW w:w="2135" w:type="dxa"/>
          </w:tcPr>
          <w:p>
            <w:pPr>
              <w:pStyle w:val="CeldaAPA"/>
              <w:jc w:val="left"/>
            </w:pPr>
            <w:r>
              <w:rPr/>
              <w:t xml:space="preserve">Tres geometrías del EPS; ET desactualizada (B3)</w:t>
            </w:r>
          </w:p>
        </w:tc>
        <w:tc>
          <w:tcPr>
            <w:tcW w:w="461" w:type="dxa"/>
          </w:tcPr>
          <w:p>
            <w:pPr>
              <w:pStyle w:val="CeldaAPA"/>
              <w:jc w:val="center"/>
            </w:pPr>
            <w:r>
              <w:rPr/>
              <w:t xml:space="preserve">3</w:t>
            </w:r>
          </w:p>
        </w:tc>
        <w:tc>
          <w:tcPr>
            <w:tcW w:w="426" w:type="dxa"/>
          </w:tcPr>
          <w:p>
            <w:pPr>
              <w:pStyle w:val="CeldaAPA"/>
              <w:jc w:val="center"/>
            </w:pPr>
            <w:r>
              <w:rPr/>
              <w:t xml:space="preserve">2</w:t>
            </w:r>
          </w:p>
        </w:tc>
        <w:tc>
          <w:tcPr>
            <w:tcW w:w="501" w:type="dxa"/>
          </w:tcPr>
          <w:p>
            <w:pPr>
              <w:pStyle w:val="CeldaAPA"/>
              <w:jc w:val="center"/>
            </w:pPr>
            <w:r>
              <w:rPr/>
              <w:t xml:space="preserve">6</w:t>
            </w:r>
          </w:p>
        </w:tc>
        <w:tc>
          <w:tcPr>
            <w:tcW w:w="2872" w:type="dxa"/>
          </w:tcPr>
          <w:p>
            <w:pPr>
              <w:pStyle w:val="CeldaAPA"/>
              <w:jc w:val="left"/>
            </w:pPr>
            <w:r>
              <w:rPr/>
              <w:t xml:space="preserve">Lista maestra; consulta técnica antes de comprar el EPS; ET actualizada</w:t>
            </w:r>
          </w:p>
        </w:tc>
      </w:tr>
      <w:tr>
        <w:tc>
          <w:tcPr>
            <w:tcW w:w="696" w:type="dxa"/>
          </w:tcPr>
          <w:p>
            <w:pPr>
              <w:pStyle w:val="CeldaAPA"/>
              <w:jc w:val="left"/>
            </w:pPr>
            <w:r>
              <w:rPr/>
              <w:t xml:space="preserve">R6</w:t>
            </w:r>
          </w:p>
        </w:tc>
        <w:tc>
          <w:tcPr>
            <w:tcW w:w="2269" w:type="dxa"/>
          </w:tcPr>
          <w:p>
            <w:pPr>
              <w:pStyle w:val="CeldaAPA"/>
              <w:jc w:val="left"/>
            </w:pPr>
            <w:r>
              <w:rPr/>
              <w:t xml:space="preserve">Pago de cantidades no ejecutadas o computadas dos veces</w:t>
            </w:r>
          </w:p>
        </w:tc>
        <w:tc>
          <w:tcPr>
            <w:tcW w:w="2135" w:type="dxa"/>
          </w:tcPr>
          <w:p>
            <w:pPr>
              <w:pStyle w:val="CeldaAPA"/>
              <w:jc w:val="left"/>
            </w:pPr>
            <w:r>
              <w:rPr/>
              <w:t xml:space="preserve">Acero de la losa computado 1,00 vez en la planilla N.</w:t>
            </w:r>
            <w:r>
              <w:rPr>
                <w:vertAlign w:val="superscript"/>
              </w:rPr>
              <w:t xml:space="preserve">o</w:t>
            </w:r>
            <w:r>
              <w:rPr/>
              <w:t xml:space="preserve"> 2 y 3 veces al cierre; descuento de 3,65 % (B4)</w:t>
            </w:r>
          </w:p>
        </w:tc>
        <w:tc>
          <w:tcPr>
            <w:tcW w:w="461" w:type="dxa"/>
          </w:tcPr>
          <w:p>
            <w:pPr>
              <w:pStyle w:val="CeldaAPA"/>
              <w:jc w:val="center"/>
            </w:pPr>
            <w:r>
              <w:rPr/>
              <w:t xml:space="preserve">2</w:t>
            </w:r>
          </w:p>
        </w:tc>
        <w:tc>
          <w:tcPr>
            <w:tcW w:w="426" w:type="dxa"/>
          </w:tcPr>
          <w:p>
            <w:pPr>
              <w:pStyle w:val="CeldaAPA"/>
              <w:jc w:val="center"/>
            </w:pPr>
            <w:r>
              <w:rPr/>
              <w:t xml:space="preserve">3</w:t>
            </w:r>
          </w:p>
        </w:tc>
        <w:tc>
          <w:tcPr>
            <w:tcW w:w="501" w:type="dxa"/>
          </w:tcPr>
          <w:p>
            <w:pPr>
              <w:pStyle w:val="CeldaAPA"/>
              <w:jc w:val="center"/>
            </w:pPr>
            <w:r>
              <w:rPr/>
              <w:t xml:space="preserve">6</w:t>
            </w:r>
          </w:p>
        </w:tc>
        <w:tc>
          <w:tcPr>
            <w:tcW w:w="2872" w:type="dxa"/>
          </w:tcPr>
          <w:p>
            <w:pPr>
              <w:pStyle w:val="CeldaAPA"/>
              <w:jc w:val="left"/>
            </w:pPr>
            <w:r>
              <w:rPr/>
              <w:t xml:space="preserve">PCM-04 con umbrales de alerta; registro único de cantidades; revisión cruzada de los ítems 8 y 13</w:t>
            </w:r>
          </w:p>
        </w:tc>
      </w:tr>
      <w:tr>
        <w:tc>
          <w:tcPr>
            <w:tcW w:w="696" w:type="dxa"/>
          </w:tcPr>
          <w:p>
            <w:pPr>
              <w:pStyle w:val="CeldaAPA"/>
              <w:jc w:val="left"/>
            </w:pPr>
            <w:r>
              <w:rPr/>
              <w:t xml:space="preserve">R7</w:t>
            </w:r>
          </w:p>
        </w:tc>
        <w:tc>
          <w:tcPr>
            <w:tcW w:w="2269" w:type="dxa"/>
          </w:tcPr>
          <w:p>
            <w:pPr>
              <w:pStyle w:val="CeldaAPA"/>
              <w:jc w:val="left"/>
            </w:pPr>
            <w:r>
              <w:rPr/>
              <w:t xml:space="preserve">Desperdicio de materiales no medido</w:t>
            </w:r>
          </w:p>
        </w:tc>
        <w:tc>
          <w:tcPr>
            <w:tcW w:w="2135" w:type="dxa"/>
          </w:tcPr>
          <w:p>
            <w:pPr>
              <w:pStyle w:val="CeldaAPA"/>
              <w:jc w:val="left"/>
            </w:pPr>
            <w:r>
              <w:rPr/>
              <w:t xml:space="preserve">Sin kardex ni vales; EPS entregado</w:t>
            </w:r>
            <w:r>
              <w:rPr/>
              <w:t xml:space="preserve"> </w:t>
            </w:r>
            <m:oMath>
              <m:r>
                <m:rPr>
                  <m:sty m:val="p"/>
                </m:rPr>
                <m:t>≈</m:t>
              </m:r>
            </m:oMath>
            <w:r>
              <w:rPr/>
              <w:t xml:space="preserve"> 6 % sobre lo teórico (B5)</w:t>
            </w:r>
          </w:p>
        </w:tc>
        <w:tc>
          <w:tcPr>
            <w:tcW w:w="461" w:type="dxa"/>
          </w:tcPr>
          <w:p>
            <w:pPr>
              <w:pStyle w:val="CeldaAPA"/>
              <w:jc w:val="center"/>
            </w:pPr>
            <w:r>
              <w:rPr/>
              <w:t xml:space="preserve">3</w:t>
            </w:r>
          </w:p>
        </w:tc>
        <w:tc>
          <w:tcPr>
            <w:tcW w:w="426" w:type="dxa"/>
          </w:tcPr>
          <w:p>
            <w:pPr>
              <w:pStyle w:val="CeldaAPA"/>
              <w:jc w:val="center"/>
            </w:pPr>
            <w:r>
              <w:rPr/>
              <w:t xml:space="preserve">2</w:t>
            </w:r>
          </w:p>
        </w:tc>
        <w:tc>
          <w:tcPr>
            <w:tcW w:w="501" w:type="dxa"/>
          </w:tcPr>
          <w:p>
            <w:pPr>
              <w:pStyle w:val="CeldaAPA"/>
              <w:jc w:val="center"/>
            </w:pPr>
            <w:r>
              <w:rPr/>
              <w:t xml:space="preserve">6</w:t>
            </w:r>
          </w:p>
        </w:tc>
        <w:tc>
          <w:tcPr>
            <w:tcW w:w="2872" w:type="dxa"/>
          </w:tcPr>
          <w:p>
            <w:pPr>
              <w:pStyle w:val="CeldaAPA"/>
              <w:jc w:val="left"/>
            </w:pPr>
            <w:r>
              <w:rPr/>
              <w:t xml:space="preserve">PCM-03 y PCM-04; metas de</w:t>
            </w:r>
            <w:r>
              <w:rPr/>
              <w:t xml:space="preserve"> </w:t>
            </w:r>
            <m:oMath>
              <m:r>
                <m:t>I</m:t>
              </m:r>
              <m:r>
                <m:t>D</m:t>
              </m:r>
              <m:r>
                <m:t>M</m:t>
              </m:r>
            </m:oMath>
            <w:r>
              <w:rPr/>
              <w:t xml:space="preserve">; despiece y prearmado del acero</w:t>
            </w:r>
          </w:p>
        </w:tc>
      </w:tr>
      <w:tr>
        <w:tc>
          <w:tcPr>
            <w:tcW w:w="696" w:type="dxa"/>
          </w:tcPr>
          <w:p>
            <w:pPr>
              <w:pStyle w:val="CeldaAPA"/>
              <w:jc w:val="left"/>
            </w:pPr>
            <w:r>
              <w:rPr/>
              <w:t xml:space="preserve">R8</w:t>
            </w:r>
          </w:p>
        </w:tc>
        <w:tc>
          <w:tcPr>
            <w:tcW w:w="2269" w:type="dxa"/>
          </w:tcPr>
          <w:p>
            <w:pPr>
              <w:pStyle w:val="CeldaAPA"/>
              <w:jc w:val="left"/>
            </w:pPr>
            <w:r>
              <w:rPr/>
              <w:t xml:space="preserve">Paño vaciado con defectos de armado, recubrimiento o instalaciones</w:t>
            </w:r>
          </w:p>
        </w:tc>
        <w:tc>
          <w:tcPr>
            <w:tcW w:w="2135" w:type="dxa"/>
          </w:tcPr>
          <w:p>
            <w:pPr>
              <w:pStyle w:val="CeldaAPA"/>
              <w:jc w:val="left"/>
            </w:pPr>
            <w:r>
              <w:rPr/>
              <w:t xml:space="preserve">Sin PPI; parrilla pisada y sin separadores visibles (B6)</w:t>
            </w:r>
          </w:p>
        </w:tc>
        <w:tc>
          <w:tcPr>
            <w:tcW w:w="461" w:type="dxa"/>
          </w:tcPr>
          <w:p>
            <w:pPr>
              <w:pStyle w:val="CeldaAPA"/>
              <w:jc w:val="center"/>
            </w:pPr>
            <w:r>
              <w:rPr/>
              <w:t xml:space="preserve">3</w:t>
            </w:r>
          </w:p>
        </w:tc>
        <w:tc>
          <w:tcPr>
            <w:tcW w:w="426" w:type="dxa"/>
          </w:tcPr>
          <w:p>
            <w:pPr>
              <w:pStyle w:val="CeldaAPA"/>
              <w:jc w:val="center"/>
            </w:pPr>
            <w:r>
              <w:rPr/>
              <w:t xml:space="preserve">3</w:t>
            </w:r>
          </w:p>
        </w:tc>
        <w:tc>
          <w:tcPr>
            <w:tcW w:w="501" w:type="dxa"/>
          </w:tcPr>
          <w:p>
            <w:pPr>
              <w:pStyle w:val="CeldaAPA"/>
              <w:jc w:val="center"/>
            </w:pPr>
            <w:r>
              <w:rPr/>
              <w:t xml:space="preserve">9</w:t>
            </w:r>
          </w:p>
        </w:tc>
        <w:tc>
          <w:tcPr>
            <w:tcW w:w="2872" w:type="dxa"/>
          </w:tcPr>
          <w:p>
            <w:pPr>
              <w:pStyle w:val="CeldaAPA"/>
              <w:jc w:val="left"/>
            </w:pPr>
            <w:r>
              <w:rPr/>
              <w:t xml:space="preserve">Puntos de espera; separadores y pasarelas; ficha C.2 firmada por la Supervisión antes de vaciar</w:t>
            </w:r>
          </w:p>
        </w:tc>
      </w:tr>
      <w:tr>
        <w:tc>
          <w:tcPr>
            <w:tcW w:w="696" w:type="dxa"/>
          </w:tcPr>
          <w:p>
            <w:pPr>
              <w:pStyle w:val="CeldaAPA"/>
              <w:jc w:val="left"/>
            </w:pPr>
            <w:r>
              <w:rPr/>
              <w:t xml:space="preserve">R9</w:t>
            </w:r>
          </w:p>
        </w:tc>
        <w:tc>
          <w:tcPr>
            <w:tcW w:w="2269" w:type="dxa"/>
          </w:tcPr>
          <w:p>
            <w:pPr>
              <w:pStyle w:val="CeldaAPA"/>
              <w:jc w:val="left"/>
            </w:pPr>
            <w:r>
              <w:rPr/>
              <w:t xml:space="preserve">Desabastecimiento de cemento, acero o viguetas y alza de precios</w:t>
            </w:r>
          </w:p>
        </w:tc>
        <w:tc>
          <w:tcPr>
            <w:tcW w:w="2135" w:type="dxa"/>
          </w:tcPr>
          <w:p>
            <w:pPr>
              <w:pStyle w:val="CeldaAPA"/>
              <w:jc w:val="left"/>
            </w:pPr>
            <w:r>
              <w:rPr/>
              <w:t xml:space="preserve">Escasez de diésel; FANCESA paralizada; 30 % del acero entregado; falta de viguetas; decretos de ajuste (B8)</w:t>
            </w:r>
          </w:p>
        </w:tc>
        <w:tc>
          <w:tcPr>
            <w:tcW w:w="461" w:type="dxa"/>
          </w:tcPr>
          <w:p>
            <w:pPr>
              <w:pStyle w:val="CeldaAPA"/>
              <w:jc w:val="center"/>
            </w:pPr>
            <w:r>
              <w:rPr/>
              <w:t xml:space="preserve">3</w:t>
            </w:r>
          </w:p>
        </w:tc>
        <w:tc>
          <w:tcPr>
            <w:tcW w:w="426" w:type="dxa"/>
          </w:tcPr>
          <w:p>
            <w:pPr>
              <w:pStyle w:val="CeldaAPA"/>
              <w:jc w:val="center"/>
            </w:pPr>
            <w:r>
              <w:rPr/>
              <w:t xml:space="preserve">3</w:t>
            </w:r>
          </w:p>
        </w:tc>
        <w:tc>
          <w:tcPr>
            <w:tcW w:w="501" w:type="dxa"/>
          </w:tcPr>
          <w:p>
            <w:pPr>
              <w:pStyle w:val="CeldaAPA"/>
              <w:jc w:val="center"/>
            </w:pPr>
            <w:r>
              <w:rPr/>
              <w:t xml:space="preserve">9</w:t>
            </w:r>
          </w:p>
        </w:tc>
        <w:tc>
          <w:tcPr>
            <w:tcW w:w="2872" w:type="dxa"/>
          </w:tcPr>
          <w:p>
            <w:pPr>
              <w:pStyle w:val="CeldaAPA"/>
              <w:jc w:val="left"/>
            </w:pPr>
            <w:r>
              <w:rPr/>
              <w:t xml:space="preserve">Plan de compras anticipado; existencia mínima como condición de liberación; proveedores alternos; pedido de viguetas por paño con plazos confirmados</w:t>
            </w:r>
          </w:p>
        </w:tc>
      </w:tr>
      <w:tr>
        <w:tc>
          <w:tcPr>
            <w:tcW w:w="696" w:type="dxa"/>
          </w:tcPr>
          <w:p>
            <w:pPr>
              <w:pStyle w:val="CeldaAPA"/>
              <w:jc w:val="left"/>
            </w:pPr>
            <w:r>
              <w:rPr/>
              <w:t xml:space="preserve">R10</w:t>
            </w:r>
          </w:p>
        </w:tc>
        <w:tc>
          <w:tcPr>
            <w:tcW w:w="2269" w:type="dxa"/>
          </w:tcPr>
          <w:p>
            <w:pPr>
              <w:pStyle w:val="CeldaAPA"/>
              <w:jc w:val="left"/>
            </w:pPr>
            <w:r>
              <w:rPr/>
              <w:t xml:space="preserve">Lluvia durante el vaciado o el curado temprano</w:t>
            </w:r>
          </w:p>
        </w:tc>
        <w:tc>
          <w:tcPr>
            <w:tcW w:w="2135" w:type="dxa"/>
          </w:tcPr>
          <w:p>
            <w:pPr>
              <w:pStyle w:val="CeldaAPA"/>
              <w:jc w:val="left"/>
            </w:pPr>
            <w:r>
              <w:rPr/>
              <w:t xml:space="preserve">Siete días de lluvia notificados en 2025 (B9)</w:t>
            </w:r>
          </w:p>
        </w:tc>
        <w:tc>
          <w:tcPr>
            <w:tcW w:w="461" w:type="dxa"/>
          </w:tcPr>
          <w:p>
            <w:pPr>
              <w:pStyle w:val="CeldaAPA"/>
              <w:jc w:val="center"/>
            </w:pPr>
            <w:r>
              <w:rPr/>
              <w:t xml:space="preserve">2</w:t>
            </w:r>
          </w:p>
        </w:tc>
        <w:tc>
          <w:tcPr>
            <w:tcW w:w="426" w:type="dxa"/>
          </w:tcPr>
          <w:p>
            <w:pPr>
              <w:pStyle w:val="CeldaAPA"/>
              <w:jc w:val="center"/>
            </w:pPr>
            <w:r>
              <w:rPr/>
              <w:t xml:space="preserve">2</w:t>
            </w:r>
          </w:p>
        </w:tc>
        <w:tc>
          <w:tcPr>
            <w:tcW w:w="501" w:type="dxa"/>
          </w:tcPr>
          <w:p>
            <w:pPr>
              <w:pStyle w:val="CeldaAPA"/>
              <w:jc w:val="center"/>
            </w:pPr>
            <w:r>
              <w:rPr/>
              <w:t xml:space="preserve">4</w:t>
            </w:r>
          </w:p>
        </w:tc>
        <w:tc>
          <w:tcPr>
            <w:tcW w:w="2872" w:type="dxa"/>
          </w:tcPr>
          <w:p>
            <w:pPr>
              <w:pStyle w:val="CeldaAPA"/>
              <w:jc w:val="left"/>
            </w:pPr>
            <w:r>
              <w:rPr/>
              <w:t xml:space="preserve">Pronóstico del SENAMHI; cobertores; juntas de construcción planificadas</w:t>
            </w:r>
          </w:p>
        </w:tc>
      </w:tr>
      <w:tr>
        <w:tc>
          <w:tcPr>
            <w:tcW w:w="696" w:type="dxa"/>
          </w:tcPr>
          <w:p>
            <w:pPr>
              <w:pStyle w:val="CeldaAPA"/>
              <w:jc w:val="left"/>
            </w:pPr>
            <w:r>
              <w:rPr/>
              <w:t xml:space="preserve">R11</w:t>
            </w:r>
          </w:p>
        </w:tc>
        <w:tc>
          <w:tcPr>
            <w:tcW w:w="2269" w:type="dxa"/>
          </w:tcPr>
          <w:p>
            <w:pPr>
              <w:pStyle w:val="CeldaAPA"/>
              <w:jc w:val="left"/>
            </w:pPr>
            <w:r>
              <w:rPr/>
              <w:t xml:space="preserve">Helada durante el vaciado o el curado</w:t>
            </w:r>
          </w:p>
        </w:tc>
        <w:tc>
          <w:tcPr>
            <w:tcW w:w="2135" w:type="dxa"/>
          </w:tcPr>
          <w:p>
            <w:pPr>
              <w:pStyle w:val="CeldaAPA"/>
              <w:jc w:val="left"/>
            </w:pPr>
            <w:r>
              <w:rPr/>
              <w:t xml:space="preserve">Bajas temperaturas a 3.650 m s. n. m. (B9)</w:t>
            </w:r>
          </w:p>
        </w:tc>
        <w:tc>
          <w:tcPr>
            <w:tcW w:w="461" w:type="dxa"/>
          </w:tcPr>
          <w:p>
            <w:pPr>
              <w:pStyle w:val="CeldaAPA"/>
              <w:jc w:val="center"/>
            </w:pPr>
            <w:r>
              <w:rPr/>
              <w:t xml:space="preserve">2</w:t>
            </w:r>
          </w:p>
        </w:tc>
        <w:tc>
          <w:tcPr>
            <w:tcW w:w="426" w:type="dxa"/>
          </w:tcPr>
          <w:p>
            <w:pPr>
              <w:pStyle w:val="CeldaAPA"/>
              <w:jc w:val="center"/>
            </w:pPr>
            <w:r>
              <w:rPr/>
              <w:t xml:space="preserve">3</w:t>
            </w:r>
          </w:p>
        </w:tc>
        <w:tc>
          <w:tcPr>
            <w:tcW w:w="501" w:type="dxa"/>
          </w:tcPr>
          <w:p>
            <w:pPr>
              <w:pStyle w:val="CeldaAPA"/>
              <w:jc w:val="center"/>
            </w:pPr>
            <w:r>
              <w:rPr/>
              <w:t xml:space="preserve">6</w:t>
            </w:r>
          </w:p>
        </w:tc>
        <w:tc>
          <w:tcPr>
            <w:tcW w:w="2872" w:type="dxa"/>
          </w:tcPr>
          <w:p>
            <w:pPr>
              <w:pStyle w:val="CeldaAPA"/>
              <w:jc w:val="left"/>
            </w:pPr>
            <w:r>
              <w:rPr/>
              <w:t xml:space="preserve">Plan de hormigonado en tiempo frío; registro de temperaturas; agua a más de 5 </w:t>
            </w:r>
            <m:oMath>
              <m:sSup>
                <m:e>
                  <m:r>
                    <m:t>​</m:t>
                  </m:r>
                </m:e>
                <m:sup>
                  <m:r>
                    <m:rPr>
                      <m:sty m:val="p"/>
                    </m:rPr>
                    <m:t>∘</m:t>
                  </m:r>
                </m:sup>
              </m:sSup>
            </m:oMath>
            <w:r>
              <w:rPr/>
              <w:t xml:space="preserve">C; curado controlado</w:t>
            </w:r>
          </w:p>
        </w:tc>
      </w:tr>
      <w:tr>
        <w:tc>
          <w:tcPr>
            <w:tcW w:w="696" w:type="dxa"/>
          </w:tcPr>
          <w:p>
            <w:pPr>
              <w:pStyle w:val="CeldaAPA"/>
              <w:jc w:val="left"/>
            </w:pPr>
            <w:r>
              <w:rPr/>
              <w:t xml:space="preserve">R12</w:t>
            </w:r>
          </w:p>
        </w:tc>
        <w:tc>
          <w:tcPr>
            <w:tcW w:w="2269" w:type="dxa"/>
          </w:tcPr>
          <w:p>
            <w:pPr>
              <w:pStyle w:val="CeldaAPA"/>
              <w:jc w:val="left"/>
            </w:pPr>
            <w:r>
              <w:rPr/>
              <w:t xml:space="preserve">Desapuntalamiento prematuro</w:t>
            </w:r>
          </w:p>
        </w:tc>
        <w:tc>
          <w:tcPr>
            <w:tcW w:w="2135" w:type="dxa"/>
          </w:tcPr>
          <w:p>
            <w:pPr>
              <w:pStyle w:val="CeldaAPA"/>
              <w:jc w:val="left"/>
            </w:pPr>
            <w:r>
              <w:rPr/>
              <w:t xml:space="preserve">Sin criterio documentado en la primera losa</w:t>
            </w:r>
          </w:p>
        </w:tc>
        <w:tc>
          <w:tcPr>
            <w:tcW w:w="461" w:type="dxa"/>
          </w:tcPr>
          <w:p>
            <w:pPr>
              <w:pStyle w:val="CeldaAPA"/>
              <w:jc w:val="center"/>
            </w:pPr>
            <w:r>
              <w:rPr/>
              <w:t xml:space="preserve">2</w:t>
            </w:r>
          </w:p>
        </w:tc>
        <w:tc>
          <w:tcPr>
            <w:tcW w:w="426" w:type="dxa"/>
          </w:tcPr>
          <w:p>
            <w:pPr>
              <w:pStyle w:val="CeldaAPA"/>
              <w:jc w:val="center"/>
            </w:pPr>
            <w:r>
              <w:rPr/>
              <w:t xml:space="preserve">3</w:t>
            </w:r>
          </w:p>
        </w:tc>
        <w:tc>
          <w:tcPr>
            <w:tcW w:w="501" w:type="dxa"/>
          </w:tcPr>
          <w:p>
            <w:pPr>
              <w:pStyle w:val="CeldaAPA"/>
              <w:jc w:val="center"/>
            </w:pPr>
            <w:r>
              <w:rPr/>
              <w:t xml:space="preserve">6</w:t>
            </w:r>
          </w:p>
        </w:tc>
        <w:tc>
          <w:tcPr>
            <w:tcW w:w="2872" w:type="dxa"/>
          </w:tcPr>
          <w:p>
            <w:pPr>
              <w:pStyle w:val="CeldaAPA"/>
              <w:jc w:val="left"/>
            </w:pPr>
            <w:r>
              <w:rPr/>
              <w:t xml:space="preserve">Plazo mínimo y cilindros curados en obra; punto de espera</w:t>
            </w:r>
          </w:p>
        </w:tc>
      </w:tr>
      <w:tr>
        <w:tc>
          <w:tcPr>
            <w:tcW w:w="696" w:type="dxa"/>
          </w:tcPr>
          <w:p>
            <w:pPr>
              <w:pStyle w:val="CeldaAPA"/>
              <w:jc w:val="left"/>
            </w:pPr>
            <w:r>
              <w:rPr/>
              <w:t xml:space="preserve">R13</w:t>
            </w:r>
          </w:p>
        </w:tc>
        <w:tc>
          <w:tcPr>
            <w:tcW w:w="2269" w:type="dxa"/>
          </w:tcPr>
          <w:p>
            <w:pPr>
              <w:pStyle w:val="CeldaAPA"/>
              <w:jc w:val="left"/>
            </w:pPr>
            <w:r>
              <w:rPr/>
              <w:t xml:space="preserve">Personal sin competencia en el sistema o rotación</w:t>
            </w:r>
          </w:p>
        </w:tc>
        <w:tc>
          <w:tcPr>
            <w:tcW w:w="2135" w:type="dxa"/>
          </w:tcPr>
          <w:p>
            <w:pPr>
              <w:pStyle w:val="CeldaAPA"/>
              <w:jc w:val="left"/>
            </w:pPr>
            <w:r>
              <w:rPr/>
              <w:t xml:space="preserve">Cambio de contratista; dependencia de la experiencia del capataz</w:t>
            </w:r>
          </w:p>
        </w:tc>
        <w:tc>
          <w:tcPr>
            <w:tcW w:w="461" w:type="dxa"/>
          </w:tcPr>
          <w:p>
            <w:pPr>
              <w:pStyle w:val="CeldaAPA"/>
              <w:jc w:val="center"/>
            </w:pPr>
            <w:r>
              <w:rPr/>
              <w:t xml:space="preserve">2</w:t>
            </w:r>
          </w:p>
        </w:tc>
        <w:tc>
          <w:tcPr>
            <w:tcW w:w="426" w:type="dxa"/>
          </w:tcPr>
          <w:p>
            <w:pPr>
              <w:pStyle w:val="CeldaAPA"/>
              <w:jc w:val="center"/>
            </w:pPr>
            <w:r>
              <w:rPr/>
              <w:t xml:space="preserve">2</w:t>
            </w:r>
          </w:p>
        </w:tc>
        <w:tc>
          <w:tcPr>
            <w:tcW w:w="501" w:type="dxa"/>
          </w:tcPr>
          <w:p>
            <w:pPr>
              <w:pStyle w:val="CeldaAPA"/>
              <w:jc w:val="center"/>
            </w:pPr>
            <w:r>
              <w:rPr/>
              <w:t xml:space="preserve">4</w:t>
            </w:r>
          </w:p>
        </w:tc>
        <w:tc>
          <w:tcPr>
            <w:tcW w:w="2872" w:type="dxa"/>
          </w:tcPr>
          <w:p>
            <w:pPr>
              <w:pStyle w:val="CeldaAPA"/>
              <w:jc w:val="left"/>
            </w:pPr>
            <w:r>
              <w:rPr/>
              <w:t xml:space="preserve">Programa de capacitación (Sección 2.6.5); instrucciones impresas en los formatos</w:t>
            </w:r>
          </w:p>
        </w:tc>
      </w:tr>
      <w:tr>
        <w:tc>
          <w:tcPr>
            <w:tcW w:w="696" w:type="dxa"/>
            <w:tcBorders>
              <w:bottom w:val="single" w:sz="8" w:space="0" w:color="000000"/>
            </w:tcBorders>
          </w:tcPr>
          <w:p>
            <w:pPr>
              <w:pStyle w:val="CeldaAPA"/>
              <w:jc w:val="left"/>
            </w:pPr>
            <w:r>
              <w:rPr/>
              <w:t xml:space="preserve">R14</w:t>
            </w:r>
          </w:p>
        </w:tc>
        <w:tc>
          <w:tcPr>
            <w:tcW w:w="2269" w:type="dxa"/>
            <w:tcBorders>
              <w:bottom w:val="single" w:sz="8" w:space="0" w:color="000000"/>
            </w:tcBorders>
          </w:tcPr>
          <w:p>
            <w:pPr>
              <w:pStyle w:val="CeldaAPA"/>
              <w:jc w:val="left"/>
            </w:pPr>
            <w:r>
              <w:rPr/>
              <w:t xml:space="preserve">Cambio de diseño sin registro</w:t>
            </w:r>
          </w:p>
        </w:tc>
        <w:tc>
          <w:tcPr>
            <w:tcW w:w="2135" w:type="dxa"/>
            <w:tcBorders>
              <w:bottom w:val="single" w:sz="8" w:space="0" w:color="000000"/>
            </w:tcBorders>
          </w:tcPr>
          <w:p>
            <w:pPr>
              <w:pStyle w:val="CeldaAPA"/>
              <w:jc w:val="left"/>
            </w:pPr>
            <w:r>
              <w:rPr/>
              <w:t xml:space="preserve">Modificaciones estructurales por falta de viguetas, sin detalle de lo modificado (B8)</w:t>
            </w:r>
          </w:p>
        </w:tc>
        <w:tc>
          <w:tcPr>
            <w:tcW w:w="461" w:type="dxa"/>
            <w:tcBorders>
              <w:bottom w:val="single" w:sz="8" w:space="0" w:color="000000"/>
            </w:tcBorders>
          </w:tcPr>
          <w:p>
            <w:pPr>
              <w:pStyle w:val="CeldaAPA"/>
              <w:jc w:val="center"/>
            </w:pPr>
            <w:r>
              <w:rPr/>
              <w:t xml:space="preserve">2</w:t>
            </w:r>
          </w:p>
        </w:tc>
        <w:tc>
          <w:tcPr>
            <w:tcW w:w="426" w:type="dxa"/>
            <w:tcBorders>
              <w:bottom w:val="single" w:sz="8" w:space="0" w:color="000000"/>
            </w:tcBorders>
          </w:tcPr>
          <w:p>
            <w:pPr>
              <w:pStyle w:val="CeldaAPA"/>
              <w:jc w:val="center"/>
            </w:pPr>
            <w:r>
              <w:rPr/>
              <w:t xml:space="preserve">3</w:t>
            </w:r>
          </w:p>
        </w:tc>
        <w:tc>
          <w:tcPr>
            <w:tcW w:w="501" w:type="dxa"/>
            <w:tcBorders>
              <w:bottom w:val="single" w:sz="8" w:space="0" w:color="000000"/>
            </w:tcBorders>
          </w:tcPr>
          <w:p>
            <w:pPr>
              <w:pStyle w:val="CeldaAPA"/>
              <w:jc w:val="center"/>
            </w:pPr>
            <w:r>
              <w:rPr/>
              <w:t xml:space="preserve">6</w:t>
            </w:r>
          </w:p>
        </w:tc>
        <w:tc>
          <w:tcPr>
            <w:tcW w:w="2872" w:type="dxa"/>
            <w:tcBorders>
              <w:bottom w:val="single" w:sz="8" w:space="0" w:color="000000"/>
            </w:tcBorders>
          </w:tcPr>
          <w:p>
            <w:pPr>
              <w:pStyle w:val="CeldaAPA"/>
              <w:jc w:val="left"/>
            </w:pPr>
            <w:r>
              <w:rPr/>
              <w:t xml:space="preserve">Gestión de cambios: consulta técnica aprobada y documentos actualizados</w:t>
            </w:r>
          </w:p>
        </w:tc>
      </w:tr>
    </w:tbl>
    <w:p>
      <w:pPr>
        <w:pStyle w:val="NotaAPA"/>
      </w:pPr>
      <w:r>
        <w:rPr>
          <w:iCs/>
          <w:i/>
        </w:rPr>
        <w:t xml:space="preserve">Nota.</w:t>
      </w:r>
      <w:r>
        <w:t xml:space="preserve"> </w:t>
      </w:r>
      <w:r>
        <w:t xml:space="preserve">Elaboración propia.</w:t>
      </w:r>
      <w:r>
        <w:t xml:space="preserve"> </w:t>
      </w:r>
      <m:oMath>
        <m:r>
          <m:t>P</m:t>
        </m:r>
      </m:oMath>
      <w:r>
        <w:t xml:space="preserve">: probabilidad;</w:t>
      </w:r>
      <w:r>
        <w:t xml:space="preserve"> </w:t>
      </w:r>
      <m:oMath>
        <m:r>
          <m:t>I</m:t>
        </m:r>
      </m:oMath>
      <w:r>
        <w:t xml:space="preserve">: impacto;</w:t>
      </w:r>
      <w:r>
        <w:t xml:space="preserve"> </w:t>
      </w:r>
      <m:oMath>
        <m:r>
          <m:t>N</m:t>
        </m:r>
        <m:r>
          <m:rPr>
            <m:sty m:val="p"/>
          </m:rPr>
          <m:t>=</m:t>
        </m:r>
        <m:r>
          <m:t>P</m:t>
        </m:r>
        <m:r>
          <m:rPr>
            <m:sty m:val="p"/>
          </m:rPr>
          <m:t>×</m:t>
        </m:r>
        <m:r>
          <m:t>I</m:t>
        </m:r>
      </m:oMath>
      <w:r>
        <w:t xml:space="preserve"> </w:t>
      </w:r>
      <w:r>
        <w:t xml:space="preserve">(bajo: 1–2; medio: 3–4; alto: 6–9). La valoración es cualitativa y se basa en la evidencia de la línea base; debe revisarse en la reunión de inicio de obra. B1 a B9: brechas de la línea base.</w:t>
      </w:r>
    </w:p>
    <w:p>
      <w:pPr>
        <w:pStyle w:val="BodyText"/>
      </w:pPr>
      <w:r>
        <w:rPr>
          <w:bCs/>
          <w:b/>
        </w:rPr>
        <w:t xml:space="preserve">Oportunidades.</w:t>
      </w:r>
      <w:r>
        <w:t xml:space="preserve"> </w:t>
      </w:r>
      <w:r>
        <w:t xml:space="preserve">El análisis también identificó oportunidades que el sistema debe aprovechar:</w:t>
      </w:r>
      <w:r>
        <w:t xml:space="preserve"> </w:t>
      </w:r>
      <w:r>
        <w:t xml:space="preserve">(a) el despiece previo y el prearmado del acero, con los que</w:t>
      </w:r>
      <w:r>
        <w:t xml:space="preserve"> </w:t>
      </w:r>
      <w:r>
        <w:t xml:space="preserve">Galarza Meza (2011, p. 75)</w:t>
      </w:r>
      <w:r>
        <w:t xml:space="preserve"> </w:t>
      </w:r>
      <w:r>
        <w:t xml:space="preserve">obtuvo un desperdicio final de 4,04 % frente al 7 % previsto en el presupuesto, y con los que</w:t>
      </w:r>
      <w:r>
        <w:t xml:space="preserve"> </w:t>
      </w:r>
      <w:r>
        <w:t xml:space="preserve">Chino Quispe y Zarate Chilqquetuma (2024, p. 192)</w:t>
      </w:r>
      <w:r>
        <w:t xml:space="preserve"> </w:t>
      </w:r>
      <w:r>
        <w:t xml:space="preserve">redujeron el desperdicio de 14,58 % a 8,94 % y de 17,09 % a 6,71 % en dos edificaciones; (b) el pedido de viguetas a medida por paño, porque la segunda y la tercera losa repiten la geometría de la primera y el Plano 03 ya define el número y la longitud de las viguetas; (c) el uso de los 41 paños de la primera losa como plantilla para comparar paño por paño las cantidades teóricas y reales; y (d) la limitación del volumen adicional de hormigón por vaciado, medida con la que</w:t>
      </w:r>
      <w:r>
        <w:t xml:space="preserve"> </w:t>
      </w:r>
      <w:r>
        <w:t xml:space="preserve">Galarza Meza (2011, p. 73)</w:t>
      </w:r>
      <w:r>
        <w:t xml:space="preserve"> </w:t>
      </w:r>
      <w:r>
        <w:t xml:space="preserve">bajó el desperdicio de hormigón a 2,8 %.</w:t>
      </w:r>
    </w:p>
    <w:p>
      <w:pPr>
        <w:pStyle w:val="BodyText"/>
      </w:pPr>
      <w:r>
        <w:rPr>
          <w:bCs/>
          <w:b/>
        </w:rPr>
        <w:t xml:space="preserve">Objetivos de la calidad.</w:t>
      </w:r>
      <w:r>
        <w:t xml:space="preserve"> </w:t>
      </w:r>
      <w:r>
        <w:t xml:space="preserve">Los objetivos de la Tabla 33 son medibles y tienen meta, frecuencia y responsable; se calculan con las ecuaciones de la Sección 2.3. Las metas de desperdicio se fundamentan en la literatura: para el hormigón,</w:t>
      </w:r>
      <w:r>
        <w:t xml:space="preserve"> </w:t>
      </w:r>
      <m:oMath>
        <m:r>
          <m:t>I</m:t>
        </m:r>
        <m:r>
          <m:t>D</m:t>
        </m:r>
        <m:r>
          <m:t>M</m:t>
        </m:r>
        <m:r>
          <m:rPr>
            <m:sty m:val="p"/>
          </m:rPr>
          <m:t>≤</m:t>
        </m:r>
        <m:r>
          <m:t>3</m:t>
        </m:r>
      </m:oMath>
      <w:r>
        <w:t xml:space="preserve"> %, porque</w:t>
      </w:r>
      <w:r>
        <w:t xml:space="preserve"> </w:t>
      </w:r>
      <w:r>
        <w:t xml:space="preserve">Galarza Meza (2011, p. 73)</w:t>
      </w:r>
      <w:r>
        <w:t xml:space="preserve"> </w:t>
      </w:r>
      <w:r>
        <w:t xml:space="preserve">obtuvo 2,8 % al limitar el volumen adicional de los pedidos al 2 % y</w:t>
      </w:r>
      <w:r>
        <w:t xml:space="preserve"> </w:t>
      </w:r>
      <w:r>
        <w:t xml:space="preserve">Ruiz Muñoz y Rojas Bonilla (2018, pp. 33, 69)</w:t>
      </w:r>
      <w:r>
        <w:t xml:space="preserve"> </w:t>
      </w:r>
      <w:r>
        <w:t xml:space="preserve">reportan desperdicios previstos de 3 a 6 % en placas y muros, frente a pérdidas reales de 9 % en las placas sin control; para el acero,</w:t>
      </w:r>
      <w:r>
        <w:t xml:space="preserve"> </w:t>
      </w:r>
      <m:oMath>
        <m:r>
          <m:t>I</m:t>
        </m:r>
        <m:r>
          <m:t>D</m:t>
        </m:r>
        <m:r>
          <m:t>M</m:t>
        </m:r>
        <m:r>
          <m:rPr>
            <m:sty m:val="p"/>
          </m:rPr>
          <m:t>≤</m:t>
        </m:r>
        <m:r>
          <m:t>4</m:t>
        </m:r>
      </m:oMath>
      <w:r>
        <w:t xml:space="preserve"> %, valor logrado con prearmado (4,04 %) y con acero predimensionado (3,75 %)</w:t>
      </w:r>
      <w:r>
        <w:t xml:space="preserve"> </w:t>
      </w:r>
      <w:r>
        <w:t xml:space="preserve">(Galarza Meza, 2011, pp. 75–76)</w:t>
      </w:r>
      <w:r>
        <w:t xml:space="preserve">. Para las viguetas, fabricadas a medida, la meta es</w:t>
      </w:r>
      <w:r>
        <w:t xml:space="preserve"> </w:t>
      </w:r>
      <m:oMath>
        <m:r>
          <m:t>I</m:t>
        </m:r>
        <m:r>
          <m:t>D</m:t>
        </m:r>
        <m:r>
          <m:t>M</m:t>
        </m:r>
        <m:r>
          <m:rPr>
            <m:sty m:val="p"/>
          </m:rPr>
          <m:t>≤</m:t>
        </m:r>
        <m:r>
          <m:t>1</m:t>
        </m:r>
      </m:oMath>
      <w:r>
        <w:t xml:space="preserve"> % (toda vigueta rota es una no conformidad), y para el EPS,</w:t>
      </w:r>
      <w:r>
        <w:t xml:space="preserve"> </w:t>
      </w:r>
      <m:oMath>
        <m:r>
          <m:t>I</m:t>
        </m:r>
        <m:r>
          <m:t>D</m:t>
        </m:r>
        <m:r>
          <m:t>M</m:t>
        </m:r>
        <m:r>
          <m:rPr>
            <m:sty m:val="p"/>
          </m:rPr>
          <m:t>≤</m:t>
        </m:r>
        <m:r>
          <m:t>3</m:t>
        </m:r>
      </m:oMath>
      <w:r>
        <w:t xml:space="preserve"> %, la mitad del exceso bruto preliminar de la línea base, a recalibrar con el Plano 03. Estas dos últimas metas son supuestos del autor, a validar por juicio de expertos. Las metas son de gestión; la evaluación</w:t>
      </w:r>
      <w:r>
        <w:t xml:space="preserve"> </w:t>
      </w:r>
      <w:r>
        <w:rPr>
          <w:iCs/>
          <w:i/>
        </w:rPr>
        <w:t xml:space="preserve">ex ante</w:t>
      </w:r>
      <w:r>
        <w:t xml:space="preserve"> </w:t>
      </w:r>
      <w:r>
        <w:t xml:space="preserve">modela sus parámetros por separado (Sección 2.7.2).</w:t>
      </w:r>
    </w:p>
    <w:p>
      <w:pPr>
        <w:pStyle w:val="Caption"/>
      </w:pPr>
      <w:bookmarkStart w:id="1446" w:name="tab33"/>
      <w:r>
        <w:t xml:space="preserve"/>
      </w:r>
      <w:r>
        <w:rPr>
          <w:bCs/>
          <w:b/>
        </w:rPr>
        <w:t xml:space="preserve">Tabla 33</w:t>
      </w:r>
      <w:r>
        <w:br/>
      </w:r>
      <w:r>
        <w:rPr>
          <w:iCs/>
          <w:i/>
        </w:rPr>
        <w:t xml:space="preserve">Objetivos de la calidad, indicadores y metas del SGC</w:t>
      </w:r>
      <w:bookmarkEnd w:id="1446"/>
    </w:p>
    <w:tbl>
      <w:tblPr>
        <w:tblStyle w:val="Table"/>
        <w:tblW w:w="9360" w:type="dxa"/>
        <w:jc w:val="left"/>
        <w:tblLayout w:type="fixed"/>
        <w:tblCellMar>
          <w:top w:w="0" w:type="dxa"/>
          <w:left w:w="85" w:type="dxa"/>
          <w:bottom w:w="0" w:type="dxa"/>
          <w:right w:w="85" w:type="dxa"/>
        </w:tblCellMar>
        <w:tblLook w:firstRow="1" w:lastRow="0" w:firstColumn="0" w:lastColumn="0" w:noHBand="0" w:noVBand="0" w:val="0020"/>
      </w:tblPr>
      <w:tblGrid>
        <w:gridCol w:w="871"/>
        <w:gridCol w:w="1853"/>
        <w:gridCol w:w="2108"/>
        <w:gridCol w:w="1406"/>
        <w:gridCol w:w="1572"/>
        <w:gridCol w:w="1550"/>
      </w:tblGrid>
      <w:tr>
        <w:trPr>
          <w:cantSplit/>
          <w:tblHeader w:val="true"/>
        </w:trPr>
        <w:tc>
          <w:tcPr>
            <w:tcW w:w="871" w:type="dxa"/>
            <w:tcBorders>
              <w:top w:val="single" w:sz="8" w:space="0" w:color="000000"/>
              <w:bottom w:val="single" w:sz="4" w:space="0" w:color="000000"/>
            </w:tcBorders>
          </w:tcPr>
          <w:p>
            <w:pPr>
              <w:pStyle w:val="CeldaAPA"/>
              <w:jc w:val="center"/>
            </w:pPr>
            <w:r>
              <w:rPr>
                <w:bCs/>
                <w:b/>
              </w:rPr>
              <w:t xml:space="preserve">Cód.</w:t>
            </w:r>
          </w:p>
        </w:tc>
        <w:tc>
          <w:tcPr>
            <w:tcW w:w="1853" w:type="dxa"/>
            <w:tcBorders>
              <w:top w:val="single" w:sz="8" w:space="0" w:color="000000"/>
              <w:bottom w:val="single" w:sz="4" w:space="0" w:color="000000"/>
            </w:tcBorders>
          </w:tcPr>
          <w:p>
            <w:pPr>
              <w:pStyle w:val="CeldaAPA"/>
              <w:jc w:val="center"/>
            </w:pPr>
            <w:r>
              <w:rPr>
                <w:bCs/>
                <w:b/>
              </w:rPr>
              <w:t xml:space="preserve">Objetivo e indicador</w:t>
            </w:r>
          </w:p>
        </w:tc>
        <w:tc>
          <w:tcPr>
            <w:tcW w:w="2108" w:type="dxa"/>
            <w:tcBorders>
              <w:top w:val="single" w:sz="8" w:space="0" w:color="000000"/>
              <w:bottom w:val="single" w:sz="4" w:space="0" w:color="000000"/>
            </w:tcBorders>
          </w:tcPr>
          <w:p>
            <w:pPr>
              <w:pStyle w:val="CeldaAPA"/>
              <w:jc w:val="center"/>
            </w:pPr>
            <w:r>
              <w:rPr>
                <w:bCs/>
                <w:b/>
              </w:rPr>
              <w:t xml:space="preserve">Fórmula</w:t>
            </w:r>
          </w:p>
        </w:tc>
        <w:tc>
          <w:tcPr>
            <w:tcW w:w="1406" w:type="dxa"/>
            <w:tcBorders>
              <w:top w:val="single" w:sz="8" w:space="0" w:color="000000"/>
              <w:bottom w:val="single" w:sz="4" w:space="0" w:color="000000"/>
            </w:tcBorders>
          </w:tcPr>
          <w:p>
            <w:pPr>
              <w:pStyle w:val="CeldaAPA"/>
              <w:jc w:val="center"/>
            </w:pPr>
            <w:r>
              <w:rPr>
                <w:bCs/>
                <w:b/>
              </w:rPr>
              <w:t xml:space="preserve">Meta</w:t>
            </w:r>
          </w:p>
        </w:tc>
        <w:tc>
          <w:tcPr>
            <w:tcW w:w="1572" w:type="dxa"/>
            <w:tcBorders>
              <w:top w:val="single" w:sz="8" w:space="0" w:color="000000"/>
              <w:bottom w:val="single" w:sz="4" w:space="0" w:color="000000"/>
            </w:tcBorders>
          </w:tcPr>
          <w:p>
            <w:pPr>
              <w:pStyle w:val="CeldaAPA"/>
              <w:jc w:val="center"/>
            </w:pPr>
            <w:r>
              <w:rPr>
                <w:bCs/>
                <w:b/>
              </w:rPr>
              <w:t xml:space="preserve">Frecuencia</w:t>
            </w:r>
          </w:p>
        </w:tc>
        <w:tc>
          <w:tcPr>
            <w:tcW w:w="1550" w:type="dxa"/>
            <w:tcBorders>
              <w:top w:val="single" w:sz="8" w:space="0" w:color="000000"/>
              <w:bottom w:val="single" w:sz="4" w:space="0" w:color="000000"/>
            </w:tcBorders>
          </w:tcPr>
          <w:p>
            <w:pPr>
              <w:pStyle w:val="CeldaAPA"/>
              <w:jc w:val="center"/>
            </w:pPr>
            <w:r>
              <w:rPr>
                <w:bCs/>
                <w:b/>
              </w:rPr>
              <w:t xml:space="preserve">Fuente y responsable</w:t>
            </w:r>
          </w:p>
        </w:tc>
      </w:tr>
      <w:tr>
        <w:tc>
          <w:tcPr>
            <w:tcW w:w="871" w:type="dxa"/>
          </w:tcPr>
          <w:p>
            <w:pPr>
              <w:pStyle w:val="CeldaAPA"/>
              <w:jc w:val="left"/>
            </w:pPr>
            <w:r>
              <w:rPr/>
              <w:t xml:space="preserve">OC1</w:t>
            </w:r>
          </w:p>
        </w:tc>
        <w:tc>
          <w:tcPr>
            <w:tcW w:w="1853" w:type="dxa"/>
          </w:tcPr>
          <w:p>
            <w:pPr>
              <w:pStyle w:val="CeldaAPA"/>
              <w:jc w:val="left"/>
            </w:pPr>
            <w:r>
              <w:rPr/>
              <w:t xml:space="preserve">Reducir el desperdicio de hormigón:</w:t>
            </w:r>
            <w:r>
              <w:rPr/>
              <w:t xml:space="preserve"> </w:t>
            </w:r>
            <m:oMath>
              <m:r>
                <m:t>I</m:t>
              </m:r>
              <m:r>
                <m:t>D</m:t>
              </m:r>
              <m:sSub>
                <m:e>
                  <m:r>
                    <m:t>M</m:t>
                  </m:r>
                </m:e>
                <m:sub>
                  <m:r>
                    <m:t>H</m:t>
                  </m:r>
                </m:sub>
              </m:sSub>
            </m:oMath>
          </w:p>
        </w:tc>
        <w:tc>
          <w:tcPr>
            <w:tcW w:w="2108" w:type="dxa"/>
          </w:tcPr>
          <w:p>
            <w:pPr>
              <w:pStyle w:val="CeldaAPA"/>
              <w:jc w:val="left"/>
            </w:pPr>
            <w:r>
              <w:rPr/>
              <w:t xml:space="preserve">Ecuación (8) con el volumen producido (pastones</w:t>
            </w:r>
            <w:r>
              <w:rPr/>
              <w:t xml:space="preserve"> </w:t>
            </w:r>
            <m:oMath>
              <m:r>
                <m:rPr>
                  <m:sty m:val="p"/>
                </m:rPr>
                <m:t>×</m:t>
              </m:r>
            </m:oMath>
            <w:r>
              <w:rPr/>
              <w:t xml:space="preserve"> </w:t>
            </w:r>
            <w:r>
              <w:rPr/>
              <w:t xml:space="preserve">rendimiento) frente al volumen teórico</w:t>
            </w:r>
          </w:p>
        </w:tc>
        <w:tc>
          <w:tcPr>
            <w:tcW w:w="1406" w:type="dxa"/>
          </w:tcPr>
          <w:p>
            <w:pPr>
              <w:pStyle w:val="CeldaAPA"/>
              <w:jc w:val="left"/>
            </w:pPr>
            <m:oMath>
              <m:r>
                <m:rPr>
                  <m:sty m:val="p"/>
                </m:rPr>
                <m:t>≤</m:t>
              </m:r>
              <m:r>
                <m:t>3</m:t>
              </m:r>
            </m:oMath>
            <w:r>
              <w:rPr/>
              <w:t xml:space="preserve"> %</w:t>
            </w:r>
          </w:p>
        </w:tc>
        <w:tc>
          <w:tcPr>
            <w:tcW w:w="1572" w:type="dxa"/>
          </w:tcPr>
          <w:p>
            <w:pPr>
              <w:pStyle w:val="CeldaAPA"/>
              <w:jc w:val="left"/>
            </w:pPr>
            <w:r>
              <w:rPr/>
              <w:t xml:space="preserve">Cada vaciado</w:t>
            </w:r>
          </w:p>
        </w:tc>
        <w:tc>
          <w:tcPr>
            <w:tcW w:w="1550" w:type="dxa"/>
          </w:tcPr>
          <w:p>
            <w:pPr>
              <w:pStyle w:val="CeldaAPA"/>
              <w:jc w:val="left"/>
            </w:pPr>
            <w:r>
              <w:rPr/>
              <w:t xml:space="preserve">C.4; RC</w:t>
            </w:r>
          </w:p>
        </w:tc>
      </w:tr>
      <w:tr>
        <w:tc>
          <w:tcPr>
            <w:tcW w:w="871" w:type="dxa"/>
          </w:tcPr>
          <w:p>
            <w:pPr>
              <w:pStyle w:val="CeldaAPA"/>
              <w:jc w:val="left"/>
            </w:pPr>
            <w:r>
              <w:rPr/>
              <w:t xml:space="preserve">OC2</w:t>
            </w:r>
          </w:p>
        </w:tc>
        <w:tc>
          <w:tcPr>
            <w:tcW w:w="1853" w:type="dxa"/>
          </w:tcPr>
          <w:p>
            <w:pPr>
              <w:pStyle w:val="CeldaAPA"/>
              <w:jc w:val="left"/>
            </w:pPr>
            <w:r>
              <w:rPr/>
              <w:t xml:space="preserve">Reducir el desperdicio de acero:</w:t>
            </w:r>
            <w:r>
              <w:rPr/>
              <w:t xml:space="preserve"> </w:t>
            </w:r>
            <m:oMath>
              <m:r>
                <m:t>I</m:t>
              </m:r>
              <m:r>
                <m:t>D</m:t>
              </m:r>
              <m:sSub>
                <m:e>
                  <m:r>
                    <m:t>M</m:t>
                  </m:r>
                </m:e>
                <m:sub>
                  <m:r>
                    <m:t>A</m:t>
                  </m:r>
                </m:sub>
              </m:sSub>
            </m:oMath>
          </w:p>
        </w:tc>
        <w:tc>
          <w:tcPr>
            <w:tcW w:w="2108" w:type="dxa"/>
          </w:tcPr>
          <w:p>
            <w:pPr>
              <w:pStyle w:val="CeldaAPA"/>
              <w:jc w:val="left"/>
            </w:pPr>
            <w:r>
              <w:rPr/>
              <w:t xml:space="preserve">Ecuación (8) con los kg despachados menos los devueltos frente a los kg de planos</w:t>
            </w:r>
          </w:p>
        </w:tc>
        <w:tc>
          <w:tcPr>
            <w:tcW w:w="1406" w:type="dxa"/>
          </w:tcPr>
          <w:p>
            <w:pPr>
              <w:pStyle w:val="CeldaAPA"/>
              <w:jc w:val="left"/>
            </w:pPr>
            <m:oMath>
              <m:r>
                <m:rPr>
                  <m:sty m:val="p"/>
                </m:rPr>
                <m:t>≤</m:t>
              </m:r>
              <m:r>
                <m:t>4</m:t>
              </m:r>
            </m:oMath>
            <w:r>
              <w:rPr/>
              <w:t xml:space="preserve"> %</w:t>
            </w:r>
          </w:p>
        </w:tc>
        <w:tc>
          <w:tcPr>
            <w:tcW w:w="1572" w:type="dxa"/>
          </w:tcPr>
          <w:p>
            <w:pPr>
              <w:pStyle w:val="CeldaAPA"/>
              <w:jc w:val="left"/>
            </w:pPr>
            <w:r>
              <w:rPr/>
              <w:t xml:space="preserve">Cada paño y planilla</w:t>
            </w:r>
          </w:p>
        </w:tc>
        <w:tc>
          <w:tcPr>
            <w:tcW w:w="1550" w:type="dxa"/>
          </w:tcPr>
          <w:p>
            <w:pPr>
              <w:pStyle w:val="CeldaAPA"/>
              <w:jc w:val="left"/>
            </w:pPr>
            <w:r>
              <w:rPr/>
              <w:t xml:space="preserve">C.4; RC y AL</w:t>
            </w:r>
          </w:p>
        </w:tc>
      </w:tr>
      <w:tr>
        <w:tc>
          <w:tcPr>
            <w:tcW w:w="871" w:type="dxa"/>
          </w:tcPr>
          <w:p>
            <w:pPr>
              <w:pStyle w:val="CeldaAPA"/>
              <w:jc w:val="left"/>
            </w:pPr>
            <w:r>
              <w:rPr/>
              <w:t xml:space="preserve">OC3</w:t>
            </w:r>
          </w:p>
        </w:tc>
        <w:tc>
          <w:tcPr>
            <w:tcW w:w="1853" w:type="dxa"/>
          </w:tcPr>
          <w:p>
            <w:pPr>
              <w:pStyle w:val="CeldaAPA"/>
              <w:jc w:val="left"/>
            </w:pPr>
            <w:r>
              <w:rPr/>
              <w:t xml:space="preserve">Reducir el desperdicio de viguetas:</w:t>
            </w:r>
            <w:r>
              <w:rPr/>
              <w:t xml:space="preserve"> </w:t>
            </w:r>
            <m:oMath>
              <m:r>
                <m:t>I</m:t>
              </m:r>
              <m:r>
                <m:t>D</m:t>
              </m:r>
              <m:sSub>
                <m:e>
                  <m:r>
                    <m:t>M</m:t>
                  </m:r>
                </m:e>
                <m:sub>
                  <m:r>
                    <m:t>V</m:t>
                  </m:r>
                </m:sub>
              </m:sSub>
            </m:oMath>
          </w:p>
        </w:tc>
        <w:tc>
          <w:tcPr>
            <w:tcW w:w="2108" w:type="dxa"/>
          </w:tcPr>
          <w:p>
            <w:pPr>
              <w:pStyle w:val="CeldaAPA"/>
              <w:jc w:val="left"/>
            </w:pPr>
            <w:r>
              <w:rPr/>
              <w:t xml:space="preserve">Ecuación (8) en metros lineales por tipo de vigueta</w:t>
            </w:r>
          </w:p>
        </w:tc>
        <w:tc>
          <w:tcPr>
            <w:tcW w:w="1406" w:type="dxa"/>
          </w:tcPr>
          <w:p>
            <w:pPr>
              <w:pStyle w:val="CeldaAPA"/>
              <w:jc w:val="left"/>
            </w:pPr>
            <m:oMath>
              <m:r>
                <m:rPr>
                  <m:sty m:val="p"/>
                </m:rPr>
                <m:t>≤</m:t>
              </m:r>
              <m:r>
                <m:t>1</m:t>
              </m:r>
            </m:oMath>
            <w:r>
              <w:rPr/>
              <w:t xml:space="preserve"> %</w:t>
            </w:r>
          </w:p>
        </w:tc>
        <w:tc>
          <w:tcPr>
            <w:tcW w:w="1572" w:type="dxa"/>
          </w:tcPr>
          <w:p>
            <w:pPr>
              <w:pStyle w:val="CeldaAPA"/>
              <w:jc w:val="left"/>
            </w:pPr>
            <w:r>
              <w:rPr/>
              <w:t xml:space="preserve">Cada paño</w:t>
            </w:r>
          </w:p>
        </w:tc>
        <w:tc>
          <w:tcPr>
            <w:tcW w:w="1550" w:type="dxa"/>
          </w:tcPr>
          <w:p>
            <w:pPr>
              <w:pStyle w:val="CeldaAPA"/>
              <w:jc w:val="left"/>
            </w:pPr>
            <w:r>
              <w:rPr/>
              <w:t xml:space="preserve">C.4; RC</w:t>
            </w:r>
          </w:p>
        </w:tc>
      </w:tr>
      <w:tr>
        <w:tc>
          <w:tcPr>
            <w:tcW w:w="871" w:type="dxa"/>
          </w:tcPr>
          <w:p>
            <w:pPr>
              <w:pStyle w:val="CeldaAPA"/>
              <w:jc w:val="left"/>
            </w:pPr>
            <w:r>
              <w:rPr/>
              <w:t xml:space="preserve">OC4</w:t>
            </w:r>
          </w:p>
        </w:tc>
        <w:tc>
          <w:tcPr>
            <w:tcW w:w="1853" w:type="dxa"/>
          </w:tcPr>
          <w:p>
            <w:pPr>
              <w:pStyle w:val="CeldaAPA"/>
              <w:jc w:val="left"/>
            </w:pPr>
            <w:r>
              <w:rPr/>
              <w:t xml:space="preserve">Reducir el desperdicio de complementos:</w:t>
            </w:r>
            <w:r>
              <w:rPr/>
              <w:t xml:space="preserve"> </w:t>
            </w:r>
            <m:oMath>
              <m:r>
                <m:t>I</m:t>
              </m:r>
              <m:r>
                <m:t>D</m:t>
              </m:r>
              <m:sSub>
                <m:e>
                  <m:r>
                    <m:t>M</m:t>
                  </m:r>
                </m:e>
                <m:sub>
                  <m:r>
                    <m:t>E</m:t>
                  </m:r>
                  <m:r>
                    <m:t>P</m:t>
                  </m:r>
                  <m:r>
                    <m:t>S</m:t>
                  </m:r>
                </m:sub>
              </m:sSub>
            </m:oMath>
          </w:p>
        </w:tc>
        <w:tc>
          <w:tcPr>
            <w:tcW w:w="2108" w:type="dxa"/>
          </w:tcPr>
          <w:p>
            <w:pPr>
              <w:pStyle w:val="CeldaAPA"/>
              <w:jc w:val="left"/>
            </w:pPr>
            <w:r>
              <w:rPr/>
              <w:t xml:space="preserve">Ecuación (8) en piezas (equivalentes a pieza entera)</w:t>
            </w:r>
          </w:p>
        </w:tc>
        <w:tc>
          <w:tcPr>
            <w:tcW w:w="1406" w:type="dxa"/>
          </w:tcPr>
          <w:p>
            <w:pPr>
              <w:pStyle w:val="CeldaAPA"/>
              <w:jc w:val="left"/>
            </w:pPr>
            <m:oMath>
              <m:r>
                <m:rPr>
                  <m:sty m:val="p"/>
                </m:rPr>
                <m:t>≤</m:t>
              </m:r>
              <m:r>
                <m:t>3</m:t>
              </m:r>
            </m:oMath>
            <w:r>
              <w:rPr/>
              <w:t xml:space="preserve"> %</w:t>
            </w:r>
          </w:p>
        </w:tc>
        <w:tc>
          <w:tcPr>
            <w:tcW w:w="1572" w:type="dxa"/>
          </w:tcPr>
          <w:p>
            <w:pPr>
              <w:pStyle w:val="CeldaAPA"/>
              <w:jc w:val="left"/>
            </w:pPr>
            <w:r>
              <w:rPr/>
              <w:t xml:space="preserve">Cada paño</w:t>
            </w:r>
          </w:p>
        </w:tc>
        <w:tc>
          <w:tcPr>
            <w:tcW w:w="1550" w:type="dxa"/>
          </w:tcPr>
          <w:p>
            <w:pPr>
              <w:pStyle w:val="CeldaAPA"/>
              <w:jc w:val="left"/>
            </w:pPr>
            <w:r>
              <w:rPr/>
              <w:t xml:space="preserve">C.4; RC</w:t>
            </w:r>
          </w:p>
        </w:tc>
      </w:tr>
      <w:tr>
        <w:tc>
          <w:tcPr>
            <w:tcW w:w="871" w:type="dxa"/>
          </w:tcPr>
          <w:p>
            <w:pPr>
              <w:pStyle w:val="CeldaAPA"/>
              <w:jc w:val="left"/>
            </w:pPr>
            <w:r>
              <w:rPr/>
              <w:t xml:space="preserve">OC5</w:t>
            </w:r>
          </w:p>
        </w:tc>
        <w:tc>
          <w:tcPr>
            <w:tcW w:w="1853" w:type="dxa"/>
          </w:tcPr>
          <w:p>
            <w:pPr>
              <w:pStyle w:val="CeldaAPA"/>
              <w:jc w:val="left"/>
            </w:pPr>
            <w:r>
              <w:rPr/>
              <w:t xml:space="preserve">Asegurar materiales conformes:</w:t>
            </w:r>
            <w:r>
              <w:rPr/>
              <w:t xml:space="preserve"> </w:t>
            </w:r>
            <m:oMath>
              <m:r>
                <m:rPr>
                  <m:sty m:val="p"/>
                </m:rPr>
                <m:t>%</m:t>
              </m:r>
              <m:r>
                <m:t>L</m:t>
              </m:r>
              <m:r>
                <m:t>C</m:t>
              </m:r>
            </m:oMath>
          </w:p>
        </w:tc>
        <w:tc>
          <w:tcPr>
            <w:tcW w:w="2108" w:type="dxa"/>
          </w:tcPr>
          <w:p>
            <w:pPr>
              <w:pStyle w:val="CeldaAPA"/>
              <w:jc w:val="left"/>
            </w:pPr>
            <w:r>
              <w:rPr/>
              <w:t xml:space="preserve">(lotes incorporados con recepción aceptada / lotes incorporados)</w:t>
            </w:r>
            <w:r>
              <w:rPr/>
              <w:t xml:space="preserve"> </w:t>
            </w:r>
            <m:oMath>
              <m:r>
                <m:rPr>
                  <m:sty m:val="p"/>
                </m:rPr>
                <m:t>×</m:t>
              </m:r>
            </m:oMath>
            <w:r>
              <w:rPr/>
              <w:t xml:space="preserve"> </w:t>
            </w:r>
            <w:r>
              <w:rPr/>
              <w:t xml:space="preserve">100</w:t>
            </w:r>
          </w:p>
        </w:tc>
        <w:tc>
          <w:tcPr>
            <w:tcW w:w="1406" w:type="dxa"/>
          </w:tcPr>
          <w:p>
            <w:pPr>
              <w:pStyle w:val="CeldaAPA"/>
              <w:jc w:val="left"/>
            </w:pPr>
            <w:r>
              <w:rPr/>
              <w:t xml:space="preserve">100 %</w:t>
            </w:r>
          </w:p>
        </w:tc>
        <w:tc>
          <w:tcPr>
            <w:tcW w:w="1572" w:type="dxa"/>
          </w:tcPr>
          <w:p>
            <w:pPr>
              <w:pStyle w:val="CeldaAPA"/>
              <w:jc w:val="left"/>
            </w:pPr>
            <w:r>
              <w:rPr/>
              <w:t xml:space="preserve">Cada entrega</w:t>
            </w:r>
          </w:p>
        </w:tc>
        <w:tc>
          <w:tcPr>
            <w:tcW w:w="1550" w:type="dxa"/>
          </w:tcPr>
          <w:p>
            <w:pPr>
              <w:pStyle w:val="CeldaAPA"/>
              <w:jc w:val="left"/>
            </w:pPr>
            <w:r>
              <w:rPr/>
              <w:t xml:space="preserve">C.3; AL y RC</w:t>
            </w:r>
          </w:p>
        </w:tc>
      </w:tr>
      <w:tr>
        <w:tc>
          <w:tcPr>
            <w:tcW w:w="871" w:type="dxa"/>
          </w:tcPr>
          <w:p>
            <w:pPr>
              <w:pStyle w:val="CeldaAPA"/>
              <w:jc w:val="left"/>
            </w:pPr>
            <w:r>
              <w:rPr/>
              <w:t xml:space="preserve">OC6</w:t>
            </w:r>
          </w:p>
        </w:tc>
        <w:tc>
          <w:tcPr>
            <w:tcW w:w="1853" w:type="dxa"/>
          </w:tcPr>
          <w:p>
            <w:pPr>
              <w:pStyle w:val="CeldaAPA"/>
              <w:jc w:val="left"/>
            </w:pPr>
            <w:r>
              <w:rPr/>
              <w:t xml:space="preserve">Liberar los paños antes del vaciado:</w:t>
            </w:r>
            <w:r>
              <w:rPr/>
              <w:t xml:space="preserve"> </w:t>
            </w:r>
            <m:oMath>
              <m:r>
                <m:rPr>
                  <m:sty m:val="p"/>
                </m:rPr>
                <m:t>%</m:t>
              </m:r>
              <m:r>
                <m:t>P</m:t>
              </m:r>
              <m:r>
                <m:t>L</m:t>
              </m:r>
            </m:oMath>
          </w:p>
        </w:tc>
        <w:tc>
          <w:tcPr>
            <w:tcW w:w="2108" w:type="dxa"/>
          </w:tcPr>
          <w:p>
            <w:pPr>
              <w:pStyle w:val="CeldaAPA"/>
              <w:jc w:val="left"/>
            </w:pPr>
            <w:r>
              <w:rPr/>
              <w:t xml:space="preserve">(paños liberados antes de vaciar / paños vaciados)</w:t>
            </w:r>
            <w:r>
              <w:rPr/>
              <w:t xml:space="preserve"> </w:t>
            </w:r>
            <m:oMath>
              <m:r>
                <m:rPr>
                  <m:sty m:val="p"/>
                </m:rPr>
                <m:t>×</m:t>
              </m:r>
            </m:oMath>
            <w:r>
              <w:rPr/>
              <w:t xml:space="preserve"> </w:t>
            </w:r>
            <w:r>
              <w:rPr/>
              <w:t xml:space="preserve">100</w:t>
            </w:r>
          </w:p>
        </w:tc>
        <w:tc>
          <w:tcPr>
            <w:tcW w:w="1406" w:type="dxa"/>
          </w:tcPr>
          <w:p>
            <w:pPr>
              <w:pStyle w:val="CeldaAPA"/>
              <w:jc w:val="left"/>
            </w:pPr>
            <w:r>
              <w:rPr/>
              <w:t xml:space="preserve">100 %</w:t>
            </w:r>
          </w:p>
        </w:tc>
        <w:tc>
          <w:tcPr>
            <w:tcW w:w="1572" w:type="dxa"/>
          </w:tcPr>
          <w:p>
            <w:pPr>
              <w:pStyle w:val="CeldaAPA"/>
              <w:jc w:val="left"/>
            </w:pPr>
            <w:r>
              <w:rPr/>
              <w:t xml:space="preserve">Cada vaciado</w:t>
            </w:r>
          </w:p>
        </w:tc>
        <w:tc>
          <w:tcPr>
            <w:tcW w:w="1550" w:type="dxa"/>
          </w:tcPr>
          <w:p>
            <w:pPr>
              <w:pStyle w:val="CeldaAPA"/>
              <w:jc w:val="left"/>
            </w:pPr>
            <w:r>
              <w:rPr/>
              <w:t xml:space="preserve">C.2; RC y SU</w:t>
            </w:r>
          </w:p>
        </w:tc>
      </w:tr>
      <w:tr>
        <w:tc>
          <w:tcPr>
            <w:tcW w:w="871" w:type="dxa"/>
          </w:tcPr>
          <w:p>
            <w:pPr>
              <w:pStyle w:val="CeldaAPA"/>
              <w:jc w:val="left"/>
            </w:pPr>
            <w:r>
              <w:rPr/>
              <w:t xml:space="preserve">OC7</w:t>
            </w:r>
          </w:p>
        </w:tc>
        <w:tc>
          <w:tcPr>
            <w:tcW w:w="1853" w:type="dxa"/>
          </w:tcPr>
          <w:p>
            <w:pPr>
              <w:pStyle w:val="CeldaAPA"/>
              <w:jc w:val="left"/>
            </w:pPr>
            <w:r>
              <w:rPr/>
              <w:t xml:space="preserve">Asegurar la resistencia del hormigón:</w:t>
            </w:r>
            <w:r>
              <w:rPr/>
              <w:t xml:space="preserve"> </w:t>
            </w:r>
            <m:oMath>
              <m:r>
                <m:rPr>
                  <m:sty m:val="p"/>
                </m:rPr>
                <m:t>%</m:t>
              </m:r>
              <m:r>
                <m:t>E</m:t>
              </m:r>
              <m:r>
                <m:t>C</m:t>
              </m:r>
            </m:oMath>
          </w:p>
        </w:tc>
        <w:tc>
          <w:tcPr>
            <w:tcW w:w="2108" w:type="dxa"/>
          </w:tcPr>
          <w:p>
            <w:pPr>
              <w:pStyle w:val="CeldaAPA"/>
              <w:jc w:val="left"/>
            </w:pPr>
            <w:r>
              <w:rPr/>
              <w:t xml:space="preserve">(ensayos conformes con la sección 26.12.3.1 / ensayos realizados)</w:t>
            </w:r>
            <w:r>
              <w:rPr/>
              <w:t xml:space="preserve"> </w:t>
            </w:r>
            <m:oMath>
              <m:r>
                <m:rPr>
                  <m:sty m:val="p"/>
                </m:rPr>
                <m:t>×</m:t>
              </m:r>
            </m:oMath>
            <w:r>
              <w:rPr/>
              <w:t xml:space="preserve"> </w:t>
            </w:r>
            <w:r>
              <w:rPr/>
              <w:t xml:space="preserve">100; todo promedio móvil de tres ensayos</w:t>
            </w:r>
            <w:r>
              <w:rPr/>
              <w:t xml:space="preserve"> </w:t>
            </w:r>
            <m:oMath>
              <m:r>
                <m:rPr>
                  <m:sty m:val="p"/>
                </m:rPr>
                <m:t>≥</m:t>
              </m:r>
              <m:r>
                <m:t>f</m:t>
              </m:r>
              <m:sSub>
                <m:e>
                  <m:r>
                    <m:rPr>
                      <m:sty m:val="p"/>
                    </m:rPr>
                    <m:t>′</m:t>
                  </m:r>
                </m:e>
                <m:sub>
                  <m:r>
                    <m:t>c</m:t>
                  </m:r>
                </m:sub>
              </m:sSub>
            </m:oMath>
          </w:p>
        </w:tc>
        <w:tc>
          <w:tcPr>
            <w:tcW w:w="1406" w:type="dxa"/>
          </w:tcPr>
          <w:p>
            <w:pPr>
              <w:pStyle w:val="CeldaAPA"/>
              <w:jc w:val="left"/>
            </w:pPr>
            <w:r>
              <w:rPr/>
              <w:t xml:space="preserve">100 %; todo ensayo a 28 días</w:t>
            </w:r>
          </w:p>
        </w:tc>
        <w:tc>
          <w:tcPr>
            <w:tcW w:w="1572" w:type="dxa"/>
          </w:tcPr>
          <w:p>
            <w:pPr>
              <w:pStyle w:val="CeldaAPA"/>
              <w:jc w:val="left"/>
            </w:pPr>
            <w:r>
              <w:rPr/>
              <w:t xml:space="preserve">Cada ensayo</w:t>
            </w:r>
          </w:p>
        </w:tc>
        <w:tc>
          <w:tcPr>
            <w:tcW w:w="1550" w:type="dxa"/>
          </w:tcPr>
          <w:p>
            <w:pPr>
              <w:pStyle w:val="CeldaAPA"/>
              <w:jc w:val="left"/>
            </w:pPr>
            <w:r>
              <w:rPr/>
              <w:t xml:space="preserve">Informe del laboratorio; SU</w:t>
            </w:r>
          </w:p>
        </w:tc>
      </w:tr>
      <w:tr>
        <w:tc>
          <w:tcPr>
            <w:tcW w:w="871" w:type="dxa"/>
          </w:tcPr>
          <w:p>
            <w:pPr>
              <w:pStyle w:val="CeldaAPA"/>
              <w:jc w:val="left"/>
            </w:pPr>
            <w:r>
              <w:rPr/>
              <w:t xml:space="preserve">OC8</w:t>
            </w:r>
          </w:p>
        </w:tc>
        <w:tc>
          <w:tcPr>
            <w:tcW w:w="1853" w:type="dxa"/>
          </w:tcPr>
          <w:p>
            <w:pPr>
              <w:pStyle w:val="CeldaAPA"/>
              <w:jc w:val="left"/>
            </w:pPr>
            <w:r>
              <w:rPr/>
              <w:t xml:space="preserve">Cumplir el plan de muestreo:</w:t>
            </w:r>
            <w:r>
              <w:rPr/>
              <w:t xml:space="preserve"> </w:t>
            </w:r>
            <m:oMath>
              <m:r>
                <m:rPr>
                  <m:sty m:val="p"/>
                </m:rPr>
                <m:t>%</m:t>
              </m:r>
              <m:r>
                <m:t>M</m:t>
              </m:r>
            </m:oMath>
          </w:p>
        </w:tc>
        <w:tc>
          <w:tcPr>
            <w:tcW w:w="2108" w:type="dxa"/>
          </w:tcPr>
          <w:p>
            <w:pPr>
              <w:pStyle w:val="CeldaAPA"/>
              <w:jc w:val="left"/>
            </w:pPr>
            <w:r>
              <w:rPr/>
              <w:t xml:space="preserve">(ensayos realizados /</w:t>
            </w:r>
            <w:r>
              <w:rPr/>
              <w:t xml:space="preserve"> </w:t>
            </w:r>
            <m:oMath>
              <m:sSub>
                <m:e>
                  <m:r>
                    <m:t>n</m:t>
                  </m:r>
                </m:e>
                <m:sub>
                  <m:r>
                    <m:rPr>
                      <m:nor/>
                      <m:sty m:val="p"/>
                    </m:rPr>
                    <m:t>mín</m:t>
                  </m:r>
                </m:sub>
              </m:sSub>
            </m:oMath>
            <w:r>
              <w:rPr/>
              <w:t xml:space="preserve">)</w:t>
            </w:r>
            <w:r>
              <w:rPr/>
              <w:t xml:space="preserve"> </w:t>
            </w:r>
            <m:oMath>
              <m:r>
                <m:rPr>
                  <m:sty m:val="p"/>
                </m:rPr>
                <m:t>×</m:t>
              </m:r>
            </m:oMath>
            <w:r>
              <w:rPr/>
              <w:t xml:space="preserve"> </w:t>
            </w:r>
            <w:r>
              <w:rPr/>
              <w:t xml:space="preserve">100, con</w:t>
            </w:r>
            <w:r>
              <w:rPr/>
              <w:t xml:space="preserve"> </w:t>
            </w:r>
            <m:oMath>
              <m:sSub>
                <m:e>
                  <m:r>
                    <m:t>n</m:t>
                  </m:r>
                </m:e>
                <m:sub>
                  <m:r>
                    <m:rPr>
                      <m:nor/>
                      <m:sty m:val="p"/>
                    </m:rPr>
                    <m:t>mín</m:t>
                  </m:r>
                </m:sub>
              </m:sSub>
            </m:oMath>
            <w:r>
              <w:rPr/>
              <w:t xml:space="preserve"> </w:t>
            </w:r>
            <w:r>
              <w:rPr/>
              <w:t xml:space="preserve">de la ecuación (14)</w:t>
            </w:r>
          </w:p>
        </w:tc>
        <w:tc>
          <w:tcPr>
            <w:tcW w:w="1406" w:type="dxa"/>
          </w:tcPr>
          <w:p>
            <w:pPr>
              <w:pStyle w:val="CeldaAPA"/>
              <w:jc w:val="left"/>
            </w:pPr>
            <w:r>
              <w:rPr/>
              <w:t xml:space="preserve">100 %</w:t>
            </w:r>
          </w:p>
        </w:tc>
        <w:tc>
          <w:tcPr>
            <w:tcW w:w="1572" w:type="dxa"/>
          </w:tcPr>
          <w:p>
            <w:pPr>
              <w:pStyle w:val="CeldaAPA"/>
              <w:jc w:val="left"/>
            </w:pPr>
            <w:r>
              <w:rPr/>
              <w:t xml:space="preserve">Cada losa</w:t>
            </w:r>
          </w:p>
        </w:tc>
        <w:tc>
          <w:tcPr>
            <w:tcW w:w="1550" w:type="dxa"/>
          </w:tcPr>
          <w:p>
            <w:pPr>
              <w:pStyle w:val="CeldaAPA"/>
              <w:jc w:val="left"/>
            </w:pPr>
            <w:r>
              <w:rPr/>
              <w:t xml:space="preserve">Planilla de muestreo; LB y SU</w:t>
            </w:r>
          </w:p>
        </w:tc>
      </w:tr>
      <w:tr>
        <w:tc>
          <w:tcPr>
            <w:tcW w:w="871" w:type="dxa"/>
          </w:tcPr>
          <w:p>
            <w:pPr>
              <w:pStyle w:val="CeldaAPA"/>
              <w:jc w:val="left"/>
            </w:pPr>
            <w:r>
              <w:rPr/>
              <w:t xml:space="preserve">OC9</w:t>
            </w:r>
          </w:p>
        </w:tc>
        <w:tc>
          <w:tcPr>
            <w:tcW w:w="1853" w:type="dxa"/>
          </w:tcPr>
          <w:p>
            <w:pPr>
              <w:pStyle w:val="CeldaAPA"/>
              <w:jc w:val="left"/>
            </w:pPr>
            <w:r>
              <w:rPr/>
              <w:t xml:space="preserve">Cerrar a tiempo las no conformidades:</w:t>
            </w:r>
            <w:r>
              <w:rPr/>
              <w:t xml:space="preserve"> </w:t>
            </w:r>
            <m:oMath>
              <m:r>
                <m:rPr>
                  <m:sty m:val="p"/>
                </m:rPr>
                <m:t>%</m:t>
              </m:r>
              <m:r>
                <m:t>N</m:t>
              </m:r>
              <m:sSub>
                <m:e>
                  <m:r>
                    <m:t>C</m:t>
                  </m:r>
                </m:e>
                <m:sub>
                  <m:r>
                    <m:t>7</m:t>
                  </m:r>
                </m:sub>
              </m:sSub>
            </m:oMath>
          </w:p>
        </w:tc>
        <w:tc>
          <w:tcPr>
            <w:tcW w:w="2108" w:type="dxa"/>
          </w:tcPr>
          <w:p>
            <w:pPr>
              <w:pStyle w:val="CeldaAPA"/>
              <w:jc w:val="left"/>
            </w:pPr>
            <w:r>
              <w:rPr/>
              <w:t xml:space="preserve">(NC cerradas en 7 días o menos / NC registradas)</w:t>
            </w:r>
            <w:r>
              <w:rPr/>
              <w:t xml:space="preserve"> </w:t>
            </w:r>
            <m:oMath>
              <m:r>
                <m:rPr>
                  <m:sty m:val="p"/>
                </m:rPr>
                <m:t>×</m:t>
              </m:r>
            </m:oMath>
            <w:r>
              <w:rPr/>
              <w:t xml:space="preserve"> </w:t>
            </w:r>
            <w:r>
              <w:rPr/>
              <w:t xml:space="preserve">100</w:t>
            </w:r>
          </w:p>
        </w:tc>
        <w:tc>
          <w:tcPr>
            <w:tcW w:w="1406" w:type="dxa"/>
          </w:tcPr>
          <w:p>
            <w:pPr>
              <w:pStyle w:val="CeldaAPA"/>
              <w:jc w:val="left"/>
            </w:pPr>
            <m:oMath>
              <m:r>
                <m:rPr>
                  <m:sty m:val="p"/>
                </m:rPr>
                <m:t>≥</m:t>
              </m:r>
              <m:r>
                <m:t>90</m:t>
              </m:r>
            </m:oMath>
            <w:r>
              <w:rPr/>
              <w:t xml:space="preserve"> %; ninguna NC abierta en un paño que se vaciará</w:t>
            </w:r>
          </w:p>
        </w:tc>
        <w:tc>
          <w:tcPr>
            <w:tcW w:w="1572" w:type="dxa"/>
          </w:tcPr>
          <w:p>
            <w:pPr>
              <w:pStyle w:val="CeldaAPA"/>
              <w:jc w:val="left"/>
            </w:pPr>
            <w:r>
              <w:rPr/>
              <w:t xml:space="preserve">Semanal</w:t>
            </w:r>
          </w:p>
        </w:tc>
        <w:tc>
          <w:tcPr>
            <w:tcW w:w="1550" w:type="dxa"/>
          </w:tcPr>
          <w:p>
            <w:pPr>
              <w:pStyle w:val="CeldaAPA"/>
              <w:jc w:val="left"/>
            </w:pPr>
            <w:r>
              <w:rPr/>
              <w:t xml:space="preserve">C.5; RC</w:t>
            </w:r>
          </w:p>
        </w:tc>
      </w:tr>
      <w:tr>
        <w:tc>
          <w:tcPr>
            <w:tcW w:w="871" w:type="dxa"/>
          </w:tcPr>
          <w:p>
            <w:pPr>
              <w:pStyle w:val="CeldaAPA"/>
              <w:jc w:val="left"/>
            </w:pPr>
            <w:r>
              <w:rPr/>
              <w:t xml:space="preserve">OC10</w:t>
            </w:r>
          </w:p>
        </w:tc>
        <w:tc>
          <w:tcPr>
            <w:tcW w:w="1853" w:type="dxa"/>
          </w:tcPr>
          <w:p>
            <w:pPr>
              <w:pStyle w:val="CeldaAPA"/>
              <w:jc w:val="left"/>
            </w:pPr>
            <w:r>
              <w:rPr/>
              <w:t xml:space="preserve">Conciliar las cantidades antes de cobrar:</w:t>
            </w:r>
            <w:r>
              <w:rPr/>
              <w:t xml:space="preserve"> </w:t>
            </w:r>
            <m:oMath>
              <m:r>
                <m:rPr>
                  <m:sty m:val="p"/>
                </m:rPr>
                <m:t>%</m:t>
              </m:r>
              <m:r>
                <m:t>C</m:t>
              </m:r>
              <m:r>
                <m:t>C</m:t>
              </m:r>
            </m:oMath>
          </w:p>
        </w:tc>
        <w:tc>
          <w:tcPr>
            <w:tcW w:w="2108" w:type="dxa"/>
          </w:tcPr>
          <w:p>
            <w:pPr>
              <w:pStyle w:val="CeldaAPA"/>
              <w:jc w:val="left"/>
            </w:pPr>
            <w:r>
              <w:rPr/>
              <w:t xml:space="preserve">(ítems conciliados dentro de la tolerancia / ítems de la planilla)</w:t>
            </w:r>
            <w:r>
              <w:rPr/>
              <w:t xml:space="preserve"> </w:t>
            </w:r>
            <m:oMath>
              <m:r>
                <m:rPr>
                  <m:sty m:val="p"/>
                </m:rPr>
                <m:t>×</m:t>
              </m:r>
            </m:oMath>
            <w:r>
              <w:rPr/>
              <w:t xml:space="preserve"> </w:t>
            </w:r>
            <w:r>
              <w:rPr/>
              <w:t xml:space="preserve">100</w:t>
            </w:r>
          </w:p>
        </w:tc>
        <w:tc>
          <w:tcPr>
            <w:tcW w:w="1406" w:type="dxa"/>
          </w:tcPr>
          <w:p>
            <w:pPr>
              <w:pStyle w:val="CeldaAPA"/>
              <w:jc w:val="left"/>
            </w:pPr>
            <w:r>
              <w:rPr/>
              <w:t xml:space="preserve">100 %</w:t>
            </w:r>
          </w:p>
        </w:tc>
        <w:tc>
          <w:tcPr>
            <w:tcW w:w="1572" w:type="dxa"/>
          </w:tcPr>
          <w:p>
            <w:pPr>
              <w:pStyle w:val="CeldaAPA"/>
              <w:jc w:val="left"/>
            </w:pPr>
            <w:r>
              <w:rPr/>
              <w:t xml:space="preserve">Cada planilla</w:t>
            </w:r>
          </w:p>
        </w:tc>
        <w:tc>
          <w:tcPr>
            <w:tcW w:w="1550" w:type="dxa"/>
          </w:tcPr>
          <w:p>
            <w:pPr>
              <w:pStyle w:val="CeldaAPA"/>
              <w:jc w:val="left"/>
            </w:pPr>
            <w:r>
              <w:rPr/>
              <w:t xml:space="preserve">C.4; RC y SU</w:t>
            </w:r>
          </w:p>
        </w:tc>
      </w:tr>
      <w:tr>
        <w:tc>
          <w:tcPr>
            <w:tcW w:w="871" w:type="dxa"/>
          </w:tcPr>
          <w:p>
            <w:pPr>
              <w:pStyle w:val="CeldaAPA"/>
              <w:jc w:val="left"/>
            </w:pPr>
            <w:r>
              <w:rPr/>
              <w:t xml:space="preserve">OC11</w:t>
            </w:r>
          </w:p>
        </w:tc>
        <w:tc>
          <w:tcPr>
            <w:tcW w:w="1853" w:type="dxa"/>
          </w:tcPr>
          <w:p>
            <w:pPr>
              <w:pStyle w:val="CeldaAPA"/>
              <w:jc w:val="left"/>
            </w:pPr>
            <w:r>
              <w:rPr/>
              <w:t xml:space="preserve">Reducir el costo de no calidad:</w:t>
            </w:r>
            <w:r>
              <w:rPr/>
              <w:t xml:space="preserve"> </w:t>
            </w:r>
            <m:oMath>
              <m:r>
                <m:rPr>
                  <m:sty m:val="p"/>
                </m:rPr>
                <m:t>%</m:t>
              </m:r>
              <m:r>
                <m:t>C</m:t>
              </m:r>
              <m:r>
                <m:t>N</m:t>
              </m:r>
              <m:r>
                <m:t>C</m:t>
              </m:r>
            </m:oMath>
          </w:p>
        </w:tc>
        <w:tc>
          <w:tcPr>
            <w:tcW w:w="2108" w:type="dxa"/>
          </w:tcPr>
          <w:p>
            <w:pPr>
              <w:pStyle w:val="CeldaAPA"/>
              <w:jc w:val="left"/>
            </w:pPr>
            <w:r>
              <w:rPr/>
              <w:t xml:space="preserve">Ecuación (10)</w:t>
            </w:r>
          </w:p>
        </w:tc>
        <w:tc>
          <w:tcPr>
            <w:tcW w:w="1406" w:type="dxa"/>
          </w:tcPr>
          <w:p>
            <w:pPr>
              <w:pStyle w:val="CeldaAPA"/>
              <w:jc w:val="left"/>
            </w:pPr>
            <m:oMath>
              <m:r>
                <m:rPr>
                  <m:sty m:val="p"/>
                </m:rPr>
                <m:t>≤</m:t>
              </m:r>
              <m:r>
                <m:t>50</m:t>
              </m:r>
            </m:oMath>
            <w:r>
              <w:rPr/>
              <w:t xml:space="preserve"> % del valor de la línea base; retrabajos</w:t>
            </w:r>
            <w:r>
              <w:rPr/>
              <w:t xml:space="preserve"> </w:t>
            </w:r>
            <m:oMath>
              <m:r>
                <m:rPr>
                  <m:sty m:val="p"/>
                </m:rPr>
                <m:t>≤</m:t>
              </m:r>
              <m:r>
                <m:t>1</m:t>
              </m:r>
            </m:oMath>
            <w:r>
              <w:rPr/>
              <w:t xml:space="preserve"> % del costo del ítem</w:t>
            </w:r>
          </w:p>
        </w:tc>
        <w:tc>
          <w:tcPr>
            <w:tcW w:w="1572" w:type="dxa"/>
          </w:tcPr>
          <w:p>
            <w:pPr>
              <w:pStyle w:val="CeldaAPA"/>
              <w:jc w:val="left"/>
            </w:pPr>
            <w:r>
              <w:rPr/>
              <w:t xml:space="preserve">Mensual</w:t>
            </w:r>
          </w:p>
        </w:tc>
        <w:tc>
          <w:tcPr>
            <w:tcW w:w="1550" w:type="dxa"/>
          </w:tcPr>
          <w:p>
            <w:pPr>
              <w:pStyle w:val="CeldaAPA"/>
              <w:jc w:val="left"/>
            </w:pPr>
            <w:r>
              <w:rPr/>
              <w:t xml:space="preserve">C.6; RC y DO</w:t>
            </w:r>
          </w:p>
        </w:tc>
      </w:tr>
      <w:tr>
        <w:tc>
          <w:tcPr>
            <w:tcW w:w="871" w:type="dxa"/>
            <w:tcBorders>
              <w:bottom w:val="single" w:sz="8" w:space="0" w:color="000000"/>
            </w:tcBorders>
          </w:tcPr>
          <w:p>
            <w:pPr>
              <w:pStyle w:val="CeldaAPA"/>
              <w:jc w:val="left"/>
            </w:pPr>
            <w:r>
              <w:rPr/>
              <w:t xml:space="preserve">OC12</w:t>
            </w:r>
          </w:p>
        </w:tc>
        <w:tc>
          <w:tcPr>
            <w:tcW w:w="1853" w:type="dxa"/>
            <w:tcBorders>
              <w:bottom w:val="single" w:sz="8" w:space="0" w:color="000000"/>
            </w:tcBorders>
          </w:tcPr>
          <w:p>
            <w:pPr>
              <w:pStyle w:val="CeldaAPA"/>
              <w:jc w:val="left"/>
            </w:pPr>
            <w:r>
              <w:rPr/>
              <w:t xml:space="preserve">Reducir el costo unitario de la losa:</w:t>
            </w:r>
            <w:r>
              <w:rPr/>
              <w:t xml:space="preserve"> </w:t>
            </w:r>
            <m:oMath>
              <m:r>
                <m:t>r</m:t>
              </m:r>
            </m:oMath>
          </w:p>
        </w:tc>
        <w:tc>
          <w:tcPr>
            <w:tcW w:w="2108" w:type="dxa"/>
            <w:tcBorders>
              <w:bottom w:val="single" w:sz="8" w:space="0" w:color="000000"/>
            </w:tcBorders>
          </w:tcPr>
          <w:p>
            <w:pPr>
              <w:pStyle w:val="CeldaAPA"/>
              <w:jc w:val="left"/>
            </w:pPr>
            <w:r>
              <w:rPr/>
              <w:t xml:space="preserve">Ecuación (11)</w:t>
            </w:r>
          </w:p>
        </w:tc>
        <w:tc>
          <w:tcPr>
            <w:tcW w:w="1406" w:type="dxa"/>
            <w:tcBorders>
              <w:bottom w:val="single" w:sz="8" w:space="0" w:color="000000"/>
            </w:tcBorders>
          </w:tcPr>
          <w:p>
            <w:pPr>
              <w:pStyle w:val="CeldaAPA"/>
              <w:jc w:val="left"/>
            </w:pPr>
            <m:oMath>
              <m:r>
                <m:rPr>
                  <m:sty m:val="p"/>
                </m:rPr>
                <m:t>≥</m:t>
              </m:r>
              <m:r>
                <m:t>5</m:t>
              </m:r>
            </m:oMath>
            <w:r>
              <w:rPr/>
              <w:t xml:space="preserve"> %</w:t>
            </w:r>
          </w:p>
        </w:tc>
        <w:tc>
          <w:tcPr>
            <w:tcW w:w="1572" w:type="dxa"/>
            <w:tcBorders>
              <w:bottom w:val="single" w:sz="8" w:space="0" w:color="000000"/>
            </w:tcBorders>
          </w:tcPr>
          <w:p>
            <w:pPr>
              <w:pStyle w:val="CeldaAPA"/>
              <w:jc w:val="left"/>
            </w:pPr>
            <w:r>
              <w:rPr/>
              <w:t xml:space="preserve">Cada losa</w:t>
            </w:r>
          </w:p>
        </w:tc>
        <w:tc>
          <w:tcPr>
            <w:tcW w:w="1550" w:type="dxa"/>
            <w:tcBorders>
              <w:bottom w:val="single" w:sz="8" w:space="0" w:color="000000"/>
            </w:tcBorders>
          </w:tcPr>
          <w:p>
            <w:pPr>
              <w:pStyle w:val="CeldaAPA"/>
              <w:jc w:val="left"/>
            </w:pPr>
            <w:r>
              <w:rPr/>
              <w:t xml:space="preserve">C.6 y planillas; DO</w:t>
            </w:r>
          </w:p>
        </w:tc>
      </w:tr>
    </w:tbl>
    <w:p>
      <w:pPr>
        <w:pStyle w:val="NotaAPA"/>
      </w:pPr>
      <w:r>
        <w:rPr>
          <w:iCs/>
          <w:i/>
        </w:rPr>
        <w:t xml:space="preserve">Nota.</w:t>
      </w:r>
      <w:r>
        <w:t xml:space="preserve"> </w:t>
      </w:r>
      <w:r>
        <w:t xml:space="preserve">Elaboración propia. Metas de desperdicio de hormigón y acero con base en</w:t>
      </w:r>
      <w:r>
        <w:t xml:space="preserve"> </w:t>
      </w:r>
      <w:r>
        <w:t xml:space="preserve">Galarza Meza (2011, pp. 73–76)</w:t>
      </w:r>
      <w:r>
        <w:t xml:space="preserve"> </w:t>
      </w:r>
      <w:r>
        <w:t xml:space="preserve">y</w:t>
      </w:r>
      <w:r>
        <w:t xml:space="preserve"> </w:t>
      </w:r>
      <w:r>
        <w:t xml:space="preserve">Ruiz Muñoz y Rojas Bonilla (2018, pp. 33, 69)</w:t>
      </w:r>
      <w:r>
        <w:t xml:space="preserve">; meta de retrabajos con base en</w:t>
      </w:r>
      <w:r>
        <w:t xml:space="preserve"> </w:t>
      </w:r>
      <w:r>
        <w:t xml:space="preserve">Álvarez Quintero (2014, p. 20)</w:t>
      </w:r>
      <w:r>
        <w:t xml:space="preserve">, quien estima que un sistema de gestión de la calidad lleva el costo de los reprocesos a un promedio del 1 % del valor del contrato; la meta de OC12 corresponde a la hipótesis de la investigación. RC: Residente y encargado de calidad; AL: Almacenero; SU: Supervisor; LB: laboratorio; DO: Director de obra; NC: no conformidad.</w:t>
      </w:r>
    </w:p>
    <w:p>
      <w:pPr>
        <w:pStyle w:val="BodyText"/>
      </w:pPr>
      <w:r>
        <w:rPr>
          <w:bCs/>
          <w:b/>
        </w:rPr>
        <w:t xml:space="preserve">Planificación de los cambios.</w:t>
      </w:r>
      <w:r>
        <w:t xml:space="preserve"> </w:t>
      </w:r>
      <w:r>
        <w:t xml:space="preserve">Todo cambio que afecte a la losa (material, proveedor, dosificación, geometría o procedimiento) se evalúa y se aprueba antes de ejecutarse, con el procedimiento de gestión de cambios de la Sección 2.6.6.</w:t>
      </w:r>
    </w:p>
    <w:p>
      <w:pPr>
        <w:pStyle w:val="Heading3"/>
      </w:pPr>
      <w:bookmarkStart w:id="159" w:name="tit112"/>
      <w:r>
        <w:t xml:space="preserve">2.6.5. Apoyo: recursos, competencia, información documentada y comunicación</w:t>
      </w:r>
      <w:bookmarkEnd w:id="159"/>
    </w:p>
    <w:p>
      <w:pPr>
        <w:pStyle w:val="FirstParagraph"/>
      </w:pPr>
      <w:r>
        <w:rPr>
          <w:bCs/>
          <w:b/>
        </w:rPr>
        <w:t xml:space="preserve">Recursos.</w:t>
      </w:r>
      <w:r>
        <w:t xml:space="preserve"> </w:t>
      </w:r>
      <w:r>
        <w:t xml:space="preserve">Además de las personas con tiempo asignado (Sección 2.6.3), el sistema requiere almacenamiento y equipos de medición. El cemento se guarda techado, sobre tarimas y en pilas de no más de 10 bolsas</w:t>
      </w:r>
      <w:r>
        <w:t xml:space="preserve"> </w:t>
      </w:r>
      <w:r>
        <w:t xml:space="preserve">(UATF, s. f.-a, p. 1)</w:t>
      </w:r>
      <w:r>
        <w:t xml:space="preserve">, y el cemento y los áridos se protegen del deterioro y la contaminación</w:t>
      </w:r>
      <w:r>
        <w:t xml:space="preserve"> </w:t>
      </w:r>
      <w:r>
        <w:t xml:space="preserve">(ACI Committee 318, 2025, Sección 26.5.1.1, p. 578)</w:t>
      </w:r>
      <w:r>
        <w:t xml:space="preserve">; las viguetas se acopian sobre una superficie plana, en listones alineados separados no más de 2 m y con las piezas más largas abajo</w:t>
      </w:r>
      <w:r>
        <w:t xml:space="preserve"> </w:t>
      </w:r>
      <w:r>
        <w:t xml:space="preserve">(Alcón Aranda, 2009, pp. 122–123)</w:t>
      </w:r>
      <w:r>
        <w:t xml:space="preserve">; el EPS se protege del viento, del sol y del fuego; y el acero se acopia sobre durmientes, bajo cubierta y clasificado por diámetro y colada. Los equipos son: cono de Abrams (ASTM C143); moldes de 15 </w:t>
      </w:r>
      <m:oMath>
        <m:r>
          <m:rPr>
            <m:sty m:val="p"/>
          </m:rPr>
          <m:t>×</m:t>
        </m:r>
      </m:oMath>
      <w:r>
        <w:t xml:space="preserve"> 30 cm (ASTM C31) para un día de vaciado; termómetros para el hormigón y de máxima y mínima; balanza de 0,01 kg para la densidad del EPS y el pesaje de barras; flexómetro y calibrador; cajones dosificadores calibrados; y nivel para el apuntalamiento. Cada equipo se verifica antes de su primer uso. Los ensayos de aceptación los hace un laboratorio que cumpla la norma ASTM C1077, y el hormigón fresco y las probetas están a cargo de técnicos certificados</w:t>
      </w:r>
      <w:r>
        <w:t xml:space="preserve"> </w:t>
      </w:r>
      <w:r>
        <w:t xml:space="preserve">(ACI Committee 318, 2025, Sección 26.12.1.1, pp. 601–602)</w:t>
      </w:r>
      <w:r>
        <w:t xml:space="preserve">.</w:t>
      </w:r>
    </w:p>
    <w:p>
      <w:pPr>
        <w:pStyle w:val="BodyText"/>
      </w:pPr>
      <w:r>
        <w:rPr>
          <w:bCs/>
          <w:b/>
        </w:rPr>
        <w:t xml:space="preserve">Competencia, capacitación y toma de conciencia.</w:t>
      </w:r>
      <w:r>
        <w:t xml:space="preserve"> </w:t>
      </w:r>
      <w:r>
        <w:t xml:space="preserve">La competencia se asegura con tres charlas breves, prácticas y registradas con lista de asistencia, previas a las actividades que controlan: (1)</w:t>
      </w:r>
      <w:r>
        <w:t xml:space="preserve"> </w:t>
      </w:r>
      <w:r>
        <w:rPr>
          <w:iCs/>
          <w:i/>
        </w:rPr>
        <w:t xml:space="preserve">el SGC de la losa</w:t>
      </w:r>
      <w:r>
        <w:t xml:space="preserve"> </w:t>
      </w:r>
      <w:r>
        <w:t xml:space="preserve">—política, objetivos, responsabilidades, PPI y puntos de espera, formatos, no conformidades y Libro de Órdenes—, para todo el personal y la Supervisión, antes del inicio de la losa (2 h, con evaluación breve); (2)</w:t>
      </w:r>
      <w:r>
        <w:t xml:space="preserve"> </w:t>
      </w:r>
      <w:r>
        <w:rPr>
          <w:iCs/>
          <w:i/>
        </w:rPr>
        <w:t xml:space="preserve">materiales</w:t>
      </w:r>
      <w:r>
        <w:t xml:space="preserve"> </w:t>
      </w:r>
      <w:r>
        <w:t xml:space="preserve">—recepción, acopio y manipulación de viguetas y EPS, despiece y prearmado del acero, vales y kardex, medición y reducción del desperdicio—, para el Almacenero, el Capataz y los armadores, antes del primer paño (2 h, con práctica de recepción)</w:t>
      </w:r>
      <w:r>
        <w:t xml:space="preserve"> </w:t>
      </w:r>
      <w:r>
        <w:t xml:space="preserve">(Alcón Aranda, 2009, pp. 122–138)</w:t>
      </w:r>
      <w:r>
        <w:t xml:space="preserve">; y (3)</w:t>
      </w:r>
      <w:r>
        <w:t xml:space="preserve"> </w:t>
      </w:r>
      <w:r>
        <w:rPr>
          <w:iCs/>
          <w:i/>
        </w:rPr>
        <w:t xml:space="preserve">hormigón</w:t>
      </w:r>
      <w:r>
        <w:t xml:space="preserve"> </w:t>
      </w:r>
      <w:r>
        <w:t xml:space="preserve">—dosificación, asentamiento, muestreo y probetas, vaciado por franjas, vibrado, curado y tiempo frío—, para el Capataz, el operador de la mezcladora, el personal de vaciado y el técnico de muestreo, antes del primer vaciado (2 h, con demostración del cono y de las probetas). Su eficacia se verifica observando la primera ejecución de cada actividad, y la charla se repite si una no conformidad revela falta de competencia. La política exhibida en obra y la explicación a cada cuadrilla de cómo su trabajo afecta a la seguridad y al costo refuerzan la toma de conciencia.</w:t>
      </w:r>
    </w:p>
    <w:p>
      <w:pPr>
        <w:pStyle w:val="BodyText"/>
      </w:pPr>
      <w:r>
        <w:rPr>
          <w:bCs/>
          <w:b/>
        </w:rPr>
        <w:t xml:space="preserve">Información documentada.</w:t>
      </w:r>
      <w:r>
        <w:t xml:space="preserve"> </w:t>
      </w:r>
      <w:r>
        <w:t xml:space="preserve">Cada documento lleva código, versión y fecha; lo revisa el encargado de calidad y lo aprueba el Director de obra o, si afecta al contrato, la Supervisión. En obra solo circulan copias vigentes. Los registros se archivan en físico y en digital, por losa y por paño, al menos hasta la recepción definitiva; los de inspección del hormigón, al menos dos años después de concluido el proyecto</w:t>
      </w:r>
      <w:r>
        <w:t xml:space="preserve"> </w:t>
      </w:r>
      <w:r>
        <w:t xml:space="preserve">(ACI Committee 318, 2025, Sección 26.13.2.1, p. 610)</w:t>
      </w:r>
      <w:r>
        <w:t xml:space="preserve">. La Tabla 34 es la lista maestra inicial.</w:t>
      </w:r>
    </w:p>
    <w:p>
      <w:pPr>
        <w:pStyle w:val="Caption"/>
      </w:pPr>
      <w:bookmarkStart w:id="1447" w:name="tab34"/>
      <w:r>
        <w:t xml:space="preserve"/>
      </w:r>
      <w:r>
        <w:rPr>
          <w:bCs/>
          <w:b/>
        </w:rPr>
        <w:t xml:space="preserve">Tabla 34</w:t>
      </w:r>
      <w:r>
        <w:br/>
      </w:r>
      <w:r>
        <w:rPr>
          <w:iCs/>
          <w:i/>
        </w:rPr>
        <w:t xml:space="preserve">Lista maestra de documentos del SGC del ítem losa alivianada</w:t>
      </w:r>
      <w:bookmarkEnd w:id="1447"/>
    </w:p>
    <w:tbl>
      <w:tblPr>
        <w:tblStyle w:val="Table"/>
        <w:tblW w:w="9360" w:type="dxa"/>
        <w:jc w:val="left"/>
        <w:tblLayout w:type="fixed"/>
        <w:tblCellMar>
          <w:top w:w="0" w:type="dxa"/>
          <w:left w:w="85" w:type="dxa"/>
          <w:bottom w:w="0" w:type="dxa"/>
          <w:right w:w="85" w:type="dxa"/>
        </w:tblCellMar>
        <w:tblLook w:firstRow="1" w:lastRow="0" w:firstColumn="0" w:lastColumn="0" w:noHBand="0" w:noVBand="0" w:val="0020"/>
      </w:tblPr>
      <w:tblGrid>
        <w:gridCol w:w="1238"/>
        <w:gridCol w:w="3256"/>
        <w:gridCol w:w="1455"/>
        <w:gridCol w:w="1458"/>
        <w:gridCol w:w="1953"/>
      </w:tblGrid>
      <w:tr>
        <w:trPr>
          <w:cantSplit/>
          <w:tblHeader w:val="true"/>
        </w:trPr>
        <w:tc>
          <w:tcPr>
            <w:tcW w:w="1238" w:type="dxa"/>
            <w:tcBorders>
              <w:top w:val="single" w:sz="8" w:space="0" w:color="000000"/>
              <w:bottom w:val="single" w:sz="4" w:space="0" w:color="000000"/>
            </w:tcBorders>
          </w:tcPr>
          <w:p>
            <w:pPr>
              <w:pStyle w:val="CeldaAPA"/>
              <w:jc w:val="center"/>
            </w:pPr>
            <w:r>
              <w:rPr>
                <w:bCs/>
                <w:b/>
              </w:rPr>
              <w:t xml:space="preserve">Código</w:t>
            </w:r>
          </w:p>
        </w:tc>
        <w:tc>
          <w:tcPr>
            <w:tcW w:w="3256" w:type="dxa"/>
            <w:tcBorders>
              <w:top w:val="single" w:sz="8" w:space="0" w:color="000000"/>
              <w:bottom w:val="single" w:sz="4" w:space="0" w:color="000000"/>
            </w:tcBorders>
          </w:tcPr>
          <w:p>
            <w:pPr>
              <w:pStyle w:val="CeldaAPA"/>
              <w:jc w:val="center"/>
            </w:pPr>
            <w:r>
              <w:rPr>
                <w:bCs/>
                <w:b/>
              </w:rPr>
              <w:t xml:space="preserve">Documento</w:t>
            </w:r>
          </w:p>
        </w:tc>
        <w:tc>
          <w:tcPr>
            <w:tcW w:w="1455" w:type="dxa"/>
            <w:tcBorders>
              <w:top w:val="single" w:sz="8" w:space="0" w:color="000000"/>
              <w:bottom w:val="single" w:sz="4" w:space="0" w:color="000000"/>
            </w:tcBorders>
          </w:tcPr>
          <w:p>
            <w:pPr>
              <w:pStyle w:val="CeldaAPA"/>
              <w:jc w:val="center"/>
            </w:pPr>
            <w:r>
              <w:rPr>
                <w:bCs/>
                <w:b/>
              </w:rPr>
              <w:t xml:space="preserve">Origen</w:t>
            </w:r>
          </w:p>
        </w:tc>
        <w:tc>
          <w:tcPr>
            <w:tcW w:w="1458" w:type="dxa"/>
            <w:tcBorders>
              <w:top w:val="single" w:sz="8" w:space="0" w:color="000000"/>
              <w:bottom w:val="single" w:sz="4" w:space="0" w:color="000000"/>
            </w:tcBorders>
          </w:tcPr>
          <w:p>
            <w:pPr>
              <w:pStyle w:val="CeldaAPA"/>
              <w:jc w:val="center"/>
            </w:pPr>
            <w:r>
              <w:rPr>
                <w:bCs/>
                <w:b/>
              </w:rPr>
              <w:t xml:space="preserve">Aprueba</w:t>
            </w:r>
          </w:p>
        </w:tc>
        <w:tc>
          <w:tcPr>
            <w:tcW w:w="1953" w:type="dxa"/>
            <w:tcBorders>
              <w:top w:val="single" w:sz="8" w:space="0" w:color="000000"/>
              <w:bottom w:val="single" w:sz="4" w:space="0" w:color="000000"/>
            </w:tcBorders>
          </w:tcPr>
          <w:p>
            <w:pPr>
              <w:pStyle w:val="CeldaAPA"/>
              <w:jc w:val="center"/>
            </w:pPr>
            <w:r>
              <w:rPr>
                <w:bCs/>
                <w:b/>
              </w:rPr>
              <w:t xml:space="preserve">Estado inicial</w:t>
            </w:r>
          </w:p>
        </w:tc>
      </w:tr>
      <w:tr>
        <w:tc>
          <w:tcPr>
            <w:tcW w:w="1238" w:type="dxa"/>
          </w:tcPr>
          <w:p>
            <w:pPr>
              <w:pStyle w:val="CeldaAPA"/>
              <w:jc w:val="left"/>
            </w:pPr>
            <w:r>
              <w:rPr/>
              <w:t xml:space="preserve">PC-01 y PPI-01</w:t>
            </w:r>
          </w:p>
        </w:tc>
        <w:tc>
          <w:tcPr>
            <w:tcW w:w="3256" w:type="dxa"/>
          </w:tcPr>
          <w:p>
            <w:pPr>
              <w:pStyle w:val="CeldaAPA"/>
              <w:jc w:val="left"/>
            </w:pPr>
            <w:r>
              <w:rPr/>
              <w:t xml:space="preserve">Plan de la calidad del ítem 13 y plan de puntos de inspección y ensayo (Tabla 36)</w:t>
            </w:r>
          </w:p>
        </w:tc>
        <w:tc>
          <w:tcPr>
            <w:tcW w:w="1455" w:type="dxa"/>
          </w:tcPr>
          <w:p>
            <w:pPr>
              <w:pStyle w:val="CeldaAPA"/>
              <w:jc w:val="left"/>
            </w:pPr>
            <w:r>
              <w:rPr/>
              <w:t xml:space="preserve">Interno</w:t>
            </w:r>
          </w:p>
        </w:tc>
        <w:tc>
          <w:tcPr>
            <w:tcW w:w="1458" w:type="dxa"/>
          </w:tcPr>
          <w:p>
            <w:pPr>
              <w:pStyle w:val="CeldaAPA"/>
              <w:jc w:val="left"/>
            </w:pPr>
            <w:r>
              <w:rPr/>
              <w:t xml:space="preserve">DO y SU</w:t>
            </w:r>
          </w:p>
        </w:tc>
        <w:tc>
          <w:tcPr>
            <w:tcW w:w="1953" w:type="dxa"/>
          </w:tcPr>
          <w:p>
            <w:pPr>
              <w:pStyle w:val="CeldaAPA"/>
              <w:jc w:val="left"/>
            </w:pPr>
            <w:r>
              <w:rPr/>
              <w:t xml:space="preserve">Versión 0, para aprobación</w:t>
            </w:r>
          </w:p>
        </w:tc>
      </w:tr>
      <w:tr>
        <w:tc>
          <w:tcPr>
            <w:tcW w:w="1238" w:type="dxa"/>
          </w:tcPr>
          <w:p>
            <w:pPr>
              <w:pStyle w:val="CeldaAPA"/>
              <w:jc w:val="left"/>
            </w:pPr>
            <w:r>
              <w:rPr/>
              <w:t xml:space="preserve">PCM, PHC, PNC y PCC</w:t>
            </w:r>
          </w:p>
        </w:tc>
        <w:tc>
          <w:tcPr>
            <w:tcW w:w="3256" w:type="dxa"/>
          </w:tcPr>
          <w:p>
            <w:pPr>
              <w:pStyle w:val="CeldaAPA"/>
              <w:jc w:val="left"/>
            </w:pPr>
            <w:r>
              <w:rPr/>
              <w:t xml:space="preserve">Procedimientos de control de materiales (PCM-01 a 05), de control del hormigón (PHC-01), de no conformidades (PNC-01) y de costos de la calidad (PCC-01)</w:t>
            </w:r>
          </w:p>
        </w:tc>
        <w:tc>
          <w:tcPr>
            <w:tcW w:w="1455" w:type="dxa"/>
          </w:tcPr>
          <w:p>
            <w:pPr>
              <w:pStyle w:val="CeldaAPA"/>
              <w:jc w:val="left"/>
            </w:pPr>
            <w:r>
              <w:rPr/>
              <w:t xml:space="preserve">Interno</w:t>
            </w:r>
          </w:p>
        </w:tc>
        <w:tc>
          <w:tcPr>
            <w:tcW w:w="1458" w:type="dxa"/>
          </w:tcPr>
          <w:p>
            <w:pPr>
              <w:pStyle w:val="CeldaAPA"/>
              <w:jc w:val="left"/>
            </w:pPr>
            <w:r>
              <w:rPr/>
              <w:t xml:space="preserve">DO; SU para el PHC-01</w:t>
            </w:r>
          </w:p>
        </w:tc>
        <w:tc>
          <w:tcPr>
            <w:tcW w:w="1953" w:type="dxa"/>
          </w:tcPr>
          <w:p>
            <w:pPr>
              <w:pStyle w:val="CeldaAPA"/>
              <w:jc w:val="left"/>
            </w:pPr>
            <w:r>
              <w:rPr/>
              <w:t xml:space="preserve">Versión 0</w:t>
            </w:r>
          </w:p>
        </w:tc>
      </w:tr>
      <w:tr>
        <w:tc>
          <w:tcPr>
            <w:tcW w:w="1238" w:type="dxa"/>
          </w:tcPr>
          <w:p>
            <w:pPr>
              <w:pStyle w:val="CeldaAPA"/>
              <w:jc w:val="left"/>
            </w:pPr>
            <w:r>
              <w:rPr/>
              <w:t xml:space="preserve">C.1 a C.8</w:t>
            </w:r>
          </w:p>
        </w:tc>
        <w:tc>
          <w:tcPr>
            <w:tcW w:w="3256" w:type="dxa"/>
          </w:tcPr>
          <w:p>
            <w:pPr>
              <w:pStyle w:val="CeldaAPA"/>
              <w:jc w:val="left"/>
            </w:pPr>
            <w:r>
              <w:rPr/>
              <w:t xml:space="preserve">Formatos y registros (Anexo C)</w:t>
            </w:r>
          </w:p>
        </w:tc>
        <w:tc>
          <w:tcPr>
            <w:tcW w:w="1455" w:type="dxa"/>
          </w:tcPr>
          <w:p>
            <w:pPr>
              <w:pStyle w:val="CeldaAPA"/>
              <w:jc w:val="left"/>
            </w:pPr>
            <w:r>
              <w:rPr/>
              <w:t xml:space="preserve">Interno</w:t>
            </w:r>
          </w:p>
        </w:tc>
        <w:tc>
          <w:tcPr>
            <w:tcW w:w="1458" w:type="dxa"/>
          </w:tcPr>
          <w:p>
            <w:pPr>
              <w:pStyle w:val="CeldaAPA"/>
              <w:jc w:val="left"/>
            </w:pPr>
            <w:r>
              <w:rPr/>
              <w:t xml:space="preserve">DO</w:t>
            </w:r>
          </w:p>
        </w:tc>
        <w:tc>
          <w:tcPr>
            <w:tcW w:w="1953" w:type="dxa"/>
          </w:tcPr>
          <w:p>
            <w:pPr>
              <w:pStyle w:val="CeldaAPA"/>
              <w:jc w:val="left"/>
            </w:pPr>
            <w:r>
              <w:rPr/>
              <w:t xml:space="preserve">Versión 0</w:t>
            </w:r>
          </w:p>
        </w:tc>
      </w:tr>
      <w:tr>
        <w:tc>
          <w:tcPr>
            <w:tcW w:w="1238" w:type="dxa"/>
          </w:tcPr>
          <w:p>
            <w:pPr>
              <w:pStyle w:val="CeldaAPA"/>
              <w:jc w:val="left"/>
            </w:pPr>
            <w:r>
              <w:rPr/>
              <w:t xml:space="preserve">PL-01 a 03</w:t>
            </w:r>
          </w:p>
        </w:tc>
        <w:tc>
          <w:tcPr>
            <w:tcW w:w="3256" w:type="dxa"/>
          </w:tcPr>
          <w:p>
            <w:pPr>
              <w:pStyle w:val="CeldaAPA"/>
              <w:jc w:val="left"/>
            </w:pPr>
            <w:r>
              <w:rPr/>
              <w:t xml:space="preserve">Planos 01 (geometría), 02 (sección y detalles) y 03 (cantidad de viguetas)</w:t>
            </w:r>
          </w:p>
        </w:tc>
        <w:tc>
          <w:tcPr>
            <w:tcW w:w="1455" w:type="dxa"/>
          </w:tcPr>
          <w:p>
            <w:pPr>
              <w:pStyle w:val="CeldaAPA"/>
              <w:jc w:val="left"/>
            </w:pPr>
            <w:r>
              <w:rPr/>
              <w:t xml:space="preserve">Externo (UATF)</w:t>
            </w:r>
          </w:p>
        </w:tc>
        <w:tc>
          <w:tcPr>
            <w:tcW w:w="1458" w:type="dxa"/>
          </w:tcPr>
          <w:p>
            <w:pPr>
              <w:pStyle w:val="CeldaAPA"/>
              <w:jc w:val="left"/>
            </w:pPr>
            <w:r>
              <w:rPr/>
              <w:t xml:space="preserve">Proyectista y SU</w:t>
            </w:r>
          </w:p>
        </w:tc>
        <w:tc>
          <w:tcPr>
            <w:tcW w:w="1953" w:type="dxa"/>
          </w:tcPr>
          <w:p>
            <w:pPr>
              <w:pStyle w:val="CeldaAPA"/>
              <w:jc w:val="left"/>
            </w:pPr>
            <w:r>
              <w:rPr/>
              <w:t xml:space="preserve">Plano 02 en revisión (complemento EPS)</w:t>
            </w:r>
          </w:p>
        </w:tc>
      </w:tr>
      <w:tr>
        <w:tc>
          <w:tcPr>
            <w:tcW w:w="1238" w:type="dxa"/>
          </w:tcPr>
          <w:p>
            <w:pPr>
              <w:pStyle w:val="CeldaAPA"/>
              <w:jc w:val="left"/>
            </w:pPr>
            <w:r>
              <w:rPr/>
              <w:t xml:space="preserve">ET-13</w:t>
            </w:r>
          </w:p>
        </w:tc>
        <w:tc>
          <w:tcPr>
            <w:tcW w:w="3256" w:type="dxa"/>
          </w:tcPr>
          <w:p>
            <w:pPr>
              <w:pStyle w:val="CeldaAPA"/>
              <w:jc w:val="left"/>
            </w:pPr>
            <w:r>
              <w:rPr/>
              <w:t xml:space="preserve">Especificaciones técnicas de hormigones y de la losa alivianada</w:t>
            </w:r>
          </w:p>
        </w:tc>
        <w:tc>
          <w:tcPr>
            <w:tcW w:w="1455" w:type="dxa"/>
          </w:tcPr>
          <w:p>
            <w:pPr>
              <w:pStyle w:val="CeldaAPA"/>
              <w:jc w:val="left"/>
            </w:pPr>
            <w:r>
              <w:rPr/>
              <w:t xml:space="preserve">Externo (UATF)</w:t>
            </w:r>
          </w:p>
        </w:tc>
        <w:tc>
          <w:tcPr>
            <w:tcW w:w="1458" w:type="dxa"/>
          </w:tcPr>
          <w:p>
            <w:pPr>
              <w:pStyle w:val="CeldaAPA"/>
              <w:jc w:val="left"/>
            </w:pPr>
            <w:r>
              <w:rPr/>
              <w:t xml:space="preserve">UATF</w:t>
            </w:r>
          </w:p>
        </w:tc>
        <w:tc>
          <w:tcPr>
            <w:tcW w:w="1953" w:type="dxa"/>
          </w:tcPr>
          <w:p>
            <w:pPr>
              <w:pStyle w:val="CeldaAPA"/>
              <w:jc w:val="left"/>
            </w:pPr>
            <w:r>
              <w:rPr/>
              <w:t xml:space="preserve">En actualización</w:t>
            </w:r>
          </w:p>
        </w:tc>
      </w:tr>
      <w:tr>
        <w:tc>
          <w:tcPr>
            <w:tcW w:w="1238" w:type="dxa"/>
          </w:tcPr>
          <w:p>
            <w:pPr>
              <w:pStyle w:val="CeldaAPA"/>
              <w:jc w:val="left"/>
            </w:pPr>
            <w:r>
              <w:rPr/>
              <w:t xml:space="preserve">CERT y DOS-01</w:t>
            </w:r>
          </w:p>
        </w:tc>
        <w:tc>
          <w:tcPr>
            <w:tcW w:w="3256" w:type="dxa"/>
          </w:tcPr>
          <w:p>
            <w:pPr>
              <w:pStyle w:val="CeldaAPA"/>
              <w:jc w:val="left"/>
            </w:pPr>
            <w:r>
              <w:rPr/>
              <w:t xml:space="preserve">Certificados de viguetas, EPS, acero (por colada) y cemento (por lote); dosificación del H25</w:t>
            </w:r>
          </w:p>
        </w:tc>
        <w:tc>
          <w:tcPr>
            <w:tcW w:w="1455" w:type="dxa"/>
          </w:tcPr>
          <w:p>
            <w:pPr>
              <w:pStyle w:val="CeldaAPA"/>
              <w:jc w:val="left"/>
            </w:pPr>
            <w:r>
              <w:rPr/>
              <w:t xml:space="preserve">Externo</w:t>
            </w:r>
          </w:p>
        </w:tc>
        <w:tc>
          <w:tcPr>
            <w:tcW w:w="1458" w:type="dxa"/>
          </w:tcPr>
          <w:p>
            <w:pPr>
              <w:pStyle w:val="CeldaAPA"/>
              <w:jc w:val="left"/>
            </w:pPr>
            <w:r>
              <w:rPr/>
              <w:t xml:space="preserve">RC; SU</w:t>
            </w:r>
          </w:p>
        </w:tc>
        <w:tc>
          <w:tcPr>
            <w:tcW w:w="1953" w:type="dxa"/>
          </w:tcPr>
          <w:p>
            <w:pPr>
              <w:pStyle w:val="CeldaAPA"/>
              <w:jc w:val="left"/>
            </w:pPr>
            <w:r>
              <w:rPr/>
              <w:t xml:space="preserve">Con cada entrega; dosificación antes del primer vaciado</w:t>
            </w:r>
          </w:p>
        </w:tc>
      </w:tr>
      <w:tr>
        <w:tc>
          <w:tcPr>
            <w:tcW w:w="1238" w:type="dxa"/>
          </w:tcPr>
          <w:p>
            <w:pPr>
              <w:pStyle w:val="CeldaAPA"/>
              <w:jc w:val="left"/>
            </w:pPr>
            <w:r>
              <w:rPr/>
              <w:t xml:space="preserve">MAN-01</w:t>
            </w:r>
          </w:p>
        </w:tc>
        <w:tc>
          <w:tcPr>
            <w:tcW w:w="3256" w:type="dxa"/>
          </w:tcPr>
          <w:p>
            <w:pPr>
              <w:pStyle w:val="CeldaAPA"/>
              <w:jc w:val="left"/>
            </w:pPr>
            <w:r>
              <w:rPr/>
              <w:t xml:space="preserve">Instrucciones de montaje del fabricante de viguetas</w:t>
            </w:r>
          </w:p>
        </w:tc>
        <w:tc>
          <w:tcPr>
            <w:tcW w:w="1455" w:type="dxa"/>
          </w:tcPr>
          <w:p>
            <w:pPr>
              <w:pStyle w:val="CeldaAPA"/>
              <w:jc w:val="left"/>
            </w:pPr>
            <w:r>
              <w:rPr/>
              <w:t xml:space="preserve">Externo</w:t>
            </w:r>
          </w:p>
        </w:tc>
        <w:tc>
          <w:tcPr>
            <w:tcW w:w="1458" w:type="dxa"/>
          </w:tcPr>
          <w:p>
            <w:pPr>
              <w:pStyle w:val="CeldaAPA"/>
              <w:jc w:val="left"/>
            </w:pPr>
            <w:r>
              <w:rPr/>
              <w:t xml:space="preserve">–</w:t>
            </w:r>
          </w:p>
        </w:tc>
        <w:tc>
          <w:tcPr>
            <w:tcW w:w="1953" w:type="dxa"/>
          </w:tcPr>
          <w:p>
            <w:pPr>
              <w:pStyle w:val="CeldaAPA"/>
            </w:pPr>
          </w:p>
        </w:tc>
      </w:tr>
      <w:tr>
        <w:tc>
          <w:tcPr>
            <w:tcW w:w="1238" w:type="dxa"/>
          </w:tcPr>
          <w:p>
            <w:pPr>
              <w:pStyle w:val="CeldaAPA"/>
              <w:jc w:val="left"/>
            </w:pPr>
            <w:r>
              <w:rPr/>
              <w:t xml:space="preserve">NOR</w:t>
            </w:r>
          </w:p>
        </w:tc>
        <w:tc>
          <w:tcPr>
            <w:tcW w:w="3256" w:type="dxa"/>
          </w:tcPr>
          <w:p>
            <w:pPr>
              <w:pStyle w:val="CeldaAPA"/>
              <w:jc w:val="left"/>
            </w:pPr>
            <w:r>
              <w:rPr/>
              <w:t xml:space="preserve">ACI CODE-318-25; NB 997:2016; NB 1225001-1:2017; ASTM C31, C39, C143 y C172</w:t>
            </w:r>
          </w:p>
        </w:tc>
        <w:tc>
          <w:tcPr>
            <w:tcW w:w="1455" w:type="dxa"/>
          </w:tcPr>
          <w:p>
            <w:pPr>
              <w:pStyle w:val="CeldaAPA"/>
              <w:jc w:val="left"/>
            </w:pPr>
            <w:r>
              <w:rPr/>
              <w:t xml:space="preserve">Externo</w:t>
            </w:r>
          </w:p>
        </w:tc>
        <w:tc>
          <w:tcPr>
            <w:tcW w:w="1458" w:type="dxa"/>
          </w:tcPr>
          <w:p>
            <w:pPr>
              <w:pStyle w:val="CeldaAPA"/>
              <w:jc w:val="left"/>
            </w:pPr>
            <w:r>
              <w:rPr/>
              <w:t xml:space="preserve">–</w:t>
            </w:r>
          </w:p>
        </w:tc>
        <w:tc>
          <w:tcPr>
            <w:tcW w:w="1953" w:type="dxa"/>
          </w:tcPr>
          <w:p>
            <w:pPr>
              <w:pStyle w:val="CeldaAPA"/>
              <w:jc w:val="left"/>
            </w:pPr>
            <w:r>
              <w:rPr/>
              <w:t xml:space="preserve">Consulta en obra</w:t>
            </w:r>
          </w:p>
        </w:tc>
      </w:tr>
      <w:tr>
        <w:tc>
          <w:tcPr>
            <w:tcW w:w="1238" w:type="dxa"/>
            <w:tcBorders>
              <w:bottom w:val="single" w:sz="8" w:space="0" w:color="000000"/>
            </w:tcBorders>
          </w:tcPr>
          <w:p>
            <w:pPr>
              <w:pStyle w:val="CeldaAPA"/>
              <w:jc w:val="left"/>
            </w:pPr>
            <w:r>
              <w:rPr/>
              <w:t xml:space="preserve">LO</w:t>
            </w:r>
          </w:p>
        </w:tc>
        <w:tc>
          <w:tcPr>
            <w:tcW w:w="3256" w:type="dxa"/>
            <w:tcBorders>
              <w:bottom w:val="single" w:sz="8" w:space="0" w:color="000000"/>
            </w:tcBorders>
          </w:tcPr>
          <w:p>
            <w:pPr>
              <w:pStyle w:val="CeldaAPA"/>
              <w:jc w:val="left"/>
            </w:pPr>
            <w:r>
              <w:rPr/>
              <w:t xml:space="preserve">Libro de Órdenes de la obra</w:t>
            </w:r>
          </w:p>
        </w:tc>
        <w:tc>
          <w:tcPr>
            <w:tcW w:w="1455" w:type="dxa"/>
            <w:tcBorders>
              <w:bottom w:val="single" w:sz="8" w:space="0" w:color="000000"/>
            </w:tcBorders>
          </w:tcPr>
          <w:p>
            <w:pPr>
              <w:pStyle w:val="CeldaAPA"/>
              <w:jc w:val="left"/>
            </w:pPr>
            <w:r>
              <w:rPr/>
              <w:t xml:space="preserve">Registro contractual</w:t>
            </w:r>
          </w:p>
        </w:tc>
        <w:tc>
          <w:tcPr>
            <w:tcW w:w="1458" w:type="dxa"/>
            <w:tcBorders>
              <w:bottom w:val="single" w:sz="8" w:space="0" w:color="000000"/>
            </w:tcBorders>
          </w:tcPr>
          <w:p>
            <w:pPr>
              <w:pStyle w:val="CeldaAPA"/>
              <w:jc w:val="left"/>
            </w:pPr>
            <w:r>
              <w:rPr/>
              <w:t xml:space="preserve">SU y DO</w:t>
            </w:r>
          </w:p>
        </w:tc>
        <w:tc>
          <w:tcPr>
            <w:tcW w:w="1953" w:type="dxa"/>
            <w:tcBorders>
              <w:bottom w:val="single" w:sz="8" w:space="0" w:color="000000"/>
            </w:tcBorders>
          </w:tcPr>
          <w:p>
            <w:pPr>
              <w:pStyle w:val="CeldaAPA"/>
              <w:jc w:val="left"/>
            </w:pPr>
            <w:r>
              <w:rPr/>
              <w:t xml:space="preserve">En uso</w:t>
            </w:r>
          </w:p>
        </w:tc>
      </w:tr>
    </w:tbl>
    <w:p>
      <w:pPr>
        <w:pStyle w:val="NotaAPA"/>
      </w:pPr>
      <w:r>
        <w:rPr>
          <w:iCs/>
          <w:i/>
        </w:rPr>
        <w:t xml:space="preserve">Nota.</w:t>
      </w:r>
      <w:r>
        <w:t xml:space="preserve"> </w:t>
      </w:r>
      <w:r>
        <w:t xml:space="preserve">Elaboración propia. DO: Director de obra; SU: Supervisor de obra; RC: Residente y encargado de calidad.</w:t>
      </w:r>
    </w:p>
    <w:p>
      <w:pPr>
        <w:pStyle w:val="BodyText"/>
      </w:pPr>
      <w:r>
        <w:rPr>
          <w:bCs/>
          <w:b/>
        </w:rPr>
        <w:t xml:space="preserve">Resolución de la discrepancia del complemento EPS (B3).</w:t>
      </w:r>
      <w:r>
        <w:t xml:space="preserve"> </w:t>
      </w:r>
      <w:r>
        <w:t xml:space="preserve">La geometría del complemento define la altura de la losa, el volumen de hormigón por m</w:t>
      </w:r>
      <w:r>
        <w:rPr>
          <w:vertAlign w:val="superscript"/>
        </w:rPr>
        <w:t xml:space="preserve">2</w:t>
      </w:r>
      <w:r>
        <w:t xml:space="preserve"> </w:t>
      </w:r>
      <w:r>
        <w:t xml:space="preserve">y las piezas que se deben comprar, por lo que la discrepancia se resuelve antes de comprar el EPS de la segunda losa:</w:t>
      </w:r>
      <w:r>
        <w:t xml:space="preserve"> </w:t>
      </w:r>
      <w:r>
        <w:t xml:space="preserve">(1) el encargado de calidad registra en el Libro de Órdenes una consulta técnica con los tres documentos y pide definir la altura y el ancho del complemento; (2) la Supervisión, con el proyectista, define la geometría de forma coherente con la descripción del ítem (h = 25 cm) y con el certificado del fabricante de viguetas (20 + 5 cm y 50 cm entre ejes)</w:t>
      </w:r>
      <w:r>
        <w:t xml:space="preserve"> </w:t>
      </w:r>
      <w:r>
        <w:t xml:space="preserve">(PRETENSA, 2025)</w:t>
      </w:r>
      <w:r>
        <w:t xml:space="preserve">, y aclara si los 50 cm de la ET son el módulo entre ejes y no el ancho de la pieza; (3) si cambian cantidades o precios, la Fiscalización tramita la modificación que corresponda; (4) se emiten el Plano 02 en revisión 1 y la enmienda de la ET, se actualiza la lista maestra y se retiran las copias obsoletas; y (5) la orden de compra del EPS se emite solo con la geometría aprobada, que es un punto de espera del abastecimiento.</w:t>
      </w:r>
      <w:r>
        <w:t xml:space="preserve"> </w:t>
      </w:r>
      <w:r>
        <w:t xml:space="preserve">La decisión técnica es del proyectista; el sistema asegura que se tome, se documente y llegue a obra antes de la compra.</w:t>
      </w:r>
    </w:p>
    <w:p>
      <w:pPr>
        <w:pStyle w:val="BodyText"/>
      </w:pPr>
      <w:r>
        <w:rPr>
          <w:bCs/>
          <w:b/>
        </w:rPr>
        <w:t xml:space="preserve">Actualización de las normas citadas en la ET.</w:t>
      </w:r>
      <w:r>
        <w:t xml:space="preserve"> </w:t>
      </w:r>
      <w:r>
        <w:t xml:space="preserve">La ET remite a la CBH-87 y a normas bolivianas de cemento (NB 2.1-001 a 2.1-014), de áridos (NB 596-91 a 612-91) y de agua (NB 587-91 y 588-91)</w:t>
      </w:r>
      <w:r>
        <w:t xml:space="preserve"> </w:t>
      </w:r>
      <w:r>
        <w:t xml:space="preserve">(UATF, s. f.-a, pp. 1–2)</w:t>
      </w:r>
      <w:r>
        <w:t xml:space="preserve">. Se recomienda actualizarlas a las ediciones vigentes de IBNORCA , incluir la NBDS, de aplicación obligatoria, con los requisitos de su art. 12 para las losas de viguetas</w:t>
      </w:r>
      <w:r>
        <w:t xml:space="preserve"> </w:t>
      </w:r>
      <w:r>
        <w:t xml:space="preserve">(MOPSV, 2023, p. 22)</w:t>
      </w:r>
      <w:r>
        <w:t xml:space="preserve">, la NB 1225001-1:2017, a la que la NBDS remite para el hormigón estructural</w:t>
      </w:r>
      <w:r>
        <w:t xml:space="preserve"> </w:t>
      </w:r>
      <w:r>
        <w:t xml:space="preserve">(IBNORCA, 2017)</w:t>
      </w:r>
      <w:r>
        <w:t xml:space="preserve">, y la NB 997:2016</w:t>
      </w:r>
      <w:r>
        <w:t xml:space="preserve"> </w:t>
      </w:r>
      <w:r>
        <w:t xml:space="preserve">(IBNORCA, 2016)</w:t>
      </w:r>
      <w:r>
        <w:t xml:space="preserve">, y declarar el criterio de aceptación del hormigón; este SGC adopta el del ACI 318-25. La resistencia de la ET (250 kg/cm</w:t>
      </w:r>
      <w:r>
        <w:rPr>
          <w:vertAlign w:val="superscript"/>
        </w:rPr>
        <w:t xml:space="preserve">2</w:t>
      </w:r>
      <w:r>
        <w:t xml:space="preserve">) gobierna sobre el mínimo de 21 MPa que el fabricante de viguetas indica para la carpeta</w:t>
      </w:r>
      <w:r>
        <w:t xml:space="preserve"> </w:t>
      </w:r>
      <w:r>
        <w:t xml:space="preserve">(PRETENSA, 2025)</w:t>
      </w:r>
      <w:r>
        <w:t xml:space="preserve">.</w:t>
      </w:r>
    </w:p>
    <w:p>
      <w:pPr>
        <w:pStyle w:val="BodyText"/>
      </w:pPr>
      <w:r>
        <w:rPr>
          <w:bCs/>
          <w:b/>
        </w:rPr>
        <w:t xml:space="preserve">Comunicación.</w:t>
      </w:r>
      <w:r>
        <w:t xml:space="preserve"> </w:t>
      </w:r>
      <w:r>
        <w:t xml:space="preserve">El Libro de Órdenes es el canal contractual: registra las solicitudes de liberación, las autorizaciones de vaciado, las consultas técnicas y las no conformidades que afectan al contrato, con la firma del Director de obra que la primera losa omitió. La reunión semanal de calidad (Director de obra, encargado de calidad, Capataz, Almacenero y Supervisión) revisa los paños por liberar, los indicadores, las no conformidades abiertas, la conciliación y los riesgos de la semana siguiente (existencias, clima y personal), y deja un acta con responsables y plazos. Además, la liberación de cada paño se solicita al menos 24 h antes del vaciado; las no conformidades se comunican dentro de las 24 h; el pronóstico de lluvia o helada se comunica 24 a 48 h antes de vaciar; los rechazos de lotes se notifican por escrito al proveedor; y el informe mensual de calidad (indicadores, conciliación y costos) acompaña a cada planilla.</w:t>
      </w:r>
    </w:p>
    <w:p>
      <w:pPr>
        <w:pStyle w:val="Heading3"/>
      </w:pPr>
      <w:bookmarkStart w:id="174" w:name="tit113"/>
      <w:r>
        <w:t xml:space="preserve">2.6.6. Operación: plan de la calidad, inspección y control de materiales</w:t>
      </w:r>
      <w:bookmarkEnd w:id="174"/>
    </w:p>
    <w:p>
      <w:pPr>
        <w:pStyle w:val="FirstParagraph"/>
      </w:pPr>
      <w:r>
        <w:t xml:space="preserve">La operación es el núcleo del sistema: traduce los requisitos en controles sobre cada material y cada paño. Comprende el mapa de procesos, el plan de la calidad, el PPI, cinco procedimientos de control de materiales (PCM), el control del hormigón, la liberación de los paños y la gestión de los cambios.</w:t>
      </w:r>
    </w:p>
    <w:p>
      <w:pPr>
        <w:pStyle w:val="Heading4"/>
      </w:pPr>
      <w:bookmarkStart w:id="163" w:name="tit114"/>
      <w:r>
        <w:t xml:space="preserve">2.6.6.1. Mapa de procesos del ítem.</w:t>
      </w:r>
      <w:bookmarkEnd w:id="163"/>
    </w:p>
    <w:p>
      <w:pPr>
        <w:pStyle w:val="FirstParagraph"/>
      </w:pPr>
      <w:r>
        <w:t xml:space="preserve">La Figura 11 ordena los procesos en tres niveles: estratégicos (planificación de la calidad, gestión del contrato y de los cambios, revisión y mejora), operativos (abastecimiento, ejecución de la losa y control de calidad y de cantidades) y de apoyo (almacén, laboratorio, documentación, competencia y equipos). El control de cantidades forma parte del proceso operativo de control, y no de una tarea administrativa de fin de mes, porque una diferencia detectada al cierre del contrato (B4) ya no se corrige en el proceso.</w:t>
      </w:r>
    </w:p>
    <w:p>
      <w:pPr>
        <w:pStyle w:val="Caption"/>
      </w:pPr>
      <w:bookmarkStart w:id="1448" w:name="fig11"/>
      <w:r>
        <w:t xml:space="preserve"/>
      </w:r>
      <w:r>
        <w:rPr>
          <w:bCs/>
          <w:b/>
        </w:rPr>
        <w:t xml:space="preserve">Figura 11</w:t>
      </w:r>
      <w:r>
        <w:br/>
      </w:r>
      <w:r>
        <w:rPr>
          <w:iCs/>
          <w:i/>
        </w:rPr>
        <w:t xml:space="preserve">Mapa de procesos del ítem losa alivianada</w:t>
      </w:r>
      <w:bookmarkEnd w:id="1448"/>
    </w:p>
    <w:p>
      <w:pPr>
        <w:pStyle w:val="FiguraAPA"/>
      </w:pPr>
      <w:r>
        <w:drawing>
          <wp:inline>
            <wp:extent cx="5612039" cy="3141158"/>
            <wp:effectExtent b="0" l="0" r="0" t="0"/>
            <wp:docPr descr="image" title="" id="161" name="Picture"/>
            <a:graphic>
              <a:graphicData uri="http://schemas.openxmlformats.org/drawingml/2006/picture">
                <pic:pic>
                  <pic:nvPicPr>
                    <pic:cNvPr descr="/home/user/TesisSGC/07_Entregables/scripts/_trabajo_sencilla/tikz/tikz_f6e7116a0f2e0deb39d5.png" id="162" name="Picture"/>
                    <pic:cNvPicPr>
                      <a:picLocks noChangeArrowheads="1" noChangeAspect="1"/>
                    </pic:cNvPicPr>
                  </pic:nvPicPr>
                  <pic:blipFill>
                    <a:blip r:embed="rId160"/>
                    <a:stretch>
                      <a:fillRect/>
                    </a:stretch>
                  </pic:blipFill>
                  <pic:spPr bwMode="auto">
                    <a:xfrm>
                      <a:off x="0" y="0"/>
                      <a:ext cx="5612039" cy="3141158"/>
                    </a:xfrm>
                    <a:prstGeom prst="rect">
                      <a:avLst/>
                    </a:prstGeom>
                    <a:noFill/>
                    <a:ln w="9525">
                      <a:noFill/>
                      <a:headEnd/>
                      <a:tailEnd/>
                    </a:ln>
                  </pic:spPr>
                </pic:pic>
              </a:graphicData>
            </a:graphic>
          </wp:inline>
        </w:drawing>
      </w:r>
    </w:p>
    <w:p>
      <w:pPr>
        <w:pStyle w:val="NotaAPA"/>
      </w:pPr>
      <w:r>
        <w:rPr>
          <w:iCs/>
          <w:i/>
        </w:rPr>
        <w:t xml:space="preserve">Nota.</w:t>
      </w:r>
      <w:r>
        <w:t xml:space="preserve"> </w:t>
      </w:r>
      <w:r>
        <w:t xml:space="preserve">Elaboración propia. PCM: procedimiento de control de materiales; PPI: plan de puntos de inspección y ensayo.</w:t>
      </w:r>
    </w:p>
    <w:p>
      <w:pPr>
        <w:pStyle w:val="Heading4"/>
      </w:pPr>
      <w:bookmarkStart w:id="164" w:name="tit115"/>
      <w:r>
        <w:t xml:space="preserve">2.6.6.2. Estructura del plan de la calidad.</w:t>
      </w:r>
      <w:bookmarkEnd w:id="164"/>
    </w:p>
    <w:p>
      <w:pPr>
        <w:pStyle w:val="FirstParagraph"/>
      </w:pPr>
      <w:r>
        <w:t xml:space="preserve">El plan de la calidad se estructura con los elementos de contenido que propone la norma ISO 10005:2018</w:t>
      </w:r>
      <w:r>
        <w:t xml:space="preserve"> </w:t>
      </w:r>
      <w:r>
        <w:t xml:space="preserve">(ISO, 2018)</w:t>
      </w:r>
      <w:r>
        <w:t xml:space="preserve">. La Tabla 35 relaciona cada elemento con su contenido en este proyecto y con la sección o el formato donde se desarrolla. El plan se presenta a la Supervisión para su revisión y aceptación antes del inicio de la segunda losa, se aplica paño por paño y se revisa al concluir cada losa.</w:t>
      </w:r>
    </w:p>
    <w:p>
      <w:pPr>
        <w:pStyle w:val="Caption"/>
      </w:pPr>
      <w:bookmarkStart w:id="1449" w:name="tab35"/>
      <w:r>
        <w:t xml:space="preserve"/>
      </w:r>
      <w:r>
        <w:rPr>
          <w:bCs/>
          <w:b/>
        </w:rPr>
        <w:t xml:space="preserve">Tabla 35</w:t>
      </w:r>
      <w:r>
        <w:br/>
      </w:r>
      <w:r>
        <w:rPr>
          <w:iCs/>
          <w:i/>
        </w:rPr>
        <w:t xml:space="preserve">Estructura del plan de la calidad del ítem según la norma ISO 10005:2018</w:t>
      </w:r>
      <w:bookmarkEnd w:id="1449"/>
    </w:p>
    <w:tbl>
      <w:tblPr>
        <w:tblStyle w:val="Table"/>
        <w:tblW w:w="9360" w:type="dxa"/>
        <w:jc w:val="left"/>
        <w:tblLayout w:type="fixed"/>
        <w:tblCellMar>
          <w:top w:w="0" w:type="dxa"/>
          <w:left w:w="85" w:type="dxa"/>
          <w:bottom w:w="0" w:type="dxa"/>
          <w:right w:w="85" w:type="dxa"/>
        </w:tblCellMar>
        <w:tblLook w:firstRow="1" w:lastRow="0" w:firstColumn="0" w:lastColumn="0" w:noHBand="0" w:noVBand="0" w:val="0020"/>
      </w:tblPr>
      <w:tblGrid>
        <w:gridCol w:w="2580"/>
        <w:gridCol w:w="4499"/>
        <w:gridCol w:w="2281"/>
      </w:tblGrid>
      <w:tr>
        <w:trPr>
          <w:cantSplit/>
          <w:tblHeader w:val="true"/>
        </w:trPr>
        <w:tc>
          <w:tcPr>
            <w:tcW w:w="2580" w:type="dxa"/>
            <w:tcBorders>
              <w:top w:val="single" w:sz="8" w:space="0" w:color="000000"/>
              <w:bottom w:val="single" w:sz="4" w:space="0" w:color="000000"/>
            </w:tcBorders>
          </w:tcPr>
          <w:p>
            <w:pPr>
              <w:pStyle w:val="CeldaAPA"/>
              <w:jc w:val="center"/>
            </w:pPr>
            <w:r>
              <w:rPr>
                <w:bCs/>
                <w:b/>
              </w:rPr>
              <w:t xml:space="preserve">Elemento del plan</w:t>
            </w:r>
          </w:p>
        </w:tc>
        <w:tc>
          <w:tcPr>
            <w:tcW w:w="4499" w:type="dxa"/>
            <w:tcBorders>
              <w:top w:val="single" w:sz="8" w:space="0" w:color="000000"/>
              <w:bottom w:val="single" w:sz="4" w:space="0" w:color="000000"/>
            </w:tcBorders>
          </w:tcPr>
          <w:p>
            <w:pPr>
              <w:pStyle w:val="CeldaAPA"/>
              <w:jc w:val="center"/>
            </w:pPr>
            <w:r>
              <w:rPr>
                <w:bCs/>
                <w:b/>
              </w:rPr>
              <w:t xml:space="preserve">Contenido en este proyecto</w:t>
            </w:r>
          </w:p>
        </w:tc>
        <w:tc>
          <w:tcPr>
            <w:tcW w:w="2281" w:type="dxa"/>
            <w:tcBorders>
              <w:top w:val="single" w:sz="8" w:space="0" w:color="000000"/>
              <w:bottom w:val="single" w:sz="4" w:space="0" w:color="000000"/>
            </w:tcBorders>
          </w:tcPr>
          <w:p>
            <w:pPr>
              <w:pStyle w:val="CeldaAPA"/>
              <w:jc w:val="center"/>
            </w:pPr>
            <w:r>
              <w:rPr>
                <w:bCs/>
                <w:b/>
              </w:rPr>
              <w:t xml:space="preserve">Desarrollo</w:t>
            </w:r>
          </w:p>
        </w:tc>
      </w:tr>
      <w:tr>
        <w:tc>
          <w:tcPr>
            <w:tcW w:w="2580" w:type="dxa"/>
          </w:tcPr>
          <w:p>
            <w:pPr>
              <w:pStyle w:val="CeldaAPA"/>
              <w:jc w:val="left"/>
            </w:pPr>
            <w:r>
              <w:rPr/>
              <w:t xml:space="preserve">Alcance</w:t>
            </w:r>
          </w:p>
        </w:tc>
        <w:tc>
          <w:tcPr>
            <w:tcW w:w="4499" w:type="dxa"/>
          </w:tcPr>
          <w:p>
            <w:pPr>
              <w:pStyle w:val="CeldaAPA"/>
              <w:jc w:val="left"/>
            </w:pPr>
            <w:r>
              <w:rPr/>
              <w:t xml:space="preserve">Ítem 13 en la segunda y tercera losa (2.234,60 m</w:t>
            </w:r>
            <w:r>
              <w:rPr>
                <w:vertAlign w:val="superscript"/>
              </w:rPr>
              <w:t xml:space="preserve">2</w:t>
            </w:r>
            <w:r>
              <w:rPr/>
              <w:t xml:space="preserve">); de la compra al pago; exclusiones</w:t>
            </w:r>
          </w:p>
        </w:tc>
        <w:tc>
          <w:tcPr>
            <w:tcW w:w="2281" w:type="dxa"/>
          </w:tcPr>
          <w:p>
            <w:pPr>
              <w:pStyle w:val="CeldaAPA"/>
              <w:jc w:val="left"/>
            </w:pPr>
            <w:r>
              <w:rPr/>
              <w:t xml:space="preserve">Sección 2.6.2</w:t>
            </w:r>
          </w:p>
        </w:tc>
      </w:tr>
      <w:tr>
        <w:tc>
          <w:tcPr>
            <w:tcW w:w="2580" w:type="dxa"/>
          </w:tcPr>
          <w:p>
            <w:pPr>
              <w:pStyle w:val="CeldaAPA"/>
              <w:jc w:val="left"/>
            </w:pPr>
            <w:r>
              <w:rPr/>
              <w:t xml:space="preserve">Entradas del plan</w:t>
            </w:r>
          </w:p>
        </w:tc>
        <w:tc>
          <w:tcPr>
            <w:tcW w:w="4499" w:type="dxa"/>
          </w:tcPr>
          <w:p>
            <w:pPr>
              <w:pStyle w:val="CeldaAPA"/>
              <w:jc w:val="left"/>
            </w:pPr>
            <w:r>
              <w:rPr/>
              <w:t xml:space="preserve">Contrato; ET; planos 01 a 03; certificados; ACI 318-25; NB 997; brechas B1 a B9</w:t>
            </w:r>
          </w:p>
        </w:tc>
        <w:tc>
          <w:tcPr>
            <w:tcW w:w="2281" w:type="dxa"/>
          </w:tcPr>
          <w:p>
            <w:pPr>
              <w:pStyle w:val="CeldaAPA"/>
              <w:jc w:val="left"/>
            </w:pPr>
            <w:r>
              <w:rPr/>
              <w:t xml:space="preserve">Secciones 2.6 y 2.6.2</w:t>
            </w:r>
          </w:p>
        </w:tc>
      </w:tr>
      <w:tr>
        <w:tc>
          <w:tcPr>
            <w:tcW w:w="2580" w:type="dxa"/>
          </w:tcPr>
          <w:p>
            <w:pPr>
              <w:pStyle w:val="CeldaAPA"/>
              <w:jc w:val="left"/>
            </w:pPr>
            <w:r>
              <w:rPr/>
              <w:t xml:space="preserve">Objetivos de la calidad</w:t>
            </w:r>
          </w:p>
        </w:tc>
        <w:tc>
          <w:tcPr>
            <w:tcW w:w="4499" w:type="dxa"/>
          </w:tcPr>
          <w:p>
            <w:pPr>
              <w:pStyle w:val="CeldaAPA"/>
              <w:jc w:val="left"/>
            </w:pPr>
            <w:r>
              <w:rPr/>
              <w:t xml:space="preserve">Doce objetivos con indicador, meta, frecuencia y responsable</w:t>
            </w:r>
          </w:p>
        </w:tc>
        <w:tc>
          <w:tcPr>
            <w:tcW w:w="2281" w:type="dxa"/>
          </w:tcPr>
          <w:p>
            <w:pPr>
              <w:pStyle w:val="CeldaAPA"/>
              <w:jc w:val="left"/>
            </w:pPr>
            <w:r>
              <w:rPr/>
              <w:t xml:space="preserve">Tabla 33</w:t>
            </w:r>
          </w:p>
        </w:tc>
      </w:tr>
      <w:tr>
        <w:tc>
          <w:tcPr>
            <w:tcW w:w="2580" w:type="dxa"/>
          </w:tcPr>
          <w:p>
            <w:pPr>
              <w:pStyle w:val="CeldaAPA"/>
              <w:jc w:val="left"/>
            </w:pPr>
            <w:r>
              <w:rPr/>
              <w:t xml:space="preserve">Responsabilidades</w:t>
            </w:r>
          </w:p>
        </w:tc>
        <w:tc>
          <w:tcPr>
            <w:tcW w:w="4499" w:type="dxa"/>
          </w:tcPr>
          <w:p>
            <w:pPr>
              <w:pStyle w:val="CeldaAPA"/>
              <w:jc w:val="left"/>
            </w:pPr>
            <w:r>
              <w:rPr/>
              <w:t xml:space="preserve">Funciones y matriz RACI</w:t>
            </w:r>
          </w:p>
        </w:tc>
        <w:tc>
          <w:tcPr>
            <w:tcW w:w="2281" w:type="dxa"/>
          </w:tcPr>
          <w:p>
            <w:pPr>
              <w:pStyle w:val="CeldaAPA"/>
              <w:jc w:val="left"/>
            </w:pPr>
            <w:r>
              <w:rPr/>
              <w:t xml:space="preserve">Tabla 31</w:t>
            </w:r>
          </w:p>
        </w:tc>
      </w:tr>
      <w:tr>
        <w:tc>
          <w:tcPr>
            <w:tcW w:w="2580" w:type="dxa"/>
          </w:tcPr>
          <w:p>
            <w:pPr>
              <w:pStyle w:val="CeldaAPA"/>
              <w:jc w:val="left"/>
            </w:pPr>
            <w:r>
              <w:rPr/>
              <w:t xml:space="preserve">Control de la información documentada</w:t>
            </w:r>
          </w:p>
        </w:tc>
        <w:tc>
          <w:tcPr>
            <w:tcW w:w="4499" w:type="dxa"/>
          </w:tcPr>
          <w:p>
            <w:pPr>
              <w:pStyle w:val="CeldaAPA"/>
              <w:jc w:val="left"/>
            </w:pPr>
            <w:r>
              <w:rPr/>
              <w:t xml:space="preserve">Lista maestra; control de cambios de planos y ET; archivo de registros</w:t>
            </w:r>
          </w:p>
        </w:tc>
        <w:tc>
          <w:tcPr>
            <w:tcW w:w="2281" w:type="dxa"/>
          </w:tcPr>
          <w:p>
            <w:pPr>
              <w:pStyle w:val="CeldaAPA"/>
              <w:jc w:val="left"/>
            </w:pPr>
            <w:r>
              <w:rPr/>
              <w:t xml:space="preserve">Tabla 34</w:t>
            </w:r>
          </w:p>
        </w:tc>
      </w:tr>
      <w:tr>
        <w:tc>
          <w:tcPr>
            <w:tcW w:w="2580" w:type="dxa"/>
          </w:tcPr>
          <w:p>
            <w:pPr>
              <w:pStyle w:val="CeldaAPA"/>
              <w:jc w:val="left"/>
            </w:pPr>
            <w:r>
              <w:rPr/>
              <w:t xml:space="preserve">Recursos</w:t>
            </w:r>
          </w:p>
        </w:tc>
        <w:tc>
          <w:tcPr>
            <w:tcW w:w="4499" w:type="dxa"/>
          </w:tcPr>
          <w:p>
            <w:pPr>
              <w:pStyle w:val="CeldaAPA"/>
              <w:jc w:val="left"/>
            </w:pPr>
            <w:r>
              <w:rPr/>
              <w:t xml:space="preserve">Personas con tiempo asignado; almacén; equipos; laboratorio; capacitación</w:t>
            </w:r>
          </w:p>
        </w:tc>
        <w:tc>
          <w:tcPr>
            <w:tcW w:w="2281" w:type="dxa"/>
          </w:tcPr>
          <w:p>
            <w:pPr>
              <w:pStyle w:val="CeldaAPA"/>
              <w:jc w:val="left"/>
            </w:pPr>
            <w:r>
              <w:rPr/>
              <w:t xml:space="preserve">Sección 2.6.5</w:t>
            </w:r>
          </w:p>
        </w:tc>
      </w:tr>
      <w:tr>
        <w:tc>
          <w:tcPr>
            <w:tcW w:w="2580" w:type="dxa"/>
          </w:tcPr>
          <w:p>
            <w:pPr>
              <w:pStyle w:val="CeldaAPA"/>
              <w:jc w:val="left"/>
            </w:pPr>
            <w:r>
              <w:rPr/>
              <w:t xml:space="preserve">Comunicación con las partes interesadas</w:t>
            </w:r>
          </w:p>
        </w:tc>
        <w:tc>
          <w:tcPr>
            <w:tcW w:w="4499" w:type="dxa"/>
          </w:tcPr>
          <w:p>
            <w:pPr>
              <w:pStyle w:val="CeldaAPA"/>
              <w:jc w:val="left"/>
            </w:pPr>
            <w:r>
              <w:rPr/>
              <w:t xml:space="preserve">Libro de Órdenes, reunión semanal e informe mensual</w:t>
            </w:r>
          </w:p>
        </w:tc>
        <w:tc>
          <w:tcPr>
            <w:tcW w:w="2281" w:type="dxa"/>
          </w:tcPr>
          <w:p>
            <w:pPr>
              <w:pStyle w:val="CeldaAPA"/>
              <w:jc w:val="left"/>
            </w:pPr>
            <w:r>
              <w:rPr/>
              <w:t xml:space="preserve">Sección 2.6.5</w:t>
            </w:r>
          </w:p>
        </w:tc>
      </w:tr>
      <w:tr>
        <w:tc>
          <w:tcPr>
            <w:tcW w:w="2580" w:type="dxa"/>
          </w:tcPr>
          <w:p>
            <w:pPr>
              <w:pStyle w:val="CeldaAPA"/>
              <w:jc w:val="left"/>
            </w:pPr>
            <w:r>
              <w:rPr/>
              <w:t xml:space="preserve">Diseño y desarrollo</w:t>
            </w:r>
          </w:p>
        </w:tc>
        <w:tc>
          <w:tcPr>
            <w:tcW w:w="4499" w:type="dxa"/>
          </w:tcPr>
          <w:p>
            <w:pPr>
              <w:pStyle w:val="CeldaAPA"/>
              <w:jc w:val="left"/>
            </w:pPr>
            <w:r>
              <w:rPr/>
              <w:t xml:space="preserve">No aplica (diseño de la UATF); consultas técnicas y cambios</w:t>
            </w:r>
          </w:p>
        </w:tc>
        <w:tc>
          <w:tcPr>
            <w:tcW w:w="2281" w:type="dxa"/>
          </w:tcPr>
          <w:p>
            <w:pPr>
              <w:pStyle w:val="CeldaAPA"/>
              <w:jc w:val="left"/>
            </w:pPr>
            <w:r>
              <w:rPr/>
              <w:t xml:space="preserve">Gestión de cambios</w:t>
            </w:r>
          </w:p>
        </w:tc>
      </w:tr>
      <w:tr>
        <w:tc>
          <w:tcPr>
            <w:tcW w:w="2580" w:type="dxa"/>
          </w:tcPr>
          <w:p>
            <w:pPr>
              <w:pStyle w:val="CeldaAPA"/>
              <w:jc w:val="left"/>
            </w:pPr>
            <w:r>
              <w:rPr/>
              <w:t xml:space="preserve">Productos y servicios suministrados externamente</w:t>
            </w:r>
          </w:p>
        </w:tc>
        <w:tc>
          <w:tcPr>
            <w:tcW w:w="4499" w:type="dxa"/>
          </w:tcPr>
          <w:p>
            <w:pPr>
              <w:pStyle w:val="CeldaAPA"/>
              <w:jc w:val="left"/>
            </w:pPr>
            <w:r>
              <w:rPr/>
              <w:t xml:space="preserve">Evaluación de proveedores y del laboratorio; recepción antes de colocar</w:t>
            </w:r>
          </w:p>
        </w:tc>
        <w:tc>
          <w:tcPr>
            <w:tcW w:w="2281" w:type="dxa"/>
          </w:tcPr>
          <w:p>
            <w:pPr>
              <w:pStyle w:val="CeldaAPA"/>
              <w:jc w:val="left"/>
            </w:pPr>
            <w:r>
              <w:rPr/>
              <w:t xml:space="preserve">PCM-01; C.3</w:t>
            </w:r>
          </w:p>
        </w:tc>
      </w:tr>
      <w:tr>
        <w:tc>
          <w:tcPr>
            <w:tcW w:w="2580" w:type="dxa"/>
          </w:tcPr>
          <w:p>
            <w:pPr>
              <w:pStyle w:val="CeldaAPA"/>
              <w:jc w:val="left"/>
            </w:pPr>
            <w:r>
              <w:rPr/>
              <w:t xml:space="preserve">Producción y provisión del servicio</w:t>
            </w:r>
          </w:p>
        </w:tc>
        <w:tc>
          <w:tcPr>
            <w:tcW w:w="4499" w:type="dxa"/>
          </w:tcPr>
          <w:p>
            <w:pPr>
              <w:pStyle w:val="CeldaAPA"/>
              <w:jc w:val="left"/>
            </w:pPr>
            <w:r>
              <w:rPr/>
              <w:t xml:space="preserve">Secuencia por paño; PPI con puntos de espera; control del hormigón</w:t>
            </w:r>
          </w:p>
        </w:tc>
        <w:tc>
          <w:tcPr>
            <w:tcW w:w="2281" w:type="dxa"/>
          </w:tcPr>
          <w:p>
            <w:pPr>
              <w:pStyle w:val="CeldaAPA"/>
              <w:jc w:val="left"/>
            </w:pPr>
            <w:r>
              <w:rPr/>
              <w:t xml:space="preserve">Tabla 36</w:t>
            </w:r>
          </w:p>
        </w:tc>
      </w:tr>
      <w:tr>
        <w:tc>
          <w:tcPr>
            <w:tcW w:w="2580" w:type="dxa"/>
          </w:tcPr>
          <w:p>
            <w:pPr>
              <w:pStyle w:val="CeldaAPA"/>
              <w:jc w:val="left"/>
            </w:pPr>
            <w:r>
              <w:rPr/>
              <w:t xml:space="preserve">Identificación y trazabilidad</w:t>
            </w:r>
          </w:p>
        </w:tc>
        <w:tc>
          <w:tcPr>
            <w:tcW w:w="4499" w:type="dxa"/>
          </w:tcPr>
          <w:p>
            <w:pPr>
              <w:pStyle w:val="CeldaAPA"/>
              <w:jc w:val="left"/>
            </w:pPr>
            <w:r>
              <w:rPr/>
              <w:t xml:space="preserve">Códigos de lote, paño y vaciado en tarjetas, vales, kardex y probetas</w:t>
            </w:r>
          </w:p>
        </w:tc>
        <w:tc>
          <w:tcPr>
            <w:tcW w:w="2281" w:type="dxa"/>
          </w:tcPr>
          <w:p>
            <w:pPr>
              <w:pStyle w:val="CeldaAPA"/>
              <w:jc w:val="left"/>
            </w:pPr>
            <w:r>
              <w:rPr/>
              <w:t xml:space="preserve">PCM-02 y PCM-03</w:t>
            </w:r>
          </w:p>
        </w:tc>
      </w:tr>
      <w:tr>
        <w:tc>
          <w:tcPr>
            <w:tcW w:w="2580" w:type="dxa"/>
          </w:tcPr>
          <w:p>
            <w:pPr>
              <w:pStyle w:val="CeldaAPA"/>
              <w:jc w:val="left"/>
            </w:pPr>
            <w:r>
              <w:rPr/>
              <w:t xml:space="preserve">Propiedad de las partes interesadas</w:t>
            </w:r>
          </w:p>
        </w:tc>
        <w:tc>
          <w:tcPr>
            <w:tcW w:w="4499" w:type="dxa"/>
          </w:tcPr>
          <w:p>
            <w:pPr>
              <w:pStyle w:val="CeldaAPA"/>
              <w:jc w:val="left"/>
            </w:pPr>
            <w:r>
              <w:rPr/>
              <w:t xml:space="preserve">Estructura ya ejecutada y documentos de la UATF, protegidos</w:t>
            </w:r>
          </w:p>
        </w:tc>
        <w:tc>
          <w:tcPr>
            <w:tcW w:w="2281" w:type="dxa"/>
          </w:tcPr>
          <w:p>
            <w:pPr>
              <w:pStyle w:val="CeldaAPA"/>
              <w:jc w:val="left"/>
            </w:pPr>
            <w:r>
              <w:rPr/>
              <w:t xml:space="preserve">PCM-02</w:t>
            </w:r>
          </w:p>
        </w:tc>
      </w:tr>
      <w:tr>
        <w:tc>
          <w:tcPr>
            <w:tcW w:w="2580" w:type="dxa"/>
          </w:tcPr>
          <w:p>
            <w:pPr>
              <w:pStyle w:val="CeldaAPA"/>
              <w:jc w:val="left"/>
            </w:pPr>
            <w:r>
              <w:rPr/>
              <w:t xml:space="preserve">Preservación de las salidas</w:t>
            </w:r>
          </w:p>
        </w:tc>
        <w:tc>
          <w:tcPr>
            <w:tcW w:w="4499" w:type="dxa"/>
          </w:tcPr>
          <w:p>
            <w:pPr>
              <w:pStyle w:val="CeldaAPA"/>
              <w:jc w:val="left"/>
            </w:pPr>
            <w:r>
              <w:rPr/>
              <w:t xml:space="preserve">Acopio adecuado; protección del hormigón contra lluvia y helada; curado</w:t>
            </w:r>
          </w:p>
        </w:tc>
        <w:tc>
          <w:tcPr>
            <w:tcW w:w="2281" w:type="dxa"/>
          </w:tcPr>
          <w:p>
            <w:pPr>
              <w:pStyle w:val="CeldaAPA"/>
              <w:jc w:val="left"/>
            </w:pPr>
            <w:r>
              <w:rPr/>
              <w:t xml:space="preserve">PCM-02; hormigón</w:t>
            </w:r>
          </w:p>
        </w:tc>
      </w:tr>
      <w:tr>
        <w:tc>
          <w:tcPr>
            <w:tcW w:w="2580" w:type="dxa"/>
          </w:tcPr>
          <w:p>
            <w:pPr>
              <w:pStyle w:val="CeldaAPA"/>
              <w:jc w:val="left"/>
            </w:pPr>
            <w:r>
              <w:rPr/>
              <w:t xml:space="preserve">Control de las salidas no conformes</w:t>
            </w:r>
          </w:p>
        </w:tc>
        <w:tc>
          <w:tcPr>
            <w:tcW w:w="4499" w:type="dxa"/>
          </w:tcPr>
          <w:p>
            <w:pPr>
              <w:pStyle w:val="CeldaAPA"/>
              <w:jc w:val="left"/>
            </w:pPr>
            <w:r>
              <w:rPr/>
              <w:t xml:space="preserve">Retención e identificación; ningún paño sin liberar se vacía</w:t>
            </w:r>
          </w:p>
        </w:tc>
        <w:tc>
          <w:tcPr>
            <w:tcW w:w="2281" w:type="dxa"/>
          </w:tcPr>
          <w:p>
            <w:pPr>
              <w:pStyle w:val="CeldaAPA"/>
              <w:jc w:val="left"/>
            </w:pPr>
            <w:r>
              <w:rPr/>
              <w:t xml:space="preserve">PCM-05; liberación</w:t>
            </w:r>
          </w:p>
        </w:tc>
      </w:tr>
      <w:tr>
        <w:tc>
          <w:tcPr>
            <w:tcW w:w="2580" w:type="dxa"/>
          </w:tcPr>
          <w:p>
            <w:pPr>
              <w:pStyle w:val="CeldaAPA"/>
              <w:jc w:val="left"/>
            </w:pPr>
            <w:r>
              <w:rPr/>
              <w:t xml:space="preserve">Seguimiento y medición</w:t>
            </w:r>
          </w:p>
        </w:tc>
        <w:tc>
          <w:tcPr>
            <w:tcW w:w="4499" w:type="dxa"/>
          </w:tcPr>
          <w:p>
            <w:pPr>
              <w:pStyle w:val="CeldaAPA"/>
              <w:jc w:val="left"/>
            </w:pPr>
            <w:r>
              <w:rPr/>
              <w:t xml:space="preserve">Indicadores, ensayos de aceptación y conciliación</w:t>
            </w:r>
          </w:p>
        </w:tc>
        <w:tc>
          <w:tcPr>
            <w:tcW w:w="2281" w:type="dxa"/>
          </w:tcPr>
          <w:p>
            <w:pPr>
              <w:pStyle w:val="CeldaAPA"/>
              <w:jc w:val="left"/>
            </w:pPr>
            <w:r>
              <w:rPr/>
              <w:t xml:space="preserve">Sección 2.6.7</w:t>
            </w:r>
          </w:p>
        </w:tc>
      </w:tr>
      <w:tr>
        <w:tc>
          <w:tcPr>
            <w:tcW w:w="2580" w:type="dxa"/>
          </w:tcPr>
          <w:p>
            <w:pPr>
              <w:pStyle w:val="CeldaAPA"/>
              <w:jc w:val="left"/>
            </w:pPr>
            <w:r>
              <w:rPr/>
              <w:t xml:space="preserve">Auditorías</w:t>
            </w:r>
          </w:p>
        </w:tc>
        <w:tc>
          <w:tcPr>
            <w:tcW w:w="4499" w:type="dxa"/>
          </w:tcPr>
          <w:p>
            <w:pPr>
              <w:pStyle w:val="CeldaAPA"/>
              <w:jc w:val="left"/>
            </w:pPr>
            <w:r>
              <w:rPr/>
              <w:t xml:space="preserve">Auditoría interna simplificada con la lista C.1</w:t>
            </w:r>
          </w:p>
        </w:tc>
        <w:tc>
          <w:tcPr>
            <w:tcW w:w="2281" w:type="dxa"/>
          </w:tcPr>
          <w:p>
            <w:pPr>
              <w:pStyle w:val="CeldaAPA"/>
              <w:jc w:val="left"/>
            </w:pPr>
            <w:r>
              <w:rPr/>
              <w:t xml:space="preserve">Sección 2.6.7</w:t>
            </w:r>
          </w:p>
        </w:tc>
      </w:tr>
      <w:tr>
        <w:tc>
          <w:tcPr>
            <w:tcW w:w="2580" w:type="dxa"/>
            <w:tcBorders>
              <w:bottom w:val="single" w:sz="8" w:space="0" w:color="000000"/>
            </w:tcBorders>
          </w:tcPr>
          <w:p>
            <w:pPr>
              <w:pStyle w:val="CeldaAPA"/>
              <w:jc w:val="left"/>
            </w:pPr>
            <w:r>
              <w:rPr/>
              <w:t xml:space="preserve">Operación y control del plan</w:t>
            </w:r>
          </w:p>
        </w:tc>
        <w:tc>
          <w:tcPr>
            <w:tcW w:w="4499" w:type="dxa"/>
            <w:tcBorders>
              <w:bottom w:val="single" w:sz="8" w:space="0" w:color="000000"/>
            </w:tcBorders>
          </w:tcPr>
          <w:p>
            <w:pPr>
              <w:pStyle w:val="CeldaAPA"/>
              <w:jc w:val="left"/>
            </w:pPr>
            <w:r>
              <w:rPr/>
              <w:t xml:space="preserve">Aceptación por la Supervisión; aplicación por paño; revisión al cerrar cada losa</w:t>
            </w:r>
          </w:p>
        </w:tc>
        <w:tc>
          <w:tcPr>
            <w:tcW w:w="2281" w:type="dxa"/>
            <w:tcBorders>
              <w:bottom w:val="single" w:sz="8" w:space="0" w:color="000000"/>
            </w:tcBorders>
          </w:tcPr>
          <w:p>
            <w:pPr>
              <w:pStyle w:val="CeldaAPA"/>
              <w:jc w:val="left"/>
            </w:pPr>
            <w:r>
              <w:rPr/>
              <w:t xml:space="preserve">Secciones 2.6.7 y 2.6.8</w:t>
            </w:r>
          </w:p>
        </w:tc>
      </w:tr>
    </w:tbl>
    <w:p>
      <w:pPr>
        <w:pStyle w:val="NotaAPA"/>
      </w:pPr>
      <w:r>
        <w:rPr>
          <w:iCs/>
          <w:i/>
        </w:rPr>
        <w:t xml:space="preserve">Nota.</w:t>
      </w:r>
      <w:r>
        <w:t xml:space="preserve"> </w:t>
      </w:r>
      <w:r>
        <w:t xml:space="preserve">Elaboración propia. Los nombres de los elementos siguen la estructura de contenido de los planes de la calidad de la norma ISO 10005:2018</w:t>
      </w:r>
      <w:r>
        <w:t xml:space="preserve"> </w:t>
      </w:r>
      <w:r>
        <w:t xml:space="preserve">(ISO, 2018)</w:t>
      </w:r>
      <w:r>
        <w:t xml:space="preserve">; su desarrollo es propio de este proyecto.</w:t>
      </w:r>
    </w:p>
    <w:p>
      <w:pPr>
        <w:pStyle w:val="Heading4"/>
      </w:pPr>
      <w:bookmarkStart w:id="165" w:name="tit116"/>
      <w:r>
        <w:t xml:space="preserve">2.6.6.3. Plan de puntos de inspección y ensayo.</w:t>
      </w:r>
      <w:bookmarkEnd w:id="165"/>
    </w:p>
    <w:p>
      <w:pPr>
        <w:pStyle w:val="FirstParagraph"/>
      </w:pPr>
      <w:r>
        <w:t xml:space="preserve">El PPI define, para cada inspección, la característica que se controla, el criterio de aceptación, la referencia, la frecuencia, el responsable y el registro, e identifica los</w:t>
      </w:r>
      <w:r>
        <w:t xml:space="preserve"> </w:t>
      </w:r>
      <w:r>
        <w:rPr>
          <w:iCs/>
          <w:i/>
        </w:rPr>
        <w:t xml:space="preserve">puntos de espera</w:t>
      </w:r>
      <w:r>
        <w:t xml:space="preserve"> </w:t>
      </w:r>
      <w:r>
        <w:t xml:space="preserve">o de parada: inspecciones que, por su importancia, obligan a detener la actividad hasta obtener la conformidad del cliente o el resultado de un ensayo</w:t>
      </w:r>
      <w:r>
        <w:t xml:space="preserve"> </w:t>
      </w:r>
      <w:r>
        <w:t xml:space="preserve">(Muro Núñez, 2020, anexo 4)</w:t>
      </w:r>
      <w:r>
        <w:t xml:space="preserve">. En este proyecto se usan tres tipos de punto:</w:t>
      </w:r>
      <w:r>
        <w:t xml:space="preserve"> </w:t>
      </w:r>
      <w:r>
        <w:rPr>
          <w:bCs/>
          <w:b/>
        </w:rPr>
        <w:t xml:space="preserve">H</w:t>
      </w:r>
      <w:r>
        <w:t xml:space="preserve"> </w:t>
      </w:r>
      <w:r>
        <w:t xml:space="preserve">(punto de espera: la actividad siguiente no comienza sin la liberación firmada por la Supervisión),</w:t>
      </w:r>
      <w:r>
        <w:t xml:space="preserve"> </w:t>
      </w:r>
      <w:r>
        <w:rPr>
          <w:bCs/>
          <w:b/>
        </w:rPr>
        <w:t xml:space="preserve">W</w:t>
      </w:r>
      <w:r>
        <w:t xml:space="preserve"> </w:t>
      </w:r>
      <w:r>
        <w:t xml:space="preserve">(punto de aviso: se avisa a la Supervisión, que puede presenciar la actividad; si no asiste, se continúa con el autocontrol registrado) y</w:t>
      </w:r>
      <w:r>
        <w:t xml:space="preserve"> </w:t>
      </w:r>
      <w:r>
        <w:rPr>
          <w:bCs/>
          <w:b/>
        </w:rPr>
        <w:t xml:space="preserve">R</w:t>
      </w:r>
      <w:r>
        <w:t xml:space="preserve"> </w:t>
      </w:r>
      <w:r>
        <w:t xml:space="preserve">(revisión de registros y certificados). Los puntos de espera son el apuntalamiento, el armado, el vaciado y el desapuntalamiento (Tabla 36). Con ellos, la verificación que en la primera losa se hizo una sola vez, con un asiento genérico del Libro de Órdenes, se convierte en una liberación por paño, con criterios explícitos y registro firmado (B6).</w:t>
      </w:r>
    </w:p>
    <w:p>
      <w:pPr>
        <w:pStyle w:val="Caption"/>
      </w:pPr>
      <w:bookmarkStart w:id="1450" w:name="tab36"/>
      <w:r>
        <w:t xml:space="preserve"/>
      </w:r>
      <w:r>
        <w:rPr>
          <w:bCs/>
          <w:b/>
        </w:rPr>
        <w:t xml:space="preserve">Tabla 36</w:t>
      </w:r>
      <w:r>
        <w:br/>
      </w:r>
      <w:r>
        <w:rPr>
          <w:iCs/>
          <w:i/>
        </w:rPr>
        <w:t xml:space="preserve">Plan de puntos de inspección y ensayo (PPI) de la losa alivianada</w:t>
      </w:r>
      <w:bookmarkEnd w:id="1450"/>
    </w:p>
    <w:tbl>
      <w:tblPr>
        <w:tblStyle w:val="Table"/>
        <w:tblW w:w="11072" w:type="dxa"/>
        <w:jc w:val="left"/>
        <w:tblLayout w:type="fixed"/>
        <w:tblCellMar>
          <w:top w:w="0" w:type="dxa"/>
          <w:left w:w="85" w:type="dxa"/>
          <w:bottom w:w="0" w:type="dxa"/>
          <w:right w:w="85" w:type="dxa"/>
        </w:tblCellMar>
        <w:tblLook w:firstRow="1" w:lastRow="0" w:firstColumn="0" w:lastColumn="0" w:noHBand="0" w:noVBand="0" w:val="0020"/>
      </w:tblPr>
      <w:tblGrid>
        <w:gridCol w:w="666"/>
        <w:gridCol w:w="2076"/>
        <w:gridCol w:w="1854"/>
        <w:gridCol w:w="2540"/>
        <w:gridCol w:w="1572"/>
        <w:gridCol w:w="814"/>
        <w:gridCol w:w="1550"/>
      </w:tblGrid>
      <w:tr>
        <w:trPr>
          <w:cantSplit/>
          <w:tblHeader w:val="true"/>
        </w:trPr>
        <w:tc>
          <w:tcPr>
            <w:tcW w:w="666" w:type="dxa"/>
            <w:tcBorders>
              <w:top w:val="single" w:sz="8" w:space="0" w:color="000000"/>
              <w:bottom w:val="single" w:sz="4" w:space="0" w:color="000000"/>
            </w:tcBorders>
          </w:tcPr>
          <w:p>
            <w:pPr>
              <w:pStyle w:val="CeldaAPA"/>
              <w:jc w:val="center"/>
            </w:pPr>
            <w:r>
              <w:rPr>
                <w:bCs/>
                <w:b/>
              </w:rPr>
              <w:t xml:space="preserve">N.</w:t>
            </w:r>
            <w:r>
              <w:rPr>
                <w:vertAlign w:val="superscript"/>
                <w:bCs/>
                <w:b/>
              </w:rPr>
              <w:t xml:space="preserve">o</w:t>
            </w:r>
          </w:p>
        </w:tc>
        <w:tc>
          <w:tcPr>
            <w:tcW w:w="2076" w:type="dxa"/>
            <w:tcBorders>
              <w:top w:val="single" w:sz="8" w:space="0" w:color="000000"/>
              <w:bottom w:val="single" w:sz="4" w:space="0" w:color="000000"/>
            </w:tcBorders>
          </w:tcPr>
          <w:p>
            <w:pPr>
              <w:pStyle w:val="CeldaAPA"/>
              <w:jc w:val="center"/>
            </w:pPr>
            <w:r>
              <w:rPr>
                <w:bCs/>
                <w:b/>
              </w:rPr>
              <w:t xml:space="preserve">Actividad o punto</w:t>
            </w:r>
          </w:p>
        </w:tc>
        <w:tc>
          <w:tcPr>
            <w:tcW w:w="1854" w:type="dxa"/>
            <w:tcBorders>
              <w:top w:val="single" w:sz="8" w:space="0" w:color="000000"/>
              <w:bottom w:val="single" w:sz="4" w:space="0" w:color="000000"/>
            </w:tcBorders>
          </w:tcPr>
          <w:p>
            <w:pPr>
              <w:pStyle w:val="CeldaAPA"/>
              <w:jc w:val="center"/>
            </w:pPr>
            <w:r>
              <w:rPr>
                <w:bCs/>
                <w:b/>
              </w:rPr>
              <w:t xml:space="preserve">Característica y criterio de aceptación</w:t>
            </w:r>
          </w:p>
        </w:tc>
        <w:tc>
          <w:tcPr>
            <w:tcW w:w="2540" w:type="dxa"/>
            <w:tcBorders>
              <w:top w:val="single" w:sz="8" w:space="0" w:color="000000"/>
              <w:bottom w:val="single" w:sz="4" w:space="0" w:color="000000"/>
            </w:tcBorders>
          </w:tcPr>
          <w:p>
            <w:pPr>
              <w:pStyle w:val="CeldaAPA"/>
              <w:jc w:val="center"/>
            </w:pPr>
            <w:r>
              <w:rPr>
                <w:bCs/>
                <w:b/>
              </w:rPr>
              <w:t xml:space="preserve">Referencia</w:t>
            </w:r>
          </w:p>
        </w:tc>
        <w:tc>
          <w:tcPr>
            <w:tcW w:w="1572" w:type="dxa"/>
            <w:tcBorders>
              <w:top w:val="single" w:sz="8" w:space="0" w:color="000000"/>
              <w:bottom w:val="single" w:sz="4" w:space="0" w:color="000000"/>
            </w:tcBorders>
          </w:tcPr>
          <w:p>
            <w:pPr>
              <w:pStyle w:val="CeldaAPA"/>
              <w:jc w:val="center"/>
            </w:pPr>
            <w:r>
              <w:rPr>
                <w:bCs/>
                <w:b/>
              </w:rPr>
              <w:t xml:space="preserve">Frecuencia</w:t>
            </w:r>
          </w:p>
        </w:tc>
        <w:tc>
          <w:tcPr>
            <w:tcW w:w="814" w:type="dxa"/>
            <w:tcBorders>
              <w:top w:val="single" w:sz="8" w:space="0" w:color="000000"/>
              <w:bottom w:val="single" w:sz="4" w:space="0" w:color="000000"/>
            </w:tcBorders>
          </w:tcPr>
          <w:p>
            <w:pPr>
              <w:pStyle w:val="CeldaAPA"/>
              <w:jc w:val="center"/>
            </w:pPr>
            <w:r>
              <w:rPr>
                <w:bCs/>
                <w:b/>
              </w:rPr>
              <w:t xml:space="preserve">Tipo</w:t>
            </w:r>
          </w:p>
        </w:tc>
        <w:tc>
          <w:tcPr>
            <w:tcW w:w="1550" w:type="dxa"/>
            <w:tcBorders>
              <w:top w:val="single" w:sz="8" w:space="0" w:color="000000"/>
              <w:bottom w:val="single" w:sz="4" w:space="0" w:color="000000"/>
            </w:tcBorders>
          </w:tcPr>
          <w:p>
            <w:pPr>
              <w:pStyle w:val="CeldaAPA"/>
              <w:jc w:val="center"/>
            </w:pPr>
            <w:r>
              <w:rPr>
                <w:bCs/>
                <w:b/>
              </w:rPr>
              <w:t xml:space="preserve">Registro y responsable</w:t>
            </w:r>
          </w:p>
        </w:tc>
      </w:tr>
      <w:tr>
        <w:tc>
          <w:tcPr>
            <w:tcW w:w="666" w:type="dxa"/>
          </w:tcPr>
          <w:p>
            <w:pPr>
              <w:pStyle w:val="CeldaAPA"/>
              <w:jc w:val="left"/>
            </w:pPr>
            <w:r>
              <w:rPr/>
              <w:t xml:space="preserve">1</w:t>
            </w:r>
          </w:p>
        </w:tc>
        <w:tc>
          <w:tcPr>
            <w:tcW w:w="2076" w:type="dxa"/>
          </w:tcPr>
          <w:p>
            <w:pPr>
              <w:pStyle w:val="CeldaAPA"/>
              <w:jc w:val="left"/>
            </w:pPr>
            <w:r>
              <w:rPr/>
              <w:t xml:space="preserve">Recepción de materiales</w:t>
            </w:r>
          </w:p>
        </w:tc>
        <w:tc>
          <w:tcPr>
            <w:tcW w:w="1854" w:type="dxa"/>
          </w:tcPr>
          <w:p>
            <w:pPr>
              <w:pStyle w:val="CeldaAPA"/>
              <w:jc w:val="left"/>
            </w:pPr>
            <w:r>
              <w:rPr/>
              <w:t xml:space="preserve">Criterios de la Tabla 37: recepción antes de la colocación, con certificado firmado por lote (viguetas y EPS) o por colada y diámetro (acero)</w:t>
            </w:r>
          </w:p>
        </w:tc>
        <w:tc>
          <w:tcPr>
            <w:tcW w:w="2540" w:type="dxa"/>
          </w:tcPr>
          <w:p>
            <w:pPr>
              <w:pStyle w:val="CeldaAPA"/>
              <w:jc w:val="left"/>
            </w:pPr>
            <w:r>
              <w:rPr/>
              <w:t xml:space="preserve">PCM-01</w:t>
            </w:r>
          </w:p>
        </w:tc>
        <w:tc>
          <w:tcPr>
            <w:tcW w:w="1572" w:type="dxa"/>
          </w:tcPr>
          <w:p>
            <w:pPr>
              <w:pStyle w:val="CeldaAPA"/>
              <w:jc w:val="left"/>
            </w:pPr>
            <w:r>
              <w:rPr/>
              <w:t xml:space="preserve">Cada entrega</w:t>
            </w:r>
          </w:p>
        </w:tc>
        <w:tc>
          <w:tcPr>
            <w:tcW w:w="814" w:type="dxa"/>
          </w:tcPr>
          <w:p>
            <w:pPr>
              <w:pStyle w:val="CeldaAPA"/>
              <w:jc w:val="center"/>
            </w:pPr>
            <w:r>
              <w:rPr/>
              <w:t xml:space="preserve">R</w:t>
            </w:r>
          </w:p>
        </w:tc>
        <w:tc>
          <w:tcPr>
            <w:tcW w:w="1550" w:type="dxa"/>
          </w:tcPr>
          <w:p>
            <w:pPr>
              <w:pStyle w:val="CeldaAPA"/>
              <w:jc w:val="left"/>
            </w:pPr>
            <w:r>
              <w:rPr/>
              <w:t xml:space="preserve">C.3; AL y RC</w:t>
            </w:r>
          </w:p>
        </w:tc>
      </w:tr>
      <w:tr>
        <w:tc>
          <w:tcPr>
            <w:tcW w:w="666" w:type="dxa"/>
          </w:tcPr>
          <w:p>
            <w:pPr>
              <w:pStyle w:val="CeldaAPA"/>
              <w:jc w:val="left"/>
            </w:pPr>
            <w:r>
              <w:rPr/>
              <w:t xml:space="preserve">2</w:t>
            </w:r>
          </w:p>
        </w:tc>
        <w:tc>
          <w:tcPr>
            <w:tcW w:w="2076" w:type="dxa"/>
          </w:tcPr>
          <w:p>
            <w:pPr>
              <w:pStyle w:val="CeldaAPA"/>
              <w:jc w:val="left"/>
            </w:pPr>
            <w:r>
              <w:rPr/>
              <w:t xml:space="preserve">Replanteo y encofrado de vigas</w:t>
            </w:r>
          </w:p>
        </w:tc>
        <w:tc>
          <w:tcPr>
            <w:tcW w:w="1854" w:type="dxa"/>
          </w:tcPr>
          <w:p>
            <w:pPr>
              <w:pStyle w:val="CeldaAPA"/>
              <w:jc w:val="left"/>
            </w:pPr>
            <w:r>
              <w:rPr/>
              <w:t xml:space="preserve">Ejes y niveles según el Plano 01; encofrados estancos, arriostrados y limpios; alero de encofrado de al menos 20 cm donde la vigueta corre paralela a una viga</w:t>
            </w:r>
          </w:p>
        </w:tc>
        <w:tc>
          <w:tcPr>
            <w:tcW w:w="2540" w:type="dxa"/>
          </w:tcPr>
          <w:p>
            <w:pPr>
              <w:pStyle w:val="CeldaAPA"/>
              <w:jc w:val="left"/>
            </w:pPr>
            <w:r>
              <w:rPr/>
              <w:t xml:space="preserve">Plano 01;</w:t>
            </w:r>
            <w:r>
              <w:rPr/>
              <w:t xml:space="preserve"> </w:t>
            </w:r>
            <w:r>
              <w:rPr/>
              <w:t xml:space="preserve">Alcón Aranda (2009, p. 125)</w:t>
            </w:r>
            <w:r>
              <w:rPr/>
              <w:t xml:space="preserve">; ACI 318-25, 26.11.1.2</w:t>
            </w:r>
          </w:p>
        </w:tc>
        <w:tc>
          <w:tcPr>
            <w:tcW w:w="1572" w:type="dxa"/>
          </w:tcPr>
          <w:p>
            <w:pPr>
              <w:pStyle w:val="CeldaAPA"/>
              <w:jc w:val="left"/>
            </w:pPr>
            <w:r>
              <w:rPr/>
              <w:t xml:space="preserve">Cada paño</w:t>
            </w:r>
          </w:p>
        </w:tc>
        <w:tc>
          <w:tcPr>
            <w:tcW w:w="814" w:type="dxa"/>
          </w:tcPr>
          <w:p>
            <w:pPr>
              <w:pStyle w:val="CeldaAPA"/>
              <w:jc w:val="center"/>
            </w:pPr>
            <w:r>
              <w:rPr/>
              <w:t xml:space="preserve">W</w:t>
            </w:r>
          </w:p>
        </w:tc>
        <w:tc>
          <w:tcPr>
            <w:tcW w:w="1550" w:type="dxa"/>
          </w:tcPr>
          <w:p>
            <w:pPr>
              <w:pStyle w:val="CeldaAPA"/>
              <w:jc w:val="left"/>
            </w:pPr>
            <w:r>
              <w:rPr/>
              <w:t xml:space="preserve">C.2-A; CA y RC</w:t>
            </w:r>
          </w:p>
        </w:tc>
      </w:tr>
      <w:tr>
        <w:tc>
          <w:tcPr>
            <w:tcW w:w="666" w:type="dxa"/>
          </w:tcPr>
          <w:p>
            <w:pPr>
              <w:pStyle w:val="CeldaAPA"/>
              <w:jc w:val="left"/>
            </w:pPr>
            <w:r>
              <w:rPr/>
              <w:t xml:space="preserve">3</w:t>
            </w:r>
          </w:p>
        </w:tc>
        <w:tc>
          <w:tcPr>
            <w:tcW w:w="2076" w:type="dxa"/>
          </w:tcPr>
          <w:p>
            <w:pPr>
              <w:pStyle w:val="CeldaAPA"/>
              <w:jc w:val="left"/>
            </w:pPr>
            <w:r>
              <w:rPr>
                <w:bCs/>
                <w:b/>
              </w:rPr>
              <w:t xml:space="preserve">Apuntalamiento</w:t>
            </w:r>
          </w:p>
        </w:tc>
        <w:tc>
          <w:tcPr>
            <w:tcW w:w="1854" w:type="dxa"/>
          </w:tcPr>
          <w:p>
            <w:pPr>
              <w:pStyle w:val="CeldaAPA"/>
              <w:jc w:val="left"/>
            </w:pPr>
            <w:r>
              <w:rPr/>
              <w:t xml:space="preserve">Soleras transversales a las viguetas: una para luces de 2 a 4 m, dos para 4,5 a 6 m y tres para 6,5 a 7,5 m; puntales de diámetro</w:t>
            </w:r>
            <w:r>
              <w:rPr/>
              <w:t xml:space="preserve"> </w:t>
            </w:r>
            <m:oMath>
              <m:r>
                <m:rPr>
                  <m:sty m:val="p"/>
                </m:rPr>
                <m:t>≥</m:t>
              </m:r>
              <m:r>
                <m:t>4</m:t>
              </m:r>
              <m:r>
                <m:rPr>
                  <m:sty m:val="p"/>
                </m:rPr>
                <m:t>″</m:t>
              </m:r>
            </m:oMath>
            <w:r>
              <w:rPr/>
              <w:t xml:space="preserve"> </w:t>
            </w:r>
            <w:r>
              <w:rPr/>
              <w:t xml:space="preserve">cada 0,80 a 1,00 m, sobre tabla o cuña y arriostrados en cruz; contraflecha según el fabricante</w:t>
            </w:r>
          </w:p>
        </w:tc>
        <w:tc>
          <w:tcPr>
            <w:tcW w:w="2540" w:type="dxa"/>
          </w:tcPr>
          <w:p>
            <w:pPr>
              <w:pStyle w:val="CeldaAPA"/>
              <w:jc w:val="left"/>
            </w:pPr>
            <w:r>
              <w:rPr/>
              <w:t xml:space="preserve">Alcón Aranda (2009, p. 129)</w:t>
            </w:r>
            <w:r>
              <w:rPr/>
              <w:t xml:space="preserve">; instrucciones del fabricante</w:t>
            </w:r>
          </w:p>
        </w:tc>
        <w:tc>
          <w:tcPr>
            <w:tcW w:w="1572" w:type="dxa"/>
          </w:tcPr>
          <w:p>
            <w:pPr>
              <w:pStyle w:val="CeldaAPA"/>
              <w:jc w:val="left"/>
            </w:pPr>
            <w:r>
              <w:rPr/>
              <w:t xml:space="preserve">Cada paño</w:t>
            </w:r>
          </w:p>
        </w:tc>
        <w:tc>
          <w:tcPr>
            <w:tcW w:w="814" w:type="dxa"/>
          </w:tcPr>
          <w:p>
            <w:pPr>
              <w:pStyle w:val="CeldaAPA"/>
              <w:jc w:val="center"/>
            </w:pPr>
            <w:r>
              <w:rPr>
                <w:bCs/>
                <w:b/>
              </w:rPr>
              <w:t xml:space="preserve">H</w:t>
            </w:r>
          </w:p>
        </w:tc>
        <w:tc>
          <w:tcPr>
            <w:tcW w:w="1550" w:type="dxa"/>
          </w:tcPr>
          <w:p>
            <w:pPr>
              <w:pStyle w:val="CeldaAPA"/>
              <w:jc w:val="left"/>
            </w:pPr>
            <w:r>
              <w:rPr/>
              <w:t xml:space="preserve">C.2-A; RC y SU</w:t>
            </w:r>
          </w:p>
        </w:tc>
      </w:tr>
      <w:tr>
        <w:tc>
          <w:tcPr>
            <w:tcW w:w="666" w:type="dxa"/>
          </w:tcPr>
          <w:p>
            <w:pPr>
              <w:pStyle w:val="CeldaAPA"/>
              <w:jc w:val="left"/>
            </w:pPr>
            <w:r>
              <w:rPr/>
              <w:t xml:space="preserve">4</w:t>
            </w:r>
          </w:p>
        </w:tc>
        <w:tc>
          <w:tcPr>
            <w:tcW w:w="2076" w:type="dxa"/>
          </w:tcPr>
          <w:p>
            <w:pPr>
              <w:pStyle w:val="CeldaAPA"/>
              <w:jc w:val="left"/>
            </w:pPr>
            <w:r>
              <w:rPr/>
              <w:t xml:space="preserve">Colocación de viguetas</w:t>
            </w:r>
          </w:p>
        </w:tc>
        <w:tc>
          <w:tcPr>
            <w:tcW w:w="1854" w:type="dxa"/>
          </w:tcPr>
          <w:p>
            <w:pPr>
              <w:pStyle w:val="CeldaAPA"/>
              <w:jc w:val="left"/>
            </w:pPr>
            <w:r>
              <w:rPr/>
              <w:t xml:space="preserve">Tipo, número y longitud por paño según el Plano 03; separación entre ejes de 50 cm; apoyo</w:t>
            </w:r>
            <w:r>
              <w:rPr/>
              <w:t xml:space="preserve"> </w:t>
            </w:r>
            <m:oMath>
              <m:r>
                <m:rPr>
                  <m:sty m:val="p"/>
                </m:rPr>
                <m:t>≥</m:t>
              </m:r>
              <m:r>
                <m:t>5</m:t>
              </m:r>
            </m:oMath>
            <w:r>
              <w:rPr/>
              <w:t xml:space="preserve"> cm si se vacía con la viga y</w:t>
            </w:r>
            <w:r>
              <w:rPr/>
              <w:t xml:space="preserve"> </w:t>
            </w:r>
            <m:oMath>
              <m:r>
                <m:rPr>
                  <m:sty m:val="p"/>
                </m:rPr>
                <m:t>≥</m:t>
              </m:r>
              <m:r>
                <m:t>10</m:t>
              </m:r>
            </m:oMath>
            <w:r>
              <w:rPr/>
              <w:t xml:space="preserve"> cm sobre una viga ya vaciada; sin fisuras ni golpes</w:t>
            </w:r>
          </w:p>
        </w:tc>
        <w:tc>
          <w:tcPr>
            <w:tcW w:w="2540" w:type="dxa"/>
          </w:tcPr>
          <w:p>
            <w:pPr>
              <w:pStyle w:val="CeldaAPA"/>
              <w:jc w:val="left"/>
            </w:pPr>
            <w:r>
              <w:rPr/>
              <w:t xml:space="preserve">Plano 03;</w:t>
            </w:r>
            <w:r>
              <w:rPr/>
              <w:t xml:space="preserve"> </w:t>
            </w:r>
            <w:r>
              <w:rPr/>
              <w:t xml:space="preserve">PRETENSA (2025)</w:t>
            </w:r>
            <w:r>
              <w:rPr/>
              <w:t xml:space="preserve">;</w:t>
            </w:r>
            <w:r>
              <w:rPr/>
              <w:t xml:space="preserve"> </w:t>
            </w:r>
            <w:r>
              <w:rPr/>
              <w:t xml:space="preserve">Alcón Aranda (2009, pp. 125–126)</w:t>
            </w:r>
          </w:p>
        </w:tc>
        <w:tc>
          <w:tcPr>
            <w:tcW w:w="1572" w:type="dxa"/>
          </w:tcPr>
          <w:p>
            <w:pPr>
              <w:pStyle w:val="CeldaAPA"/>
              <w:jc w:val="left"/>
            </w:pPr>
            <w:r>
              <w:rPr/>
              <w:t xml:space="preserve">Cada paño</w:t>
            </w:r>
          </w:p>
        </w:tc>
        <w:tc>
          <w:tcPr>
            <w:tcW w:w="814" w:type="dxa"/>
          </w:tcPr>
          <w:p>
            <w:pPr>
              <w:pStyle w:val="CeldaAPA"/>
              <w:jc w:val="center"/>
            </w:pPr>
            <w:r>
              <w:rPr/>
              <w:t xml:space="preserve">W</w:t>
            </w:r>
          </w:p>
        </w:tc>
        <w:tc>
          <w:tcPr>
            <w:tcW w:w="1550" w:type="dxa"/>
          </w:tcPr>
          <w:p>
            <w:pPr>
              <w:pStyle w:val="CeldaAPA"/>
              <w:jc w:val="left"/>
            </w:pPr>
            <w:r>
              <w:rPr/>
              <w:t xml:space="preserve">C.2-B; CA</w:t>
            </w:r>
          </w:p>
        </w:tc>
      </w:tr>
      <w:tr>
        <w:tc>
          <w:tcPr>
            <w:tcW w:w="666" w:type="dxa"/>
          </w:tcPr>
          <w:p>
            <w:pPr>
              <w:pStyle w:val="CeldaAPA"/>
              <w:jc w:val="left"/>
            </w:pPr>
            <w:r>
              <w:rPr/>
              <w:t xml:space="preserve">5</w:t>
            </w:r>
          </w:p>
        </w:tc>
        <w:tc>
          <w:tcPr>
            <w:tcW w:w="2076" w:type="dxa"/>
          </w:tcPr>
          <w:p>
            <w:pPr>
              <w:pStyle w:val="CeldaAPA"/>
              <w:jc w:val="left"/>
            </w:pPr>
            <w:r>
              <w:rPr/>
              <w:t xml:space="preserve">Colocación del EPS</w:t>
            </w:r>
          </w:p>
        </w:tc>
        <w:tc>
          <w:tcPr>
            <w:tcW w:w="1854" w:type="dxa"/>
          </w:tcPr>
          <w:p>
            <w:pPr>
              <w:pStyle w:val="CeldaAPA"/>
              <w:jc w:val="left"/>
            </w:pPr>
            <w:r>
              <w:rPr/>
              <w:t xml:space="preserve">Piezas enteras, ajustadas entre viguetas, sin huecos ni roturas; cortes solo en bordes y nervios; tránsito sobre tablones y no sobre las piezas</w:t>
            </w:r>
          </w:p>
        </w:tc>
        <w:tc>
          <w:tcPr>
            <w:tcW w:w="2540" w:type="dxa"/>
          </w:tcPr>
          <w:p>
            <w:pPr>
              <w:pStyle w:val="CeldaAPA"/>
              <w:jc w:val="left"/>
            </w:pPr>
            <w:r>
              <w:rPr/>
              <w:t xml:space="preserve">Concretec (2016)</w:t>
            </w:r>
            <w:r>
              <w:rPr/>
              <w:t xml:space="preserve">;</w:t>
            </w:r>
            <w:r>
              <w:rPr/>
              <w:t xml:space="preserve"> </w:t>
            </w:r>
            <w:r>
              <w:rPr/>
              <w:t xml:space="preserve">Alcón Aranda (2009, p. 128)</w:t>
            </w:r>
          </w:p>
        </w:tc>
        <w:tc>
          <w:tcPr>
            <w:tcW w:w="1572" w:type="dxa"/>
          </w:tcPr>
          <w:p>
            <w:pPr>
              <w:pStyle w:val="CeldaAPA"/>
              <w:jc w:val="left"/>
            </w:pPr>
            <w:r>
              <w:rPr/>
              <w:t xml:space="preserve">Cada paño</w:t>
            </w:r>
          </w:p>
        </w:tc>
        <w:tc>
          <w:tcPr>
            <w:tcW w:w="814" w:type="dxa"/>
          </w:tcPr>
          <w:p>
            <w:pPr>
              <w:pStyle w:val="CeldaAPA"/>
              <w:jc w:val="center"/>
            </w:pPr>
            <w:r>
              <w:rPr/>
              <w:t xml:space="preserve">W</w:t>
            </w:r>
          </w:p>
        </w:tc>
        <w:tc>
          <w:tcPr>
            <w:tcW w:w="1550" w:type="dxa"/>
          </w:tcPr>
          <w:p>
            <w:pPr>
              <w:pStyle w:val="CeldaAPA"/>
              <w:jc w:val="left"/>
            </w:pPr>
            <w:r>
              <w:rPr/>
              <w:t xml:space="preserve">C.2-B; CA</w:t>
            </w:r>
          </w:p>
        </w:tc>
      </w:tr>
      <w:tr>
        <w:tc>
          <w:tcPr>
            <w:tcW w:w="666" w:type="dxa"/>
          </w:tcPr>
          <w:p>
            <w:pPr>
              <w:pStyle w:val="CeldaAPA"/>
              <w:jc w:val="left"/>
            </w:pPr>
            <w:r>
              <w:rPr/>
              <w:t xml:space="preserve">6</w:t>
            </w:r>
          </w:p>
        </w:tc>
        <w:tc>
          <w:tcPr>
            <w:tcW w:w="2076" w:type="dxa"/>
          </w:tcPr>
          <w:p>
            <w:pPr>
              <w:pStyle w:val="CeldaAPA"/>
              <w:jc w:val="left"/>
            </w:pPr>
            <w:r>
              <w:rPr>
                <w:bCs/>
                <w:b/>
              </w:rPr>
              <w:t xml:space="preserve">Nervios, armadura de distribución, negativos y continuidad</w:t>
            </w:r>
          </w:p>
        </w:tc>
        <w:tc>
          <w:tcPr>
            <w:tcW w:w="1854" w:type="dxa"/>
          </w:tcPr>
          <w:p>
            <w:pPr>
              <w:pStyle w:val="CeldaAPA"/>
              <w:jc w:val="left"/>
            </w:pPr>
            <w:r>
              <w:rPr/>
              <w:t xml:space="preserve">Nervios transversales y armaduras según el Plano 02 (</w:t>
            </w:r>
            <m:oMath>
              <m:r>
                <m:t>ϕ</m:t>
              </m:r>
            </m:oMath>
            <w:r>
              <w:rPr/>
              <w:t xml:space="preserve">6 c/20 cm en ambas direcciones; armadura de nervios y de momentos negativos según planos); aceros de continuidad exigidos por el fabricante; parrilla separada del EPS con separadores que aseguren el recubrimiento; empalmes y amarres completos; barras limpias</w:t>
            </w:r>
          </w:p>
        </w:tc>
        <w:tc>
          <w:tcPr>
            <w:tcW w:w="2540" w:type="dxa"/>
          </w:tcPr>
          <w:p>
            <w:pPr>
              <w:pStyle w:val="CeldaAPA"/>
              <w:jc w:val="left"/>
            </w:pPr>
            <w:r>
              <w:rPr/>
              <w:t xml:space="preserve">Plano 02;</w:t>
            </w:r>
            <w:r>
              <w:rPr/>
              <w:t xml:space="preserve"> </w:t>
            </w:r>
            <w:r>
              <w:rPr/>
              <w:t xml:space="preserve">PRETENSA (2025)</w:t>
            </w:r>
            <w:r>
              <w:rPr/>
              <w:t xml:space="preserve">; ACI 318-25, 26.13.3.3</w:t>
            </w:r>
          </w:p>
        </w:tc>
        <w:tc>
          <w:tcPr>
            <w:tcW w:w="1572" w:type="dxa"/>
          </w:tcPr>
          <w:p>
            <w:pPr>
              <w:pStyle w:val="CeldaAPA"/>
              <w:jc w:val="left"/>
            </w:pPr>
            <w:r>
              <w:rPr/>
              <w:t xml:space="preserve">Cada paño</w:t>
            </w:r>
          </w:p>
        </w:tc>
        <w:tc>
          <w:tcPr>
            <w:tcW w:w="814" w:type="dxa"/>
          </w:tcPr>
          <w:p>
            <w:pPr>
              <w:pStyle w:val="CeldaAPA"/>
              <w:jc w:val="center"/>
            </w:pPr>
            <w:r>
              <w:rPr>
                <w:bCs/>
                <w:b/>
              </w:rPr>
              <w:t xml:space="preserve">H</w:t>
            </w:r>
          </w:p>
        </w:tc>
        <w:tc>
          <w:tcPr>
            <w:tcW w:w="1550" w:type="dxa"/>
          </w:tcPr>
          <w:p>
            <w:pPr>
              <w:pStyle w:val="CeldaAPA"/>
              <w:jc w:val="left"/>
            </w:pPr>
            <w:r>
              <w:rPr/>
              <w:t xml:space="preserve">C.2-C; RC y SU</w:t>
            </w:r>
          </w:p>
        </w:tc>
      </w:tr>
      <w:tr>
        <w:tc>
          <w:tcPr>
            <w:tcW w:w="666" w:type="dxa"/>
          </w:tcPr>
          <w:p>
            <w:pPr>
              <w:pStyle w:val="CeldaAPA"/>
              <w:jc w:val="left"/>
            </w:pPr>
            <w:r>
              <w:rPr/>
              <w:t xml:space="preserve">7</w:t>
            </w:r>
          </w:p>
        </w:tc>
        <w:tc>
          <w:tcPr>
            <w:tcW w:w="2076" w:type="dxa"/>
          </w:tcPr>
          <w:p>
            <w:pPr>
              <w:pStyle w:val="CeldaAPA"/>
              <w:jc w:val="left"/>
            </w:pPr>
            <w:r>
              <w:rPr/>
              <w:t xml:space="preserve">Instalaciones embebidas</w:t>
            </w:r>
          </w:p>
        </w:tc>
        <w:tc>
          <w:tcPr>
            <w:tcW w:w="1854" w:type="dxa"/>
          </w:tcPr>
          <w:p>
            <w:pPr>
              <w:pStyle w:val="CeldaAPA"/>
              <w:jc w:val="left"/>
            </w:pPr>
            <w:r>
              <w:rPr/>
              <w:t xml:space="preserve">Ductos y cajas según los planos de instalaciones; sin cortar viguetas ni nervios; cajas y pasos obturados</w:t>
            </w:r>
          </w:p>
        </w:tc>
        <w:tc>
          <w:tcPr>
            <w:tcW w:w="2540" w:type="dxa"/>
          </w:tcPr>
          <w:p>
            <w:pPr>
              <w:pStyle w:val="CeldaAPA"/>
              <w:jc w:val="left"/>
            </w:pPr>
            <w:r>
              <w:rPr/>
              <w:t xml:space="preserve">Planos de instalaciones; ACI 318-25, 26.13.3.3</w:t>
            </w:r>
          </w:p>
        </w:tc>
        <w:tc>
          <w:tcPr>
            <w:tcW w:w="1572" w:type="dxa"/>
          </w:tcPr>
          <w:p>
            <w:pPr>
              <w:pStyle w:val="CeldaAPA"/>
              <w:jc w:val="left"/>
            </w:pPr>
            <w:r>
              <w:rPr/>
              <w:t xml:space="preserve">Cada paño</w:t>
            </w:r>
          </w:p>
        </w:tc>
        <w:tc>
          <w:tcPr>
            <w:tcW w:w="814" w:type="dxa"/>
          </w:tcPr>
          <w:p>
            <w:pPr>
              <w:pStyle w:val="CeldaAPA"/>
              <w:jc w:val="center"/>
            </w:pPr>
            <w:r>
              <w:rPr/>
              <w:t xml:space="preserve">W</w:t>
            </w:r>
          </w:p>
        </w:tc>
        <w:tc>
          <w:tcPr>
            <w:tcW w:w="1550" w:type="dxa"/>
          </w:tcPr>
          <w:p>
            <w:pPr>
              <w:pStyle w:val="CeldaAPA"/>
              <w:jc w:val="left"/>
            </w:pPr>
            <w:r>
              <w:rPr/>
              <w:t xml:space="preserve">C.2-D; RC</w:t>
            </w:r>
          </w:p>
        </w:tc>
      </w:tr>
      <w:tr>
        <w:tc>
          <w:tcPr>
            <w:tcW w:w="666" w:type="dxa"/>
          </w:tcPr>
          <w:p>
            <w:pPr>
              <w:pStyle w:val="CeldaAPA"/>
              <w:jc w:val="left"/>
            </w:pPr>
            <w:r>
              <w:rPr/>
              <w:t xml:space="preserve">8</w:t>
            </w:r>
          </w:p>
        </w:tc>
        <w:tc>
          <w:tcPr>
            <w:tcW w:w="2076" w:type="dxa"/>
          </w:tcPr>
          <w:p>
            <w:pPr>
              <w:pStyle w:val="CeldaAPA"/>
              <w:jc w:val="left"/>
            </w:pPr>
            <w:r>
              <w:rPr>
                <w:bCs/>
                <w:b/>
              </w:rPr>
              <w:t xml:space="preserve">Liberación para el vaciado</w:t>
            </w:r>
          </w:p>
        </w:tc>
        <w:tc>
          <w:tcPr>
            <w:tcW w:w="1854" w:type="dxa"/>
          </w:tcPr>
          <w:p>
            <w:pPr>
              <w:pStyle w:val="CeldaAPA"/>
              <w:jc w:val="left"/>
            </w:pPr>
            <w:r>
              <w:rPr/>
              <w:t xml:space="preserve">Puntos 2 a 7 conformes; superficie limpia, sin escombros, hielo ni agua estancada, y humedecida; dosificación aprobada; existencia de materiales para el vaciado completo; equipos (incluido vibrador de reserva) y personal de muestreo presentes; pronóstico sin lluvia; plan de tiempo frío activo si se prevé una temperatura menor de 4,4 </w:t>
            </w:r>
            <m:oMath>
              <m:sSup>
                <m:e>
                  <m:r>
                    <m:t>​</m:t>
                  </m:r>
                </m:e>
                <m:sup>
                  <m:r>
                    <m:rPr>
                      <m:sty m:val="p"/>
                    </m:rPr>
                    <m:t>∘</m:t>
                  </m:r>
                </m:sup>
              </m:sSup>
            </m:oMath>
            <w:r>
              <w:rPr/>
              <w:t xml:space="preserve">C</w:t>
            </w:r>
          </w:p>
        </w:tc>
        <w:tc>
          <w:tcPr>
            <w:tcW w:w="2540" w:type="dxa"/>
          </w:tcPr>
          <w:p>
            <w:pPr>
              <w:pStyle w:val="CeldaAPA"/>
              <w:jc w:val="left"/>
            </w:pPr>
            <w:r>
              <w:rPr/>
              <w:t xml:space="preserve">ACI 318-25, 26.4.4.1, 26.5.2.2, 26.5.4.2 y 26.13.2.2; ISO 9001, 8.6</w:t>
            </w:r>
          </w:p>
        </w:tc>
        <w:tc>
          <w:tcPr>
            <w:tcW w:w="1572" w:type="dxa"/>
          </w:tcPr>
          <w:p>
            <w:pPr>
              <w:pStyle w:val="CeldaAPA"/>
              <w:jc w:val="left"/>
            </w:pPr>
            <w:r>
              <w:rPr/>
              <w:t xml:space="preserve">Cada vaciado</w:t>
            </w:r>
          </w:p>
        </w:tc>
        <w:tc>
          <w:tcPr>
            <w:tcW w:w="814" w:type="dxa"/>
          </w:tcPr>
          <w:p>
            <w:pPr>
              <w:pStyle w:val="CeldaAPA"/>
              <w:jc w:val="center"/>
            </w:pPr>
            <w:r>
              <w:rPr>
                <w:bCs/>
                <w:b/>
              </w:rPr>
              <w:t xml:space="preserve">H</w:t>
            </w:r>
          </w:p>
        </w:tc>
        <w:tc>
          <w:tcPr>
            <w:tcW w:w="1550" w:type="dxa"/>
          </w:tcPr>
          <w:p>
            <w:pPr>
              <w:pStyle w:val="CeldaAPA"/>
              <w:jc w:val="left"/>
            </w:pPr>
            <w:r>
              <w:rPr/>
              <w:t xml:space="preserve">C.2-E; SU y Libro de Órdenes</w:t>
            </w:r>
          </w:p>
        </w:tc>
      </w:tr>
      <w:tr>
        <w:tc>
          <w:tcPr>
            <w:tcW w:w="666" w:type="dxa"/>
          </w:tcPr>
          <w:p>
            <w:pPr>
              <w:pStyle w:val="CeldaAPA"/>
              <w:jc w:val="left"/>
            </w:pPr>
            <w:r>
              <w:rPr/>
              <w:t xml:space="preserve">9</w:t>
            </w:r>
          </w:p>
        </w:tc>
        <w:tc>
          <w:tcPr>
            <w:tcW w:w="2076" w:type="dxa"/>
          </w:tcPr>
          <w:p>
            <w:pPr>
              <w:pStyle w:val="CeldaAPA"/>
              <w:jc w:val="left"/>
            </w:pPr>
            <w:r>
              <w:rPr/>
              <w:t xml:space="preserve">Hormigón fresco y vaciado</w:t>
            </w:r>
          </w:p>
        </w:tc>
        <w:tc>
          <w:tcPr>
            <w:tcW w:w="1854" w:type="dxa"/>
          </w:tcPr>
          <w:p>
            <w:pPr>
              <w:pStyle w:val="CeldaAPA"/>
              <w:jc w:val="left"/>
            </w:pPr>
            <w:r>
              <w:rPr/>
              <w:t xml:space="preserve">Asentamiento dentro del rango de la dosificación aprobada; temperatura del hormigón registrada; agua de amasado a más de 5 </w:t>
            </w:r>
            <m:oMath>
              <m:sSup>
                <m:e>
                  <m:r>
                    <m:t>​</m:t>
                  </m:r>
                </m:e>
                <m:sup>
                  <m:r>
                    <m:rPr>
                      <m:sty m:val="p"/>
                    </m:rPr>
                    <m:t>∘</m:t>
                  </m:r>
                </m:sup>
              </m:sSup>
            </m:oMath>
            <w:r>
              <w:rPr/>
              <w:t xml:space="preserve">C; vaciado por franjas, continuo hasta completar el paño o la junta prevista, sin juntas frías; vibrado; tránsito de carretillas y personal sobre pasarelas, sin pisar la parrilla ni el EPS</w:t>
            </w:r>
          </w:p>
        </w:tc>
        <w:tc>
          <w:tcPr>
            <w:tcW w:w="2540" w:type="dxa"/>
          </w:tcPr>
          <w:p>
            <w:pPr>
              <w:pStyle w:val="CeldaAPA"/>
              <w:jc w:val="left"/>
            </w:pPr>
            <w:r>
              <w:rPr/>
              <w:t xml:space="preserve">ASTM C143; ET</w:t>
            </w:r>
            <w:r>
              <w:rPr/>
              <w:t xml:space="preserve"> </w:t>
            </w:r>
            <w:r>
              <w:rPr/>
              <w:t xml:space="preserve">(UATF, s. f.-a, pp. 2–3)</w:t>
            </w:r>
            <w:r>
              <w:rPr/>
              <w:t xml:space="preserve">; ACI 318-25, 26.5.2.2</w:t>
            </w:r>
          </w:p>
        </w:tc>
        <w:tc>
          <w:tcPr>
            <w:tcW w:w="1572" w:type="dxa"/>
          </w:tcPr>
          <w:p>
            <w:pPr>
              <w:pStyle w:val="CeldaAPA"/>
              <w:jc w:val="left"/>
            </w:pPr>
            <w:r>
              <w:rPr/>
              <w:t xml:space="preserve">Cada pastón muestreado; continuo</w:t>
            </w:r>
          </w:p>
        </w:tc>
        <w:tc>
          <w:tcPr>
            <w:tcW w:w="814" w:type="dxa"/>
          </w:tcPr>
          <w:p>
            <w:pPr>
              <w:pStyle w:val="CeldaAPA"/>
              <w:jc w:val="center"/>
            </w:pPr>
            <w:r>
              <w:rPr/>
              <w:t xml:space="preserve">W</w:t>
            </w:r>
          </w:p>
        </w:tc>
        <w:tc>
          <w:tcPr>
            <w:tcW w:w="1550" w:type="dxa"/>
          </w:tcPr>
          <w:p>
            <w:pPr>
              <w:pStyle w:val="CeldaAPA"/>
              <w:jc w:val="left"/>
            </w:pPr>
            <w:r>
              <w:rPr/>
              <w:t xml:space="preserve">C.2-E; RC</w:t>
            </w:r>
          </w:p>
        </w:tc>
      </w:tr>
      <w:tr>
        <w:tc>
          <w:tcPr>
            <w:tcW w:w="666" w:type="dxa"/>
          </w:tcPr>
          <w:p>
            <w:pPr>
              <w:pStyle w:val="CeldaAPA"/>
              <w:jc w:val="left"/>
            </w:pPr>
            <w:r>
              <w:rPr/>
              <w:t xml:space="preserve">10</w:t>
            </w:r>
          </w:p>
        </w:tc>
        <w:tc>
          <w:tcPr>
            <w:tcW w:w="2076" w:type="dxa"/>
          </w:tcPr>
          <w:p>
            <w:pPr>
              <w:pStyle w:val="CeldaAPA"/>
              <w:jc w:val="left"/>
            </w:pPr>
            <w:r>
              <w:rPr/>
              <w:t xml:space="preserve">Muestreo y probetas</w:t>
            </w:r>
          </w:p>
        </w:tc>
        <w:tc>
          <w:tcPr>
            <w:tcW w:w="1854" w:type="dxa"/>
          </w:tcPr>
          <w:p>
            <w:pPr>
              <w:pStyle w:val="CeldaAPA"/>
              <w:jc w:val="left"/>
            </w:pPr>
            <w:r>
              <w:rPr/>
              <w:t xml:space="preserve">Muestras de pastones elegidos al azar en el número de la Tabla 40; cada ensayo con dos cilindros de 15 </w:t>
            </w:r>
            <m:oMath>
              <m:r>
                <m:rPr>
                  <m:sty m:val="p"/>
                </m:rPr>
                <m:t>×</m:t>
              </m:r>
            </m:oMath>
            <w:r>
              <w:rPr/>
              <w:t xml:space="preserve"> 30 cm a 28 días; probetas codificadas por paño y vaciado; fotografía fechada de la toma de muestras</w:t>
            </w:r>
          </w:p>
        </w:tc>
        <w:tc>
          <w:tcPr>
            <w:tcW w:w="2540" w:type="dxa"/>
          </w:tcPr>
          <w:p>
            <w:pPr>
              <w:pStyle w:val="CeldaAPA"/>
              <w:jc w:val="left"/>
            </w:pPr>
            <w:r>
              <w:rPr/>
              <w:t xml:space="preserve">ACI 318-25, 26.12.1.1 y 26.12.2.1; ASTM C172 y C31</w:t>
            </w:r>
          </w:p>
        </w:tc>
        <w:tc>
          <w:tcPr>
            <w:tcW w:w="1572" w:type="dxa"/>
          </w:tcPr>
          <w:p>
            <w:pPr>
              <w:pStyle w:val="CeldaAPA"/>
              <w:jc w:val="left"/>
            </w:pPr>
            <w:r>
              <w:rPr/>
              <w:t xml:space="preserve">Cada vaciado</w:t>
            </w:r>
          </w:p>
        </w:tc>
        <w:tc>
          <w:tcPr>
            <w:tcW w:w="814" w:type="dxa"/>
          </w:tcPr>
          <w:p>
            <w:pPr>
              <w:pStyle w:val="CeldaAPA"/>
              <w:jc w:val="center"/>
            </w:pPr>
            <w:r>
              <w:rPr/>
              <w:t xml:space="preserve">W</w:t>
            </w:r>
          </w:p>
        </w:tc>
        <w:tc>
          <w:tcPr>
            <w:tcW w:w="1550" w:type="dxa"/>
          </w:tcPr>
          <w:p>
            <w:pPr>
              <w:pStyle w:val="CeldaAPA"/>
              <w:jc w:val="left"/>
            </w:pPr>
            <w:r>
              <w:rPr/>
              <w:t xml:space="preserve">Planilla de muestreo; LB</w:t>
            </w:r>
          </w:p>
        </w:tc>
      </w:tr>
      <w:tr>
        <w:tc>
          <w:tcPr>
            <w:tcW w:w="666" w:type="dxa"/>
          </w:tcPr>
          <w:p>
            <w:pPr>
              <w:pStyle w:val="CeldaAPA"/>
              <w:jc w:val="left"/>
            </w:pPr>
            <w:r>
              <w:rPr/>
              <w:t xml:space="preserve">11</w:t>
            </w:r>
          </w:p>
        </w:tc>
        <w:tc>
          <w:tcPr>
            <w:tcW w:w="2076" w:type="dxa"/>
          </w:tcPr>
          <w:p>
            <w:pPr>
              <w:pStyle w:val="CeldaAPA"/>
              <w:jc w:val="left"/>
            </w:pPr>
            <w:r>
              <w:rPr/>
              <w:t xml:space="preserve">Curado y protección</w:t>
            </w:r>
          </w:p>
        </w:tc>
        <w:tc>
          <w:tcPr>
            <w:tcW w:w="1854" w:type="dxa"/>
          </w:tcPr>
          <w:p>
            <w:pPr>
              <w:pStyle w:val="CeldaAPA"/>
              <w:jc w:val="left"/>
            </w:pPr>
            <w:r>
              <w:rPr/>
              <w:t xml:space="preserve">Hormigón húmedo al menos 7 días con temperatura</w:t>
            </w:r>
            <w:r>
              <w:rPr/>
              <w:t xml:space="preserve"> </w:t>
            </w:r>
            <m:oMath>
              <m:r>
                <m:rPr>
                  <m:sty m:val="p"/>
                </m:rPr>
                <m:t>≥</m:t>
              </m:r>
              <m:r>
                <m:t>10</m:t>
              </m:r>
            </m:oMath>
            <w:r>
              <w:rPr/>
              <w:t xml:space="preserve"> </w:t>
            </w:r>
            <m:oMath>
              <m:sSup>
                <m:e>
                  <m:r>
                    <m:t>​</m:t>
                  </m:r>
                </m:e>
                <m:sup>
                  <m:r>
                    <m:rPr>
                      <m:sty m:val="p"/>
                    </m:rPr>
                    <m:t>∘</m:t>
                  </m:r>
                </m:sup>
              </m:sSup>
            </m:oMath>
            <w:r>
              <w:rPr/>
              <w:t xml:space="preserve">C (o las alternativas del código); protección contra lluvia y helada; registro diario del curado y de las temperaturas, con fotografía fechada</w:t>
            </w:r>
          </w:p>
        </w:tc>
        <w:tc>
          <w:tcPr>
            <w:tcW w:w="2540" w:type="dxa"/>
          </w:tcPr>
          <w:p>
            <w:pPr>
              <w:pStyle w:val="CeldaAPA"/>
              <w:jc w:val="left"/>
            </w:pPr>
            <w:r>
              <w:rPr/>
              <w:t xml:space="preserve">ACI 318-25, 26.5.3.2 y 26.13.2.2</w:t>
            </w:r>
          </w:p>
        </w:tc>
        <w:tc>
          <w:tcPr>
            <w:tcW w:w="1572" w:type="dxa"/>
          </w:tcPr>
          <w:p>
            <w:pPr>
              <w:pStyle w:val="CeldaAPA"/>
              <w:jc w:val="left"/>
            </w:pPr>
            <w:r>
              <w:rPr/>
              <w:t xml:space="preserve">Diaria durante el curado</w:t>
            </w:r>
          </w:p>
        </w:tc>
        <w:tc>
          <w:tcPr>
            <w:tcW w:w="814" w:type="dxa"/>
          </w:tcPr>
          <w:p>
            <w:pPr>
              <w:pStyle w:val="CeldaAPA"/>
              <w:jc w:val="center"/>
            </w:pPr>
            <w:r>
              <w:rPr/>
              <w:t xml:space="preserve">W</w:t>
            </w:r>
          </w:p>
        </w:tc>
        <w:tc>
          <w:tcPr>
            <w:tcW w:w="1550" w:type="dxa"/>
          </w:tcPr>
          <w:p>
            <w:pPr>
              <w:pStyle w:val="CeldaAPA"/>
              <w:jc w:val="left"/>
            </w:pPr>
            <w:r>
              <w:rPr/>
              <w:t xml:space="preserve">C.2-F; CA y RC</w:t>
            </w:r>
          </w:p>
        </w:tc>
      </w:tr>
      <w:tr>
        <w:tc>
          <w:tcPr>
            <w:tcW w:w="666" w:type="dxa"/>
          </w:tcPr>
          <w:p>
            <w:pPr>
              <w:pStyle w:val="CeldaAPA"/>
              <w:jc w:val="left"/>
            </w:pPr>
            <w:r>
              <w:rPr/>
              <w:t xml:space="preserve">12</w:t>
            </w:r>
          </w:p>
        </w:tc>
        <w:tc>
          <w:tcPr>
            <w:tcW w:w="2076" w:type="dxa"/>
          </w:tcPr>
          <w:p>
            <w:pPr>
              <w:pStyle w:val="CeldaAPA"/>
              <w:jc w:val="left"/>
            </w:pPr>
            <w:r>
              <w:rPr/>
              <w:t xml:space="preserve">Resistencia a compresión</w:t>
            </w:r>
          </w:p>
        </w:tc>
        <w:tc>
          <w:tcPr>
            <w:tcW w:w="1854" w:type="dxa"/>
          </w:tcPr>
          <w:p>
            <w:pPr>
              <w:pStyle w:val="CeldaAPA"/>
              <w:jc w:val="left"/>
            </w:pPr>
            <w:r>
              <w:rPr/>
              <w:t xml:space="preserve">Todo promedio de tres ensayos consecutivos</w:t>
            </w:r>
            <w:r>
              <w:rPr/>
              <w:t xml:space="preserve"> </w:t>
            </w:r>
            <m:oMath>
              <m:r>
                <m:rPr>
                  <m:sty m:val="p"/>
                </m:rPr>
                <m:t>≥</m:t>
              </m:r>
              <m:r>
                <m:t>f</m:t>
              </m:r>
              <m:sSub>
                <m:e>
                  <m:r>
                    <m:rPr>
                      <m:sty m:val="p"/>
                    </m:rPr>
                    <m:t>′</m:t>
                  </m:r>
                </m:e>
                <m:sub>
                  <m:r>
                    <m:t>c</m:t>
                  </m:r>
                </m:sub>
              </m:sSub>
            </m:oMath>
            <w:r>
              <w:rPr/>
              <w:t xml:space="preserve">; ningún ensayo menor que</w:t>
            </w:r>
            <w:r>
              <w:rPr/>
              <w:t xml:space="preserve"> </w:t>
            </w:r>
            <m:oMath>
              <m:r>
                <m:t>f</m:t>
              </m:r>
              <m:sSub>
                <m:e>
                  <m:r>
                    <m:rPr>
                      <m:sty m:val="p"/>
                    </m:rPr>
                    <m:t>′</m:t>
                  </m:r>
                </m:e>
                <m:sub>
                  <m:r>
                    <m:t>c</m:t>
                  </m:r>
                </m:sub>
              </m:sSub>
              <m:r>
                <m:rPr>
                  <m:sty m:val="p"/>
                </m:rPr>
                <m:t>−</m:t>
              </m:r>
              <m:r>
                <m:t>3</m:t>
              </m:r>
              <m:r>
                <m:rPr>
                  <m:sty m:val="p"/>
                </m:rPr>
                <m:t>,</m:t>
              </m:r>
              <m:r>
                <m:t>45</m:t>
              </m:r>
            </m:oMath>
            <w:r>
              <w:rPr/>
              <w:t xml:space="preserve"> MPa (</w:t>
            </w:r>
            <m:oMath>
              <m:r>
                <m:rPr>
                  <m:sty m:val="p"/>
                </m:rPr>
                <m:t>≈</m:t>
              </m:r>
            </m:oMath>
            <w:r>
              <w:rPr/>
              <w:t xml:space="preserve"> 215 kg/cm</w:t>
            </w:r>
            <w:r>
              <w:rPr>
                <w:vertAlign w:val="superscript"/>
              </w:rPr>
              <w:t xml:space="preserve">2</w:t>
            </w:r>
            <w:r>
              <w:rPr/>
              <w:t xml:space="preserve"> </w:t>
            </w:r>
            <w:r>
              <w:rPr/>
              <w:t xml:space="preserve">para el H25); ensayos a 28 días, sin resistencias «proyectadas»; el paño se certifica para pago con sus ensayos conformes</w:t>
            </w:r>
          </w:p>
        </w:tc>
        <w:tc>
          <w:tcPr>
            <w:tcW w:w="2540" w:type="dxa"/>
          </w:tcPr>
          <w:p>
            <w:pPr>
              <w:pStyle w:val="CeldaAPA"/>
              <w:jc w:val="left"/>
            </w:pPr>
            <w:r>
              <w:rPr/>
              <w:t xml:space="preserve">ACI 318-25, 26.12.3.1; ASTM C39</w:t>
            </w:r>
          </w:p>
        </w:tc>
        <w:tc>
          <w:tcPr>
            <w:tcW w:w="1572" w:type="dxa"/>
          </w:tcPr>
          <w:p>
            <w:pPr>
              <w:pStyle w:val="CeldaAPA"/>
              <w:jc w:val="left"/>
            </w:pPr>
            <w:r>
              <w:rPr/>
              <w:t xml:space="preserve">Cada ensayo</w:t>
            </w:r>
          </w:p>
        </w:tc>
        <w:tc>
          <w:tcPr>
            <w:tcW w:w="814" w:type="dxa"/>
          </w:tcPr>
          <w:p>
            <w:pPr>
              <w:pStyle w:val="CeldaAPA"/>
              <w:jc w:val="center"/>
            </w:pPr>
            <w:r>
              <w:rPr/>
              <w:t xml:space="preserve">R</w:t>
            </w:r>
          </w:p>
        </w:tc>
        <w:tc>
          <w:tcPr>
            <w:tcW w:w="1550" w:type="dxa"/>
          </w:tcPr>
          <w:p>
            <w:pPr>
              <w:pStyle w:val="CeldaAPA"/>
              <w:jc w:val="left"/>
            </w:pPr>
            <w:r>
              <w:rPr/>
              <w:t xml:space="preserve">Informe del laboratorio; SU</w:t>
            </w:r>
          </w:p>
        </w:tc>
      </w:tr>
      <w:tr>
        <w:tc>
          <w:tcPr>
            <w:tcW w:w="666" w:type="dxa"/>
          </w:tcPr>
          <w:p>
            <w:pPr>
              <w:pStyle w:val="CeldaAPA"/>
              <w:jc w:val="left"/>
            </w:pPr>
            <w:r>
              <w:rPr/>
              <w:t xml:space="preserve">13</w:t>
            </w:r>
          </w:p>
        </w:tc>
        <w:tc>
          <w:tcPr>
            <w:tcW w:w="2076" w:type="dxa"/>
          </w:tcPr>
          <w:p>
            <w:pPr>
              <w:pStyle w:val="CeldaAPA"/>
              <w:jc w:val="left"/>
            </w:pPr>
            <w:r>
              <w:rPr>
                <w:bCs/>
                <w:b/>
              </w:rPr>
              <w:t xml:space="preserve">Retiro de puntales</w:t>
            </w:r>
          </w:p>
        </w:tc>
        <w:tc>
          <w:tcPr>
            <w:tcW w:w="1854" w:type="dxa"/>
          </w:tcPr>
          <w:p>
            <w:pPr>
              <w:pStyle w:val="CeldaAPA"/>
              <w:jc w:val="left"/>
            </w:pPr>
            <w:r>
              <w:rPr/>
              <w:t xml:space="preserve">Plazo mínimo de 15 días para luces menores de 5 m y de 21 días para luces mayores; si la Supervisión lo exige, cilindros curados en obra con resistencia</w:t>
            </w:r>
            <w:r>
              <w:rPr/>
              <w:t xml:space="preserve"> </w:t>
            </w:r>
            <m:oMath>
              <m:r>
                <m:rPr>
                  <m:sty m:val="p"/>
                </m:rPr>
                <m:t>≥</m:t>
              </m:r>
            </m:oMath>
            <w:r>
              <w:rPr/>
              <w:t xml:space="preserve"> </w:t>
            </w:r>
            <w:r>
              <w:rPr/>
              <w:t xml:space="preserve">la requerida para la etapa; sin cargas de construcción excesivas</w:t>
            </w:r>
          </w:p>
        </w:tc>
        <w:tc>
          <w:tcPr>
            <w:tcW w:w="2540" w:type="dxa"/>
          </w:tcPr>
          <w:p>
            <w:pPr>
              <w:pStyle w:val="CeldaAPA"/>
              <w:jc w:val="left"/>
            </w:pPr>
            <w:r>
              <w:rPr/>
              <w:t xml:space="preserve">Alcón Aranda (2009, p. 136)</w:t>
            </w:r>
            <w:r>
              <w:rPr/>
              <w:t xml:space="preserve">; ACI 318-25, 26.11.2.1 y 26.12.4.1</w:t>
            </w:r>
          </w:p>
        </w:tc>
        <w:tc>
          <w:tcPr>
            <w:tcW w:w="1572" w:type="dxa"/>
          </w:tcPr>
          <w:p>
            <w:pPr>
              <w:pStyle w:val="CeldaAPA"/>
              <w:jc w:val="left"/>
            </w:pPr>
            <w:r>
              <w:rPr/>
              <w:t xml:space="preserve">Cada paño</w:t>
            </w:r>
          </w:p>
        </w:tc>
        <w:tc>
          <w:tcPr>
            <w:tcW w:w="814" w:type="dxa"/>
          </w:tcPr>
          <w:p>
            <w:pPr>
              <w:pStyle w:val="CeldaAPA"/>
              <w:jc w:val="center"/>
            </w:pPr>
            <w:r>
              <w:rPr>
                <w:bCs/>
                <w:b/>
              </w:rPr>
              <w:t xml:space="preserve">H</w:t>
            </w:r>
          </w:p>
        </w:tc>
        <w:tc>
          <w:tcPr>
            <w:tcW w:w="1550" w:type="dxa"/>
          </w:tcPr>
          <w:p>
            <w:pPr>
              <w:pStyle w:val="CeldaAPA"/>
              <w:jc w:val="left"/>
            </w:pPr>
            <w:r>
              <w:rPr/>
              <w:t xml:space="preserve">C.2-G; RC y SU</w:t>
            </w:r>
          </w:p>
        </w:tc>
      </w:tr>
      <w:tr>
        <w:tc>
          <w:tcPr>
            <w:tcW w:w="666" w:type="dxa"/>
            <w:tcBorders>
              <w:bottom w:val="single" w:sz="8" w:space="0" w:color="000000"/>
            </w:tcBorders>
          </w:tcPr>
          <w:p>
            <w:pPr>
              <w:pStyle w:val="CeldaAPA"/>
              <w:jc w:val="left"/>
            </w:pPr>
            <w:r>
              <w:rPr/>
              <w:t xml:space="preserve">14</w:t>
            </w:r>
          </w:p>
        </w:tc>
        <w:tc>
          <w:tcPr>
            <w:tcW w:w="2076" w:type="dxa"/>
            <w:tcBorders>
              <w:bottom w:val="single" w:sz="8" w:space="0" w:color="000000"/>
            </w:tcBorders>
          </w:tcPr>
          <w:p>
            <w:pPr>
              <w:pStyle w:val="CeldaAPA"/>
              <w:jc w:val="left"/>
            </w:pPr>
            <w:r>
              <w:rPr/>
              <w:t xml:space="preserve">Consumos y conciliación</w:t>
            </w:r>
          </w:p>
        </w:tc>
        <w:tc>
          <w:tcPr>
            <w:tcW w:w="1854" w:type="dxa"/>
            <w:tcBorders>
              <w:bottom w:val="single" w:sz="8" w:space="0" w:color="000000"/>
            </w:tcBorders>
          </w:tcPr>
          <w:p>
            <w:pPr>
              <w:pStyle w:val="CeldaAPA"/>
              <w:jc w:val="left"/>
            </w:pPr>
            <w:r>
              <w:rPr/>
              <w:t xml:space="preserve">Cantidades despachadas, devueltas, colocadas y medidas por paño;</w:t>
            </w:r>
            <w:r>
              <w:rPr/>
              <w:t xml:space="preserve"> </w:t>
            </w:r>
            <m:oMath>
              <m:r>
                <m:t>I</m:t>
              </m:r>
              <m:r>
                <m:t>D</m:t>
              </m:r>
              <m:r>
                <m:t>M</m:t>
              </m:r>
            </m:oMath>
            <w:r>
              <w:rPr/>
              <w:t xml:space="preserve"> </w:t>
            </w:r>
            <w:r>
              <w:rPr/>
              <w:t xml:space="preserve">dentro de la meta; diferencias dentro de la tolerancia</w:t>
            </w:r>
          </w:p>
        </w:tc>
        <w:tc>
          <w:tcPr>
            <w:tcW w:w="2540" w:type="dxa"/>
            <w:tcBorders>
              <w:bottom w:val="single" w:sz="8" w:space="0" w:color="000000"/>
            </w:tcBorders>
          </w:tcPr>
          <w:p>
            <w:pPr>
              <w:pStyle w:val="CeldaAPA"/>
              <w:jc w:val="left"/>
            </w:pPr>
            <w:r>
              <w:rPr/>
              <w:t xml:space="preserve">PCM-03 y PCM-04</w:t>
            </w:r>
          </w:p>
        </w:tc>
        <w:tc>
          <w:tcPr>
            <w:tcW w:w="1572" w:type="dxa"/>
            <w:tcBorders>
              <w:bottom w:val="single" w:sz="8" w:space="0" w:color="000000"/>
            </w:tcBorders>
          </w:tcPr>
          <w:p>
            <w:pPr>
              <w:pStyle w:val="CeldaAPA"/>
              <w:jc w:val="left"/>
            </w:pPr>
            <w:r>
              <w:rPr/>
              <w:t xml:space="preserve">Cada paño y planilla</w:t>
            </w:r>
          </w:p>
        </w:tc>
        <w:tc>
          <w:tcPr>
            <w:tcW w:w="814" w:type="dxa"/>
            <w:tcBorders>
              <w:bottom w:val="single" w:sz="8" w:space="0" w:color="000000"/>
            </w:tcBorders>
          </w:tcPr>
          <w:p>
            <w:pPr>
              <w:pStyle w:val="CeldaAPA"/>
              <w:jc w:val="center"/>
            </w:pPr>
            <w:r>
              <w:rPr/>
              <w:t xml:space="preserve">R</w:t>
            </w:r>
          </w:p>
        </w:tc>
        <w:tc>
          <w:tcPr>
            <w:tcW w:w="1550" w:type="dxa"/>
            <w:tcBorders>
              <w:bottom w:val="single" w:sz="8" w:space="0" w:color="000000"/>
            </w:tcBorders>
          </w:tcPr>
          <w:p>
            <w:pPr>
              <w:pStyle w:val="CeldaAPA"/>
              <w:jc w:val="left"/>
            </w:pPr>
            <w:r>
              <w:rPr/>
              <w:t xml:space="preserve">C.4; AL y RC</w:t>
            </w:r>
          </w:p>
        </w:tc>
      </w:tr>
    </w:tbl>
    <w:p>
      <w:pPr>
        <w:pStyle w:val="NotaAPA"/>
      </w:pPr>
      <w:r>
        <w:rPr>
          <w:iCs/>
          <w:i/>
        </w:rPr>
        <w:t xml:space="preserve">Nota.</w:t>
      </w:r>
      <w:r>
        <w:t xml:space="preserve"> </w:t>
      </w:r>
      <w:r>
        <w:t xml:space="preserve">Elaboración propia con base en las especificaciones técnicas</w:t>
      </w:r>
      <w:r>
        <w:t xml:space="preserve"> </w:t>
      </w:r>
      <w:r>
        <w:t xml:space="preserve">(UATF, s. f.-a)</w:t>
      </w:r>
      <w:r>
        <w:t xml:space="preserve">, el certificado del fabricante</w:t>
      </w:r>
      <w:r>
        <w:t xml:space="preserve"> </w:t>
      </w:r>
      <w:r>
        <w:t xml:space="preserve">(PRETENSA, 2025)</w:t>
      </w:r>
      <w:r>
        <w:t xml:space="preserve">, el código ACI 318-25</w:t>
      </w:r>
      <w:r>
        <w:t xml:space="preserve"> </w:t>
      </w:r>
      <w:r>
        <w:t xml:space="preserve">(ACI Committee 318, 2025)</w:t>
      </w:r>
      <w:r>
        <w:t xml:space="preserve"> </w:t>
      </w:r>
      <w:r>
        <w:t xml:space="preserve">y las fuentes indicadas. H: punto de espera; W: punto de aviso; R: revisión de registros. AL: Almacenero; RC: Residente y encargado de calidad; CA: Capataz; SU: Supervisor; LB: laboratorio. Las tolerancias del EPS se toman de la ficha técnica de otro fabricante nacional mientras el proveedor no declare las suyas. Los criterios de recepción de viguetas recogidos por</w:t>
      </w:r>
      <w:r>
        <w:t xml:space="preserve"> </w:t>
      </w:r>
      <w:r>
        <w:t xml:space="preserve">Capcha Canaza (2016, pp. 89–92)</w:t>
      </w:r>
      <w:r>
        <w:t xml:space="preserve"> </w:t>
      </w:r>
      <w:r>
        <w:t xml:space="preserve">se basan en la edición de 2005 de la NB 997.</w:t>
      </w:r>
    </w:p>
    <w:p>
      <w:pPr>
        <w:pStyle w:val="Heading4"/>
      </w:pPr>
      <w:bookmarkStart w:id="166" w:name="tit117"/>
      <w:r>
        <w:t xml:space="preserve">2.6.6.4. PCM-01: recepción y aceptación de materiales.</w:t>
      </w:r>
      <w:bookmarkEnd w:id="166"/>
    </w:p>
    <w:p>
      <w:pPr>
        <w:pStyle w:val="FirstParagraph"/>
      </w:pPr>
      <w:r>
        <w:rPr>
          <w:iCs/>
          <w:i/>
        </w:rPr>
        <w:t xml:space="preserve">Objetivo:</w:t>
      </w:r>
      <w:r>
        <w:t xml:space="preserve"> </w:t>
      </w:r>
      <w:r>
        <w:t xml:space="preserve">asegurar que solo se incorporen a la losa materiales conformes, con evidencia obtenida</w:t>
      </w:r>
      <w:r>
        <w:t xml:space="preserve"> </w:t>
      </w:r>
      <w:r>
        <w:rPr>
          <w:iCs/>
          <w:i/>
        </w:rPr>
        <w:t xml:space="preserve">antes</w:t>
      </w:r>
      <w:r>
        <w:t xml:space="preserve"> </w:t>
      </w:r>
      <w:r>
        <w:t xml:space="preserve">de su colocación (B2). En la primera losa, los certificados de viguetas y de EPS se emitieron cuando la losa ya se armaba y no hubo inspección de recepción registrada; este procedimiento invierte ese orden.</w:t>
      </w:r>
      <w:r>
        <w:t xml:space="preserve"> </w:t>
      </w:r>
      <w:r>
        <w:rPr>
          <w:iCs/>
          <w:i/>
        </w:rPr>
        <w:t xml:space="preserve">Responsables:</w:t>
      </w:r>
      <w:r>
        <w:t xml:space="preserve"> </w:t>
      </w:r>
      <w:r>
        <w:t xml:space="preserve">el Almacenero recibe y cuenta; el encargado de calidad inspecciona y decide; la Supervisión puede presenciar la recepción y revisa los certificados, conforme a las cláusulas 26.6 y 26.9 del contrato</w:t>
      </w:r>
      <w:r>
        <w:t xml:space="preserve"> </w:t>
      </w:r>
      <w:r>
        <w:t xml:space="preserve">(UATF, 2025, p. 102)</w:t>
      </w:r>
      <w:r>
        <w:t xml:space="preserve">.</w:t>
      </w:r>
      <w:r>
        <w:t xml:space="preserve"> </w:t>
      </w:r>
      <w:r>
        <w:rPr>
          <w:iCs/>
          <w:i/>
        </w:rPr>
        <w:t xml:space="preserve">Pasos:</w:t>
      </w:r>
      <w:r>
        <w:t xml:space="preserve"> </w:t>
      </w:r>
      <w:r>
        <w:t xml:space="preserve">(1) la orden de compra indica material, norma, cantidad por paño o vaciado y los documentos exigidos (certificado firmado con lote y cantidad; longitudes por paño según el Plano 03; geometría aprobada del EPS; certificado por colada de cada diámetro de acero); (2) al llegar, se comparan remisión, factura, certificado y orden, y se cuenta o se cubica lo entregado; (3) se inspecciona según la Tabla 37; (4) se decide: aceptado, aceptado bajo concesión escrita de la Supervisión o rechazado (PCM-05); (5) el lote aceptado recibe una tarjeta con su código y entra al kardex (PCM-02); y (6) se completa y firma la ficha C.3 y se archivan los certificados.</w:t>
      </w:r>
      <w:r>
        <w:t xml:space="preserve"> </w:t>
      </w:r>
      <w:r>
        <w:t xml:space="preserve">Ningún material se coloca sin su ficha C.3 aceptada: es un punto de espera del proceso de abastecimiento.</w:t>
      </w:r>
    </w:p>
    <w:p>
      <w:pPr>
        <w:pStyle w:val="Caption"/>
      </w:pPr>
      <w:bookmarkStart w:id="1451" w:name="tab37"/>
      <w:r>
        <w:t xml:space="preserve"/>
      </w:r>
      <w:r>
        <w:rPr>
          <w:bCs/>
          <w:b/>
        </w:rPr>
        <w:t xml:space="preserve">Tabla 37</w:t>
      </w:r>
      <w:r>
        <w:br/>
      </w:r>
      <w:r>
        <w:rPr>
          <w:iCs/>
          <w:i/>
        </w:rPr>
        <w:t xml:space="preserve">Criterios de recepción y aceptación de materiales (PCM-01)</w:t>
      </w:r>
      <w:bookmarkEnd w:id="1451"/>
    </w:p>
    <w:tbl>
      <w:tblPr>
        <w:tblStyle w:val="Table"/>
        <w:tblW w:w="9361" w:type="dxa"/>
        <w:jc w:val="left"/>
        <w:tblLayout w:type="fixed"/>
        <w:tblCellMar>
          <w:top w:w="0" w:type="dxa"/>
          <w:left w:w="85" w:type="dxa"/>
          <w:bottom w:w="0" w:type="dxa"/>
          <w:right w:w="85" w:type="dxa"/>
        </w:tblCellMar>
        <w:tblLook w:firstRow="1" w:lastRow="0" w:firstColumn="0" w:lastColumn="0" w:noHBand="0" w:noVBand="0" w:val="0020"/>
      </w:tblPr>
      <w:tblGrid>
        <w:gridCol w:w="1725"/>
        <w:gridCol w:w="1763"/>
        <w:gridCol w:w="1755"/>
        <w:gridCol w:w="2540"/>
        <w:gridCol w:w="1578"/>
      </w:tblGrid>
      <w:tr>
        <w:trPr>
          <w:cantSplit/>
          <w:tblHeader w:val="true"/>
        </w:trPr>
        <w:tc>
          <w:tcPr>
            <w:tcW w:w="1725" w:type="dxa"/>
            <w:tcBorders>
              <w:top w:val="single" w:sz="8" w:space="0" w:color="000000"/>
              <w:bottom w:val="single" w:sz="4" w:space="0" w:color="000000"/>
            </w:tcBorders>
          </w:tcPr>
          <w:p>
            <w:pPr>
              <w:pStyle w:val="CeldaAPA"/>
              <w:jc w:val="center"/>
            </w:pPr>
            <w:r>
              <w:rPr>
                <w:bCs/>
                <w:b/>
              </w:rPr>
              <w:t xml:space="preserve">Material</w:t>
            </w:r>
          </w:p>
        </w:tc>
        <w:tc>
          <w:tcPr>
            <w:tcW w:w="1763" w:type="dxa"/>
            <w:tcBorders>
              <w:top w:val="single" w:sz="8" w:space="0" w:color="000000"/>
              <w:bottom w:val="single" w:sz="4" w:space="0" w:color="000000"/>
            </w:tcBorders>
          </w:tcPr>
          <w:p>
            <w:pPr>
              <w:pStyle w:val="CeldaAPA"/>
              <w:jc w:val="center"/>
            </w:pPr>
            <w:r>
              <w:rPr>
                <w:bCs/>
                <w:b/>
              </w:rPr>
              <w:t xml:space="preserve">Documento exigido</w:t>
            </w:r>
          </w:p>
        </w:tc>
        <w:tc>
          <w:tcPr>
            <w:tcW w:w="1755" w:type="dxa"/>
            <w:tcBorders>
              <w:top w:val="single" w:sz="8" w:space="0" w:color="000000"/>
              <w:bottom w:val="single" w:sz="4" w:space="0" w:color="000000"/>
            </w:tcBorders>
          </w:tcPr>
          <w:p>
            <w:pPr>
              <w:pStyle w:val="CeldaAPA"/>
              <w:jc w:val="center"/>
            </w:pPr>
            <w:r>
              <w:rPr>
                <w:bCs/>
                <w:b/>
              </w:rPr>
              <w:t xml:space="preserve">Verificación en obra y muestra</w:t>
            </w:r>
          </w:p>
        </w:tc>
        <w:tc>
          <w:tcPr>
            <w:tcW w:w="2540" w:type="dxa"/>
            <w:tcBorders>
              <w:top w:val="single" w:sz="8" w:space="0" w:color="000000"/>
              <w:bottom w:val="single" w:sz="4" w:space="0" w:color="000000"/>
            </w:tcBorders>
          </w:tcPr>
          <w:p>
            <w:pPr>
              <w:pStyle w:val="CeldaAPA"/>
              <w:jc w:val="center"/>
            </w:pPr>
            <w:r>
              <w:rPr>
                <w:bCs/>
                <w:b/>
              </w:rPr>
              <w:t xml:space="preserve">Criterio de aceptación</w:t>
            </w:r>
          </w:p>
        </w:tc>
        <w:tc>
          <w:tcPr>
            <w:tcW w:w="1578" w:type="dxa"/>
            <w:tcBorders>
              <w:top w:val="single" w:sz="8" w:space="0" w:color="000000"/>
              <w:bottom w:val="single" w:sz="4" w:space="0" w:color="000000"/>
            </w:tcBorders>
          </w:tcPr>
          <w:p>
            <w:pPr>
              <w:pStyle w:val="CeldaAPA"/>
              <w:jc w:val="center"/>
            </w:pPr>
            <w:r>
              <w:rPr>
                <w:bCs/>
                <w:b/>
              </w:rPr>
              <w:t xml:space="preserve">Si no cumple</w:t>
            </w:r>
          </w:p>
        </w:tc>
      </w:tr>
      <w:tr>
        <w:tc>
          <w:tcPr>
            <w:tcW w:w="1725" w:type="dxa"/>
          </w:tcPr>
          <w:p>
            <w:pPr>
              <w:pStyle w:val="CeldaAPA"/>
              <w:jc w:val="left"/>
            </w:pPr>
            <w:r>
              <w:rPr/>
              <w:t xml:space="preserve">Viguetas pretensadas</w:t>
            </w:r>
          </w:p>
        </w:tc>
        <w:tc>
          <w:tcPr>
            <w:tcW w:w="1763" w:type="dxa"/>
          </w:tcPr>
          <w:p>
            <w:pPr>
              <w:pStyle w:val="CeldaAPA"/>
              <w:jc w:val="left"/>
            </w:pPr>
            <w:r>
              <w:rPr/>
              <w:t xml:space="preserve">Certificado firmado del fabricante con lote, cantidad, tipo y conformidad a la NB 997; remisión con las longitudes por paño</w:t>
            </w:r>
          </w:p>
        </w:tc>
        <w:tc>
          <w:tcPr>
            <w:tcW w:w="1755" w:type="dxa"/>
          </w:tcPr>
          <w:p>
            <w:pPr>
              <w:pStyle w:val="CeldaAPA"/>
              <w:jc w:val="left"/>
            </w:pPr>
            <w:r>
              <w:rPr/>
              <w:t xml:space="preserve">Conteo por tipo y longitud (todas); inspección visual (todas); medición de longitud, sección, flecha y contraflecha en cinco viguetas por entrega y tipo; descarga sin golpes y apilado inmediato sobre listones (PCM-02)</w:t>
            </w:r>
          </w:p>
        </w:tc>
        <w:tc>
          <w:tcPr>
            <w:tcW w:w="2540" w:type="dxa"/>
          </w:tcPr>
          <w:p>
            <w:pPr>
              <w:pStyle w:val="CeldaAPA"/>
              <w:jc w:val="left"/>
            </w:pPr>
            <w:r>
              <w:rPr/>
              <w:t xml:space="preserve">Longitudes del Plano 03 con +30/</w:t>
            </w:r>
            <m:oMath>
              <m:r>
                <m:rPr>
                  <m:sty m:val="p"/>
                </m:rPr>
                <m:t>−</m:t>
              </m:r>
            </m:oMath>
            <w:r>
              <w:rPr/>
              <w:t xml:space="preserve">20 mm; sección con +5/</w:t>
            </w:r>
            <m:oMath>
              <m:r>
                <m:rPr>
                  <m:sty m:val="p"/>
                </m:rPr>
                <m:t>−</m:t>
              </m:r>
            </m:oMath>
            <w:r>
              <w:rPr/>
              <w:t xml:space="preserve">2 mm; sin fisuras visibles, oquedades ni armaduras expuestas; sin flecha; contraflecha y flecha lateral</w:t>
            </w:r>
            <w:r>
              <w:rPr/>
              <w:t xml:space="preserve"> </w:t>
            </w:r>
            <m:oMath>
              <m:r>
                <m:rPr>
                  <m:sty m:val="p"/>
                </m:rPr>
                <m:t>≤</m:t>
              </m:r>
              <m:r>
                <m:t>L</m:t>
              </m:r>
              <m:r>
                <m:rPr>
                  <m:sty m:val="p"/>
                </m:rPr>
                <m:t>/</m:t>
              </m:r>
              <m:r>
                <m:t>300</m:t>
              </m:r>
            </m:oMath>
            <w:r>
              <w:rPr/>
              <w:t xml:space="preserve">; lote rechazado con más de 2 defectos principales o más de 4 secundarios en la muestra</w:t>
            </w:r>
            <w:r>
              <w:rPr/>
              <w:t xml:space="preserve"> </w:t>
            </w:r>
            <w:r>
              <w:rPr/>
              <w:t xml:space="preserve">(Capcha Canaza, 2016, pp. 89–92)</w:t>
            </w:r>
          </w:p>
        </w:tc>
        <w:tc>
          <w:tcPr>
            <w:tcW w:w="1578" w:type="dxa"/>
          </w:tcPr>
          <w:p>
            <w:pPr>
              <w:pStyle w:val="CeldaAPA"/>
              <w:jc w:val="left"/>
            </w:pPr>
            <w:r>
              <w:rPr/>
              <w:t xml:space="preserve">Rechazo de piezas o del lote (PCM-05); reclamo al proveedor</w:t>
            </w:r>
          </w:p>
        </w:tc>
      </w:tr>
      <w:tr>
        <w:tc>
          <w:tcPr>
            <w:tcW w:w="1725" w:type="dxa"/>
          </w:tcPr>
          <w:p>
            <w:pPr>
              <w:pStyle w:val="CeldaAPA"/>
              <w:jc w:val="left"/>
            </w:pPr>
            <w:r>
              <w:rPr/>
              <w:t xml:space="preserve">Complemento EPS</w:t>
            </w:r>
          </w:p>
        </w:tc>
        <w:tc>
          <w:tcPr>
            <w:tcW w:w="1763" w:type="dxa"/>
          </w:tcPr>
          <w:p>
            <w:pPr>
              <w:pStyle w:val="CeldaAPA"/>
              <w:jc w:val="left"/>
            </w:pPr>
            <w:r>
              <w:rPr/>
              <w:t xml:space="preserve">Certificado firmado con lote, cantidad, dimensiones y densidad</w:t>
            </w:r>
          </w:p>
        </w:tc>
        <w:tc>
          <w:tcPr>
            <w:tcW w:w="1755" w:type="dxa"/>
          </w:tcPr>
          <w:p>
            <w:pPr>
              <w:pStyle w:val="CeldaAPA"/>
              <w:jc w:val="left"/>
            </w:pPr>
            <w:r>
              <w:rPr/>
              <w:t xml:space="preserve">Conteo (todas); medición de dimensiones y masa de cinco piezas; densidad = masa / volumen</w:t>
            </w:r>
          </w:p>
        </w:tc>
        <w:tc>
          <w:tcPr>
            <w:tcW w:w="2540" w:type="dxa"/>
          </w:tcPr>
          <w:p>
            <w:pPr>
              <w:pStyle w:val="CeldaAPA"/>
              <w:jc w:val="left"/>
            </w:pPr>
            <w:r>
              <w:rPr/>
              <w:t xml:space="preserve">Geometría aprobada (B3);</w:t>
            </w:r>
            <w:r>
              <w:rPr/>
              <w:t xml:space="preserve"> </w:t>
            </w:r>
            <m:oMath>
              <m:r>
                <m:rPr>
                  <m:sty m:val="p"/>
                </m:rPr>
                <m:t>±</m:t>
              </m:r>
              <m:r>
                <m:t>2</m:t>
              </m:r>
            </m:oMath>
            <w:r>
              <w:rPr/>
              <w:t xml:space="preserve"> cm en longitud y</w:t>
            </w:r>
            <w:r>
              <w:rPr/>
              <w:t xml:space="preserve"> </w:t>
            </w:r>
            <m:oMath>
              <m:r>
                <m:rPr>
                  <m:sty m:val="p"/>
                </m:rPr>
                <m:t>±</m:t>
              </m:r>
              <m:r>
                <m:t>1</m:t>
              </m:r>
            </m:oMath>
            <w:r>
              <w:rPr/>
              <w:t xml:space="preserve"> cm en la sección</w:t>
            </w:r>
            <w:r>
              <w:rPr/>
              <w:t xml:space="preserve"> </w:t>
            </w:r>
            <w:r>
              <w:rPr/>
              <w:t xml:space="preserve">(Concretec, 2016)</w:t>
            </w:r>
            <w:r>
              <w:rPr/>
              <w:t xml:space="preserve">; densidad media de la muestra no menor que la declarada (10 kg/m</w:t>
            </w:r>
            <w:r>
              <w:rPr>
                <w:vertAlign w:val="superscript"/>
              </w:rPr>
              <w:t xml:space="preserve">3</w:t>
            </w:r>
            <w:r>
              <w:rPr/>
              <w:t xml:space="preserve">)</w:t>
            </w:r>
            <w:r>
              <w:rPr/>
              <w:t xml:space="preserve"> </w:t>
            </w:r>
            <w:r>
              <w:rPr/>
              <w:t xml:space="preserve">(UNICON, 2025)</w:t>
            </w:r>
            <w:r>
              <w:rPr/>
              <w:t xml:space="preserve">; piezas enteras</w:t>
            </w:r>
          </w:p>
        </w:tc>
        <w:tc>
          <w:tcPr>
            <w:tcW w:w="1578" w:type="dxa"/>
          </w:tcPr>
          <w:p>
            <w:pPr>
              <w:pStyle w:val="CeldaAPA"/>
              <w:jc w:val="left"/>
            </w:pPr>
            <w:r>
              <w:rPr/>
              <w:t xml:space="preserve">Separar las piezas rotas o deformadas; rechazo del lote si la densidad no cumple</w:t>
            </w:r>
          </w:p>
        </w:tc>
      </w:tr>
      <w:tr>
        <w:tc>
          <w:tcPr>
            <w:tcW w:w="1725" w:type="dxa"/>
          </w:tcPr>
          <w:p>
            <w:pPr>
              <w:pStyle w:val="CeldaAPA"/>
              <w:jc w:val="left"/>
            </w:pPr>
            <w:r>
              <w:rPr/>
              <w:t xml:space="preserve">Acero de refuerzo</w:t>
            </w:r>
          </w:p>
        </w:tc>
        <w:tc>
          <w:tcPr>
            <w:tcW w:w="1763" w:type="dxa"/>
          </w:tcPr>
          <w:p>
            <w:pPr>
              <w:pStyle w:val="CeldaAPA"/>
              <w:jc w:val="left"/>
            </w:pPr>
            <w:r>
              <w:rPr/>
              <w:t xml:space="preserve">Certificado por colada de cada diámetro, incluidos el</w:t>
            </w:r>
            <w:r>
              <w:rPr/>
              <w:t xml:space="preserve"> </w:t>
            </w:r>
            <m:oMath>
              <m:r>
                <m:t>ϕ</m:t>
              </m:r>
            </m:oMath>
            <w:r>
              <w:rPr/>
              <w:t xml:space="preserve">6 y el</w:t>
            </w:r>
            <w:r>
              <w:rPr/>
              <w:t xml:space="preserve"> </w:t>
            </w:r>
            <m:oMath>
              <m:r>
                <m:t>ϕ</m:t>
              </m:r>
            </m:oMath>
            <w:r>
              <w:rPr/>
              <w:t xml:space="preserve">10, con fluencia, relación de resistencias y alargamiento; etiqueta de colada en cada paquete</w:t>
            </w:r>
          </w:p>
        </w:tc>
        <w:tc>
          <w:tcPr>
            <w:tcW w:w="1755" w:type="dxa"/>
          </w:tcPr>
          <w:p>
            <w:pPr>
              <w:pStyle w:val="CeldaAPA"/>
              <w:jc w:val="left"/>
            </w:pPr>
            <w:r>
              <w:rPr/>
              <w:t xml:space="preserve">Conteo de barras; verificación del diámetro y del corrugado; pesaje de tres barras por diámetro y colada para obtener la masa por metro</w:t>
            </w:r>
          </w:p>
        </w:tc>
        <w:tc>
          <w:tcPr>
            <w:tcW w:w="2540" w:type="dxa"/>
          </w:tcPr>
          <w:p>
            <w:pPr>
              <w:pStyle w:val="CeldaAPA"/>
              <w:jc w:val="left"/>
            </w:pPr>
            <w:r>
              <w:rPr/>
              <w:t xml:space="preserve">Fluencia</w:t>
            </w:r>
            <w:r>
              <w:rPr/>
              <w:t xml:space="preserve"> </w:t>
            </w:r>
            <m:oMath>
              <m:r>
                <m:rPr>
                  <m:sty m:val="p"/>
                </m:rPr>
                <m:t>≥</m:t>
              </m:r>
            </m:oMath>
            <w:r>
              <w:rPr/>
              <w:t xml:space="preserve"> </w:t>
            </w:r>
            <w:r>
              <w:rPr/>
              <w:t xml:space="preserve">5.000 kg/cm</w:t>
            </w:r>
            <w:r>
              <w:rPr>
                <w:vertAlign w:val="superscript"/>
              </w:rPr>
              <w:t xml:space="preserve">2</w:t>
            </w:r>
            <w:r>
              <w:rPr/>
              <w:t xml:space="preserve"> </w:t>
            </w:r>
            <w:r>
              <w:rPr/>
              <w:t xml:space="preserve">(contrato); masa por metro</w:t>
            </w:r>
            <w:r>
              <w:rPr/>
              <w:t xml:space="preserve"> </w:t>
            </w:r>
            <m:oMath>
              <m:r>
                <m:rPr>
                  <m:sty m:val="p"/>
                </m:rPr>
                <m:t>≥</m:t>
              </m:r>
              <m:r>
                <m:t>94</m:t>
              </m:r>
            </m:oMath>
            <w:r>
              <w:rPr/>
              <w:t xml:space="preserve"> % de la nominal (límite de la norma ASTM A615); sin óxido suelto, aceite ni barro</w:t>
            </w:r>
          </w:p>
        </w:tc>
        <w:tc>
          <w:tcPr>
            <w:tcW w:w="1578" w:type="dxa"/>
          </w:tcPr>
          <w:p>
            <w:pPr>
              <w:pStyle w:val="CeldaAPA"/>
              <w:jc w:val="left"/>
            </w:pPr>
            <w:r>
              <w:rPr/>
              <w:t xml:space="preserve">Retener la colada sin certificado; rechazo si no cumple</w:t>
            </w:r>
          </w:p>
        </w:tc>
      </w:tr>
      <w:tr>
        <w:tc>
          <w:tcPr>
            <w:tcW w:w="1725" w:type="dxa"/>
          </w:tcPr>
          <w:p>
            <w:pPr>
              <w:pStyle w:val="CeldaAPA"/>
              <w:jc w:val="left"/>
            </w:pPr>
            <w:r>
              <w:rPr/>
              <w:t xml:space="preserve">Cemento</w:t>
            </w:r>
          </w:p>
        </w:tc>
        <w:tc>
          <w:tcPr>
            <w:tcW w:w="1763" w:type="dxa"/>
          </w:tcPr>
          <w:p>
            <w:pPr>
              <w:pStyle w:val="CeldaAPA"/>
              <w:jc w:val="left"/>
            </w:pPr>
            <w:r>
              <w:rPr/>
              <w:t xml:space="preserve">Guía de despacho con tipo, clase y fecha de fabricación; sello de calidad IBNORCA</w:t>
            </w:r>
          </w:p>
        </w:tc>
        <w:tc>
          <w:tcPr>
            <w:tcW w:w="1755" w:type="dxa"/>
          </w:tcPr>
          <w:p>
            <w:pPr>
              <w:pStyle w:val="CeldaAPA"/>
              <w:jc w:val="left"/>
            </w:pPr>
            <w:r>
              <w:rPr/>
              <w:t xml:space="preserve">Conteo de bolsas; inspección de todas las bolsas</w:t>
            </w:r>
          </w:p>
        </w:tc>
        <w:tc>
          <w:tcPr>
            <w:tcW w:w="2540" w:type="dxa"/>
          </w:tcPr>
          <w:p>
            <w:pPr>
              <w:pStyle w:val="CeldaAPA"/>
              <w:jc w:val="left"/>
            </w:pPr>
            <w:r>
              <w:rPr/>
              <w:t xml:space="preserve">Bolsas intactas, sin grumos, terrones ni costras</w:t>
            </w:r>
            <w:r>
              <w:rPr/>
              <w:t xml:space="preserve"> </w:t>
            </w:r>
            <w:r>
              <w:rPr/>
              <w:t xml:space="preserve">(UATF, s. f.-a, p. 1)</w:t>
            </w:r>
            <w:r>
              <w:rPr/>
              <w:t xml:space="preserve">; uso por orden de llegada</w:t>
            </w:r>
          </w:p>
        </w:tc>
        <w:tc>
          <w:tcPr>
            <w:tcW w:w="1578" w:type="dxa"/>
          </w:tcPr>
          <w:p>
            <w:pPr>
              <w:pStyle w:val="CeldaAPA"/>
              <w:jc w:val="left"/>
            </w:pPr>
            <w:r>
              <w:rPr/>
              <w:t xml:space="preserve">Rechazo y retiro de la obra</w:t>
            </w:r>
          </w:p>
        </w:tc>
      </w:tr>
      <w:tr>
        <w:tc>
          <w:tcPr>
            <w:tcW w:w="1725" w:type="dxa"/>
          </w:tcPr>
          <w:p>
            <w:pPr>
              <w:pStyle w:val="CeldaAPA"/>
              <w:jc w:val="left"/>
            </w:pPr>
            <w:r>
              <w:rPr/>
              <w:t xml:space="preserve">Áridos</w:t>
            </w:r>
          </w:p>
        </w:tc>
        <w:tc>
          <w:tcPr>
            <w:tcW w:w="1763" w:type="dxa"/>
          </w:tcPr>
          <w:p>
            <w:pPr>
              <w:pStyle w:val="CeldaAPA"/>
              <w:jc w:val="left"/>
            </w:pPr>
            <w:r>
              <w:rPr/>
              <w:t xml:space="preserve">Procedencia; ensayos de granulometría y limpieza que respaldan la dosificación</w:t>
            </w:r>
          </w:p>
        </w:tc>
        <w:tc>
          <w:tcPr>
            <w:tcW w:w="1755" w:type="dxa"/>
          </w:tcPr>
          <w:p>
            <w:pPr>
              <w:pStyle w:val="CeldaAPA"/>
              <w:jc w:val="left"/>
            </w:pPr>
            <w:r>
              <w:rPr/>
              <w:t xml:space="preserve">Cubicación de cada volquete; inspección visual de limpieza y tamaño</w:t>
            </w:r>
          </w:p>
        </w:tc>
        <w:tc>
          <w:tcPr>
            <w:tcW w:w="2540" w:type="dxa"/>
          </w:tcPr>
          <w:p>
            <w:pPr>
              <w:pStyle w:val="CeldaAPA"/>
              <w:jc w:val="left"/>
            </w:pPr>
            <w:r>
              <w:rPr/>
              <w:t xml:space="preserve">Sin arcilla ni materia orgánica; tamaño máximo no mayor que la mitad del espesor de la carpeta ni que un tercio del ancho libre de los nervios</w:t>
            </w:r>
            <w:r>
              <w:rPr/>
              <w:t xml:space="preserve"> </w:t>
            </w:r>
            <w:r>
              <w:rPr/>
              <w:t xml:space="preserve">(UATF, s. f.-a, p. 2)</w:t>
            </w:r>
          </w:p>
        </w:tc>
        <w:tc>
          <w:tcPr>
            <w:tcW w:w="1578" w:type="dxa"/>
          </w:tcPr>
          <w:p>
            <w:pPr>
              <w:pStyle w:val="CeldaAPA"/>
              <w:jc w:val="left"/>
            </w:pPr>
            <w:r>
              <w:rPr/>
              <w:t xml:space="preserve">Rechazo del volquete</w:t>
            </w:r>
          </w:p>
        </w:tc>
      </w:tr>
      <w:tr>
        <w:tc>
          <w:tcPr>
            <w:tcW w:w="1725" w:type="dxa"/>
            <w:tcBorders>
              <w:bottom w:val="single" w:sz="8" w:space="0" w:color="000000"/>
            </w:tcBorders>
          </w:tcPr>
          <w:p>
            <w:pPr>
              <w:pStyle w:val="CeldaAPA"/>
              <w:jc w:val="left"/>
            </w:pPr>
            <w:r>
              <w:rPr/>
              <w:t xml:space="preserve">Agua</w:t>
            </w:r>
          </w:p>
        </w:tc>
        <w:tc>
          <w:tcPr>
            <w:tcW w:w="1763" w:type="dxa"/>
            <w:tcBorders>
              <w:bottom w:val="single" w:sz="8" w:space="0" w:color="000000"/>
            </w:tcBorders>
          </w:tcPr>
          <w:p>
            <w:pPr>
              <w:pStyle w:val="CeldaAPA"/>
              <w:jc w:val="left"/>
            </w:pPr>
            <w:r>
              <w:rPr/>
              <w:t xml:space="preserve">Fuente aprobada por la Supervisión</w:t>
            </w:r>
          </w:p>
        </w:tc>
        <w:tc>
          <w:tcPr>
            <w:tcW w:w="1755" w:type="dxa"/>
            <w:tcBorders>
              <w:bottom w:val="single" w:sz="8" w:space="0" w:color="000000"/>
            </w:tcBorders>
          </w:tcPr>
          <w:p>
            <w:pPr>
              <w:pStyle w:val="CeldaAPA"/>
              <w:jc w:val="left"/>
            </w:pPr>
            <w:r>
              <w:rPr/>
              <w:t xml:space="preserve">Inspección visual; temperatura al amasar</w:t>
            </w:r>
          </w:p>
        </w:tc>
        <w:tc>
          <w:tcPr>
            <w:tcW w:w="2540" w:type="dxa"/>
            <w:tcBorders>
              <w:bottom w:val="single" w:sz="8" w:space="0" w:color="000000"/>
            </w:tcBorders>
          </w:tcPr>
          <w:p>
            <w:pPr>
              <w:pStyle w:val="CeldaAPA"/>
              <w:jc w:val="left"/>
            </w:pPr>
            <w:r>
              <w:rPr/>
              <w:t xml:space="preserve">Limpia; más de 5 </w:t>
            </w:r>
            <m:oMath>
              <m:sSup>
                <m:e>
                  <m:r>
                    <m:t>​</m:t>
                  </m:r>
                </m:e>
                <m:sup>
                  <m:r>
                    <m:rPr>
                      <m:sty m:val="p"/>
                    </m:rPr>
                    <m:t>∘</m:t>
                  </m:r>
                </m:sup>
              </m:sSup>
            </m:oMath>
            <w:r>
              <w:rPr/>
              <w:t xml:space="preserve">C al amasar</w:t>
            </w:r>
            <w:r>
              <w:rPr/>
              <w:t xml:space="preserve"> </w:t>
            </w:r>
            <w:r>
              <w:rPr/>
              <w:t xml:space="preserve">(UATF, s. f.-a, p. 2)</w:t>
            </w:r>
          </w:p>
        </w:tc>
        <w:tc>
          <w:tcPr>
            <w:tcW w:w="1578" w:type="dxa"/>
            <w:tcBorders>
              <w:bottom w:val="single" w:sz="8" w:space="0" w:color="000000"/>
            </w:tcBorders>
          </w:tcPr>
          <w:p>
            <w:pPr>
              <w:pStyle w:val="CeldaAPA"/>
              <w:jc w:val="left"/>
            </w:pPr>
            <w:r>
              <w:rPr/>
              <w:t xml:space="preserve">No usar; análisis si hay duda</w:t>
            </w:r>
          </w:p>
        </w:tc>
      </w:tr>
    </w:tbl>
    <w:p>
      <w:pPr>
        <w:pStyle w:val="NotaAPA"/>
      </w:pPr>
      <w:r>
        <w:rPr>
          <w:iCs/>
          <w:i/>
        </w:rPr>
        <w:t xml:space="preserve">Nota.</w:t>
      </w:r>
      <w:r>
        <w:t xml:space="preserve"> </w:t>
      </w:r>
      <w:r>
        <w:t xml:space="preserve">Elaboración propia. Los criterios de las viguetas siguen la tabla de requisitos que</w:t>
      </w:r>
      <w:r>
        <w:t xml:space="preserve"> </w:t>
      </w:r>
      <w:r>
        <w:t xml:space="preserve">Capcha Canaza (2016, pp. 89–92)</w:t>
      </w:r>
      <w:r>
        <w:t xml:space="preserve"> </w:t>
      </w:r>
      <w:r>
        <w:t xml:space="preserve">elaboró con base en la NB 997; las tolerancias del EPS son las de la ficha técnica de otro fabricante nacional, a falta de las del proveedor. El tamaño de la muestra (cinco piezas o tres barras) es una propuesta del autor. El límite de masa del acero y los criterios de la NB 997 deben verificarse con las ediciones vigentes de las normas (véase la nota de la Tabla 36).</w:t>
      </w:r>
    </w:p>
    <w:p>
      <w:pPr>
        <w:pStyle w:val="Heading4"/>
      </w:pPr>
      <w:bookmarkStart w:id="167" w:name="tit118"/>
      <w:r>
        <w:t xml:space="preserve">2.6.6.5. PCM-02: almacenamiento e identificación.</w:t>
      </w:r>
      <w:bookmarkEnd w:id="167"/>
    </w:p>
    <w:p>
      <w:pPr>
        <w:pStyle w:val="FirstParagraph"/>
      </w:pPr>
      <w:r>
        <w:rPr>
          <w:iCs/>
          <w:i/>
        </w:rPr>
        <w:t xml:space="preserve">Objetivo:</w:t>
      </w:r>
      <w:r>
        <w:t xml:space="preserve"> </w:t>
      </w:r>
      <w:r>
        <w:t xml:space="preserve">preservar la conformidad de los materiales aceptados y saber en todo momento qué existe, de qué lote y en qué estado.</w:t>
      </w:r>
      <w:r>
        <w:t xml:space="preserve"> </w:t>
      </w:r>
      <w:r>
        <w:rPr>
          <w:iCs/>
          <w:i/>
        </w:rPr>
        <w:t xml:space="preserve">Reglas:</w:t>
      </w:r>
      <w:r>
        <w:t xml:space="preserve"> </w:t>
      </w:r>
      <w:r>
        <w:t xml:space="preserve">(a) cada material se acopia en una zona aprobada por la Supervisión (cláusula 26.9 del contrato), con las condiciones descritas en la Sección 2.6.5; (b) cada lote lleva una tarjeta con el material, el código de lote o colada, la fecha de ingreso y su estado: verde (aceptado), amarillo (retenido, en espera de decisión) o rojo (rechazado); (c) el cemento se usa por orden de llegada; (d) el kardex de cada material registra entradas (ficha C.3), salidas (vales), devoluciones y saldo; (e) cada semana y antes de cada planilla se hace un inventario físico y se compara con el kardex; una diferencia mayor que la tolerancia de la Tabla 38 abre una no conformidad; y (f) no se acopian materiales sobre paños recién vaciados, y la estructura ya ejecutada de la UATF se protege de golpes y cargas.</w:t>
      </w:r>
    </w:p>
    <w:p>
      <w:pPr>
        <w:pStyle w:val="Heading4"/>
      </w:pPr>
      <w:bookmarkStart w:id="168" w:name="tit119"/>
      <w:r>
        <w:t xml:space="preserve">2.6.6.6. PCM-03: despacho y registro de consumos por paño.</w:t>
      </w:r>
      <w:bookmarkEnd w:id="168"/>
    </w:p>
    <w:p>
      <w:pPr>
        <w:pStyle w:val="FirstParagraph"/>
      </w:pPr>
      <w:r>
        <w:rPr>
          <w:iCs/>
          <w:i/>
        </w:rPr>
        <w:t xml:space="preserve">Objetivo:</w:t>
      </w:r>
      <w:r>
        <w:t xml:space="preserve"> </w:t>
      </w:r>
      <w:r>
        <w:t xml:space="preserve">medir lo que realmente consume cada paño, que es el dato que faltó en la primera losa (B5).</w:t>
      </w:r>
      <w:r>
        <w:t xml:space="preserve"> </w:t>
      </w:r>
      <w:r>
        <w:rPr>
          <w:iCs/>
          <w:i/>
        </w:rPr>
        <w:t xml:space="preserve">Pasos:</w:t>
      </w:r>
      <w:r>
        <w:t xml:space="preserve"> </w:t>
      </w:r>
      <w:r>
        <w:t xml:space="preserve">(1) antes de ejecutar el paño, el encargado de calidad emite la lista de cantidades teóricas</w:t>
      </w:r>
      <w:r>
        <w:t xml:space="preserve"> </w:t>
      </w:r>
      <m:oMath>
        <m:sSub>
          <m:e>
            <m:r>
              <m:t>Q</m:t>
            </m:r>
          </m:e>
          <m:sub>
            <m:r>
              <m:t>T</m:t>
            </m:r>
          </m:sub>
        </m:sSub>
      </m:oMath>
      <w:r>
        <w:t xml:space="preserve">: viguetas por tipo y longitud (Plano 03), piezas de EPS, despiece del acero por diámetro, volumen de hormigón y bolsas de cemento; (2) el Almacenero entrega el material solo contra un vale por paño (formato C.4) firmado por quien entrega y por quien recibe; (3) los sobrantes recuperables vuelven al almacén con vale de devolución, y los recortes no aprovechables se cuentan o miden como desperdicio; (4) por cada vaciado se registran los pastones, las bolsas de cemento, los áridos, el agua y los paños cubiertos; el volumen producido es el número de pastones por el rendimiento de la dosificación; y (5) el acero se registra en barras de 12 m y en longitud (planilla de corte) y se convierte a kilogramos con la masa nominal, para no confundir con desperdicio la diferencia entre la masa real y la nominal de las barras, que en los certificados de la obra fue de 1,8 a 5,8 % por debajo de la nominal (cálculo propio con los datos de las pp. 82–86 de la planilla N.</w:t>
      </w:r>
      <w:r>
        <w:rPr>
          <w:vertAlign w:val="superscript"/>
        </w:rPr>
        <w:t xml:space="preserve">o</w:t>
      </w:r>
      <w:r>
        <w:t xml:space="preserve"> 2).</w:t>
      </w:r>
      <w:r>
        <w:t xml:space="preserve"> </w:t>
      </w:r>
      <w:r>
        <w:t xml:space="preserve">La cantidad colocada en el paño</w:t>
      </w:r>
      <w:r>
        <w:t xml:space="preserve"> </w:t>
      </w:r>
      <m:oMath>
        <m:r>
          <m:t>k</m:t>
        </m:r>
      </m:oMath>
      <w:r>
        <w:t xml:space="preserve"> </w:t>
      </w:r>
      <w:r>
        <w:t xml:space="preserve">y su índice de desperdicio se obtienen con</w:t>
      </w:r>
    </w:p>
    <w:tbl>
      <w:tblPr>
        <w:tblW w:w="9360" w:type="dxa"/>
        <w:tblLayout w:type="fixed"/>
        <w:tblCellMar>
          <w:left w:w="0" w:type="dxa"/>
          <w:right w:w="0" w:type="dxa"/>
        </w:tblCellMar>
        <w:tblLook w:val="0000" w:firstRow="0" w:lastRow="0" w:firstColumn="0" w:lastColumn="0" w:noHBand="1" w:noVBand="1"/>
        <w:tblCaption w:val="Ecuación"/>
      </w:tblPr>
      <w:tblGrid>
        <w:gridCol w:w="1134"/>
        <w:gridCol w:w="7092"/>
        <w:gridCol w:w="1134"/>
      </w:tblGrid>
      <w:tr>
        <w:trPr>
          <w:cantSplit/>
        </w:trPr>
        <w:tc>
          <w:tcPr>
            <w:tcW w:w="1134" w:type="dxa"/>
            <w:vAlign w:val="center"/>
          </w:tcPr>
          <w:p>
            <w:pPr>
              <w:pStyle w:val="EcuacionAPA"/>
            </w:pPr>
          </w:p>
        </w:tc>
        <w:tc>
          <w:tcPr>
            <w:tcW w:w="7092" w:type="dxa"/>
            <w:vAlign w:val="center"/>
          </w:tcPr>
          <w:p>
            <w:pPr>
              <w:pStyle w:val="EcuacionAPA"/>
            </w:pPr>
            <m:oMathPara>
              <m:oMathParaPr>
                <m:jc m:val="center"/>
              </m:oMathParaPr>
              <m:oMath>
                <m:sSub>
                  <m:e>
                    <m:r>
                      <m:t>Q</m:t>
                    </m:r>
                  </m:e>
                  <m:sub>
                    <m:r>
                      <m:t>C</m:t>
                    </m:r>
                    <m:r>
                      <m:rPr>
                        <m:sty m:val="p"/>
                      </m:rPr>
                      <m:t>,</m:t>
                    </m:r>
                    <m:r>
                      <m:t>k</m:t>
                    </m:r>
                  </m:sub>
                </m:sSub>
                <m:r>
                  <m:rPr>
                    <m:sty m:val="p"/>
                  </m:rPr>
                  <m:t>=</m:t>
                </m:r>
                <m:sSub>
                  <m:e>
                    <m:r>
                      <m:t>Q</m:t>
                    </m:r>
                  </m:e>
                  <m:sub>
                    <m:r>
                      <m:t>D</m:t>
                    </m:r>
                    <m:r>
                      <m:rPr>
                        <m:sty m:val="p"/>
                      </m:rPr>
                      <m:t>,</m:t>
                    </m:r>
                    <m:r>
                      <m:t>k</m:t>
                    </m:r>
                  </m:sub>
                </m:sSub>
                <m:r>
                  <m:rPr>
                    <m:sty m:val="p"/>
                  </m:rPr>
                  <m:t>−</m:t>
                </m:r>
                <m:sSub>
                  <m:e>
                    <m:r>
                      <m:t>Q</m:t>
                    </m:r>
                  </m:e>
                  <m:sub>
                    <m:r>
                      <m:t>V</m:t>
                    </m:r>
                    <m:r>
                      <m:rPr>
                        <m:sty m:val="p"/>
                      </m:rPr>
                      <m:t>,</m:t>
                    </m:r>
                    <m:r>
                      <m:t>k</m:t>
                    </m:r>
                  </m:sub>
                </m:sSub>
                <m:r>
                  <m:rPr>
                    <m:sty m:val="p"/>
                  </m:rPr>
                  <m:t>,</m:t>
                </m:r>
                <m:r>
                  <m:t>  </m:t>
                </m:r>
                <m:r>
                  <m:t>I</m:t>
                </m:r>
                <m:r>
                  <m:t>D</m:t>
                </m:r>
                <m:sSub>
                  <m:e>
                    <m:r>
                      <m:t>M</m:t>
                    </m:r>
                  </m:e>
                  <m:sub>
                    <m:r>
                      <m:t>k</m:t>
                    </m:r>
                  </m:sub>
                </m:sSub>
                <m:r>
                  <m:rPr>
                    <m:sty m:val="p"/>
                  </m:rPr>
                  <m:t>=</m:t>
                </m:r>
                <m:f>
                  <m:fPr>
                    <m:type m:val="bar"/>
                  </m:fPr>
                  <m:num>
                    <m:sSub>
                      <m:e>
                        <m:r>
                          <m:t>Q</m:t>
                        </m:r>
                      </m:e>
                      <m:sub>
                        <m:r>
                          <m:t>C</m:t>
                        </m:r>
                        <m:r>
                          <m:rPr>
                            <m:sty m:val="p"/>
                          </m:rPr>
                          <m:t>,</m:t>
                        </m:r>
                        <m:r>
                          <m:t>k</m:t>
                        </m:r>
                      </m:sub>
                    </m:sSub>
                    <m:r>
                      <m:rPr>
                        <m:sty m:val="p"/>
                      </m:rPr>
                      <m:t>−</m:t>
                    </m:r>
                    <m:sSub>
                      <m:e>
                        <m:r>
                          <m:t>Q</m:t>
                        </m:r>
                      </m:e>
                      <m:sub>
                        <m:r>
                          <m:t>T</m:t>
                        </m:r>
                        <m:r>
                          <m:rPr>
                            <m:sty m:val="p"/>
                          </m:rPr>
                          <m:t>,</m:t>
                        </m:r>
                        <m:r>
                          <m:t>k</m:t>
                        </m:r>
                      </m:sub>
                    </m:sSub>
                  </m:num>
                  <m:den>
                    <m:sSub>
                      <m:e>
                        <m:r>
                          <m:t>Q</m:t>
                        </m:r>
                      </m:e>
                      <m:sub>
                        <m:r>
                          <m:t>T</m:t>
                        </m:r>
                        <m:r>
                          <m:rPr>
                            <m:sty m:val="p"/>
                          </m:rPr>
                          <m:t>,</m:t>
                        </m:r>
                        <m:r>
                          <m:t>k</m:t>
                        </m:r>
                      </m:sub>
                    </m:sSub>
                  </m:den>
                </m:f>
                <m:r>
                  <m:rPr>
                    <m:sty m:val="p"/>
                  </m:rPr>
                  <m:t>×</m:t>
                </m:r>
                <m:r>
                  <m:t>100</m:t>
                </m:r>
              </m:oMath>
            </m:oMathPara>
          </w:p>
        </w:tc>
        <w:tc>
          <w:tcPr>
            <w:tcW w:w="1134" w:type="dxa"/>
            <w:vAlign w:val="center"/>
          </w:tcPr>
          <w:p>
            <w:pPr>
              <w:pStyle w:val="EcuacionAPA"/>
              <w:jc w:val="right"/>
            </w:pPr>
            <w:r>
              <w:t>(12)</w:t>
            </w:r>
          </w:p>
        </w:tc>
      </w:tr>
    </w:tbl>
    <w:p>
      <w:pPr>
        <w:pStyle w:val="FirstParagraph"/>
        <w:ind w:firstLine="0"/>
      </w:pPr>
      <w:r>
        <w:t xml:space="preserve"/>
      </w:r>
      <w:r>
        <w:t xml:space="preserve"/>
      </w:r>
      <w:r>
        <w:t xml:space="preserve">donde</w:t>
      </w:r>
      <w:r>
        <w:t xml:space="preserve"> </w:t>
      </w:r>
      <m:oMath>
        <m:sSub>
          <m:e>
            <m:r>
              <m:t>Q</m:t>
            </m:r>
          </m:e>
          <m:sub>
            <m:r>
              <m:t>D</m:t>
            </m:r>
            <m:r>
              <m:rPr>
                <m:sty m:val="p"/>
              </m:rPr>
              <m:t>,</m:t>
            </m:r>
            <m:r>
              <m:t>k</m:t>
            </m:r>
          </m:sub>
        </m:sSub>
      </m:oMath>
      <w:r>
        <w:t xml:space="preserve"> </w:t>
      </w:r>
      <w:r>
        <w:t xml:space="preserve">es la cantidad despachada con vales,</w:t>
      </w:r>
      <w:r>
        <w:t xml:space="preserve"> </w:t>
      </w:r>
      <m:oMath>
        <m:sSub>
          <m:e>
            <m:r>
              <m:t>Q</m:t>
            </m:r>
          </m:e>
          <m:sub>
            <m:r>
              <m:t>V</m:t>
            </m:r>
            <m:r>
              <m:rPr>
                <m:sty m:val="p"/>
              </m:rPr>
              <m:t>,</m:t>
            </m:r>
            <m:r>
              <m:t>k</m:t>
            </m:r>
          </m:sub>
        </m:sSub>
      </m:oMath>
      <w:r>
        <w:t xml:space="preserve"> </w:t>
      </w:r>
      <w:r>
        <w:t xml:space="preserve">la devuelta al almacén y</w:t>
      </w:r>
      <w:r>
        <w:t xml:space="preserve"> </w:t>
      </w:r>
      <m:oMath>
        <m:sSub>
          <m:e>
            <m:r>
              <m:t>Q</m:t>
            </m:r>
          </m:e>
          <m:sub>
            <m:r>
              <m:t>T</m:t>
            </m:r>
            <m:r>
              <m:rPr>
                <m:sty m:val="p"/>
              </m:rPr>
              <m:t>,</m:t>
            </m:r>
            <m:r>
              <m:t>k</m:t>
            </m:r>
          </m:sub>
        </m:sSub>
      </m:oMath>
      <w:r>
        <w:t xml:space="preserve"> </w:t>
      </w:r>
      <w:r>
        <w:t xml:space="preserve">la teórica del paño. La segunda expresión es la ecuación (8) aplicada al paño, con</w:t>
      </w:r>
      <w:r>
        <w:t xml:space="preserve"> </w:t>
      </w:r>
      <m:oMath>
        <m:sSub>
          <m:e>
            <m:r>
              <m:t>Q</m:t>
            </m:r>
          </m:e>
          <m:sub>
            <m:r>
              <m:rPr>
                <m:nor/>
                <m:sty m:val="p"/>
              </m:rPr>
              <m:t>real</m:t>
            </m:r>
          </m:sub>
        </m:sSub>
        <m:r>
          <m:rPr>
            <m:sty m:val="p"/>
          </m:rPr>
          <m:t>=</m:t>
        </m:r>
        <m:sSub>
          <m:e>
            <m:r>
              <m:t>Q</m:t>
            </m:r>
          </m:e>
          <m:sub>
            <m:r>
              <m:t>C</m:t>
            </m:r>
            <m:r>
              <m:rPr>
                <m:sty m:val="p"/>
              </m:rPr>
              <m:t>,</m:t>
            </m:r>
            <m:r>
              <m:t>k</m:t>
            </m:r>
          </m:sub>
        </m:sSub>
      </m:oMath>
      <w:r>
        <w:t xml:space="preserve">.</w:t>
      </w:r>
    </w:p>
    <w:p>
      <w:pPr>
        <w:pStyle w:val="Heading4"/>
      </w:pPr>
      <w:bookmarkStart w:id="169" w:name="tit120"/>
      <w:r>
        <w:t xml:space="preserve">2.6.6.7. PCM-04: conciliación de cantidades por paño y por planilla.</w:t>
      </w:r>
      <w:bookmarkEnd w:id="169"/>
    </w:p>
    <w:p>
      <w:pPr>
        <w:pStyle w:val="FirstParagraph"/>
      </w:pPr>
      <w:r>
        <w:rPr>
          <w:iCs/>
          <w:i/>
        </w:rPr>
        <w:t xml:space="preserve">Objetivo:</w:t>
      </w:r>
      <w:r>
        <w:t xml:space="preserve"> </w:t>
      </w:r>
      <w:r>
        <w:t xml:space="preserve">que cada cantidad que se paga esté respaldada por una cadena verificable desde el plano hasta la planilla, y que las diferencias se detecten en el mes en que se originan y no al cierre del contrato (B4). Para cada material y cada paño se registran cinco cantidades en la ficha C.4: la teórica de planos (</w:t>
      </w:r>
      <m:oMath>
        <m:sSub>
          <m:e>
            <m:r>
              <m:t>Q</m:t>
            </m:r>
          </m:e>
          <m:sub>
            <m:r>
              <m:t>T</m:t>
            </m:r>
          </m:sub>
        </m:sSub>
      </m:oMath>
      <w:r>
        <w:t xml:space="preserve">), la entregada según remisiones y kardex (</w:t>
      </w:r>
      <m:oMath>
        <m:sSub>
          <m:e>
            <m:r>
              <m:t>Q</m:t>
            </m:r>
          </m:e>
          <m:sub>
            <m:r>
              <m:t>E</m:t>
            </m:r>
          </m:sub>
        </m:sSub>
      </m:oMath>
      <w:r>
        <w:t xml:space="preserve">), la colocada según vales y devoluciones (</w:t>
      </w:r>
      <m:oMath>
        <m:sSub>
          <m:e>
            <m:r>
              <m:t>Q</m:t>
            </m:r>
          </m:e>
          <m:sub>
            <m:r>
              <m:t>C</m:t>
            </m:r>
          </m:sub>
        </m:sSub>
      </m:oMath>
      <w:r>
        <w:t xml:space="preserve">), la medida en la medición conjunta con la Supervisión (</w:t>
      </w:r>
      <m:oMath>
        <m:sSub>
          <m:e>
            <m:r>
              <m:t>Q</m:t>
            </m:r>
          </m:e>
          <m:sub>
            <m:r>
              <m:t>M</m:t>
            </m:r>
          </m:sub>
        </m:sSub>
      </m:oMath>
      <w:r>
        <w:t xml:space="preserve">) y la pagada en la planilla (</w:t>
      </w:r>
      <m:oMath>
        <m:sSub>
          <m:e>
            <m:r>
              <m:t>Q</m:t>
            </m:r>
          </m:e>
          <m:sub>
            <m:r>
              <m:t>P</m:t>
            </m:r>
          </m:sub>
        </m:sSub>
      </m:oMath>
      <w:r>
        <w:t xml:space="preserve">). Las comparaciones se expresan como desviaciones relativas:</w:t>
      </w:r>
    </w:p>
    <w:tbl>
      <w:tblPr>
        <w:tblW w:w="9360" w:type="dxa"/>
        <w:tblLayout w:type="fixed"/>
        <w:tblCellMar>
          <w:left w:w="0" w:type="dxa"/>
          <w:right w:w="0" w:type="dxa"/>
        </w:tblCellMar>
        <w:tblLook w:val="0000" w:firstRow="0" w:lastRow="0" w:firstColumn="0" w:lastColumn="0" w:noHBand="1" w:noVBand="1"/>
        <w:tblCaption w:val="Ecuación"/>
      </w:tblPr>
      <w:tblGrid>
        <w:gridCol w:w="1134"/>
        <w:gridCol w:w="7092"/>
        <w:gridCol w:w="1134"/>
      </w:tblGrid>
      <w:tr>
        <w:trPr>
          <w:cantSplit/>
        </w:trPr>
        <w:tc>
          <w:tcPr>
            <w:tcW w:w="1134" w:type="dxa"/>
            <w:vAlign w:val="center"/>
          </w:tcPr>
          <w:p>
            <w:pPr>
              <w:pStyle w:val="EcuacionAPA"/>
            </w:pPr>
          </w:p>
        </w:tc>
        <w:tc>
          <w:tcPr>
            <w:tcW w:w="7092" w:type="dxa"/>
            <w:vAlign w:val="center"/>
          </w:tcPr>
          <w:p>
            <w:pPr>
              <w:pStyle w:val="EcuacionAPA"/>
            </w:pPr>
            <m:oMathPara>
              <m:oMathParaPr>
                <m:jc m:val="center"/>
              </m:oMathParaPr>
              <m:oMath>
                <m:sSub>
                  <m:e>
                    <m:r>
                      <m:t>δ</m:t>
                    </m:r>
                  </m:e>
                  <m:sub>
                    <m:r>
                      <m:t>X</m:t>
                    </m:r>
                    <m:r>
                      <m:rPr>
                        <m:sty m:val="p"/>
                      </m:rPr>
                      <m:t>/</m:t>
                    </m:r>
                    <m:r>
                      <m:t>Y</m:t>
                    </m:r>
                  </m:sub>
                </m:sSub>
                <m:r>
                  <m:rPr>
                    <m:sty m:val="p"/>
                  </m:rPr>
                  <m:t>=</m:t>
                </m:r>
                <m:f>
                  <m:fPr>
                    <m:type m:val="bar"/>
                  </m:fPr>
                  <m:num>
                    <m:sSub>
                      <m:e>
                        <m:r>
                          <m:t>Q</m:t>
                        </m:r>
                      </m:e>
                      <m:sub>
                        <m:r>
                          <m:t>X</m:t>
                        </m:r>
                      </m:sub>
                    </m:sSub>
                    <m:r>
                      <m:rPr>
                        <m:sty m:val="p"/>
                      </m:rPr>
                      <m:t>−</m:t>
                    </m:r>
                    <m:sSub>
                      <m:e>
                        <m:r>
                          <m:t>Q</m:t>
                        </m:r>
                      </m:e>
                      <m:sub>
                        <m:r>
                          <m:t>Y</m:t>
                        </m:r>
                      </m:sub>
                    </m:sSub>
                  </m:num>
                  <m:den>
                    <m:sSub>
                      <m:e>
                        <m:r>
                          <m:t>Q</m:t>
                        </m:r>
                      </m:e>
                      <m:sub>
                        <m:r>
                          <m:t>Y</m:t>
                        </m:r>
                      </m:sub>
                    </m:sSub>
                  </m:den>
                </m:f>
                <m:r>
                  <m:rPr>
                    <m:sty m:val="p"/>
                  </m:rPr>
                  <m:t>×</m:t>
                </m:r>
                <m:r>
                  <m:t>100</m:t>
                </m:r>
              </m:oMath>
            </m:oMathPara>
          </w:p>
        </w:tc>
        <w:tc>
          <w:tcPr>
            <w:tcW w:w="1134" w:type="dxa"/>
            <w:vAlign w:val="center"/>
          </w:tcPr>
          <w:p>
            <w:pPr>
              <w:pStyle w:val="EcuacionAPA"/>
              <w:jc w:val="right"/>
            </w:pPr>
            <w:r>
              <w:t>(13)</w:t>
            </w:r>
          </w:p>
        </w:tc>
      </w:tr>
    </w:tbl>
    <w:p>
      <w:pPr>
        <w:pStyle w:val="FirstParagraph"/>
        <w:ind w:firstLine="0"/>
      </w:pPr>
      <w:r>
        <w:t xml:space="preserve"/>
      </w:r>
      <w:r>
        <w:t xml:space="preserve"/>
      </w:r>
      <w:r>
        <w:t xml:space="preserve">donde</w:t>
      </w:r>
      <w:r>
        <w:t xml:space="preserve"> </w:t>
      </w:r>
      <m:oMath>
        <m:sSub>
          <m:e>
            <m:r>
              <m:t>δ</m:t>
            </m:r>
          </m:e>
          <m:sub>
            <m:r>
              <m:t>C</m:t>
            </m:r>
            <m:r>
              <m:rPr>
                <m:sty m:val="p"/>
              </m:rPr>
              <m:t>/</m:t>
            </m:r>
            <m:r>
              <m:t>T</m:t>
            </m:r>
          </m:sub>
        </m:sSub>
      </m:oMath>
      <w:r>
        <w:t xml:space="preserve"> </w:t>
      </w:r>
      <w:r>
        <w:t xml:space="preserve">es el índice de desperdicio del paño (ecuación 12),</w:t>
      </w:r>
      <w:r>
        <w:t xml:space="preserve"> </w:t>
      </w:r>
      <m:oMath>
        <m:sSub>
          <m:e>
            <m:r>
              <m:t>δ</m:t>
            </m:r>
          </m:e>
          <m:sub>
            <m:r>
              <m:t>M</m:t>
            </m:r>
            <m:r>
              <m:rPr>
                <m:sty m:val="p"/>
              </m:rPr>
              <m:t>/</m:t>
            </m:r>
            <m:r>
              <m:t>T</m:t>
            </m:r>
          </m:sub>
        </m:sSub>
      </m:oMath>
      <w:r>
        <w:t xml:space="preserve"> </w:t>
      </w:r>
      <w:r>
        <w:t xml:space="preserve">compara la medición con los planos y</w:t>
      </w:r>
      <w:r>
        <w:t xml:space="preserve"> </w:t>
      </w:r>
      <m:oMath>
        <m:sSub>
          <m:e>
            <m:r>
              <m:t>δ</m:t>
            </m:r>
          </m:e>
          <m:sub>
            <m:r>
              <m:t>P</m:t>
            </m:r>
            <m:r>
              <m:rPr>
                <m:sty m:val="p"/>
              </m:rPr>
              <m:t>/</m:t>
            </m:r>
            <m:r>
              <m:t>M</m:t>
            </m:r>
          </m:sub>
        </m:sSub>
      </m:oMath>
      <w:r>
        <w:t xml:space="preserve"> </w:t>
      </w:r>
      <w:r>
        <w:t xml:space="preserve">compara lo pagado con lo medido. A ellas se suman la diferencia de inventario</w:t>
      </w:r>
      <w:r>
        <w:t xml:space="preserve"> </w:t>
      </w:r>
      <m:oMath>
        <m:sSub>
          <m:e>
            <m:r>
              <m:t>Δ</m:t>
            </m:r>
          </m:e>
          <m:sub>
            <m:r>
              <m:t>I</m:t>
            </m:r>
          </m:sub>
        </m:sSub>
        <m:r>
          <m:rPr>
            <m:sty m:val="p"/>
          </m:rPr>
          <m:t>=</m:t>
        </m:r>
        <m:sSub>
          <m:e>
            <m:r>
              <m:t>Q</m:t>
            </m:r>
          </m:e>
          <m:sub>
            <m:r>
              <m:t>E</m:t>
            </m:r>
          </m:sub>
        </m:sSub>
        <m:r>
          <m:rPr>
            <m:sty m:val="p"/>
          </m:rPr>
          <m:t>−</m:t>
        </m:r>
        <m:sSub>
          <m:e>
            <m:r>
              <m:t>Q</m:t>
            </m:r>
          </m:e>
          <m:sub>
            <m:r>
              <m:t>C</m:t>
            </m:r>
          </m:sub>
        </m:sSub>
        <m:r>
          <m:rPr>
            <m:sty m:val="p"/>
          </m:rPr>
          <m:t>−</m:t>
        </m:r>
        <m:sSub>
          <m:e>
            <m:r>
              <m:t>I</m:t>
            </m:r>
          </m:e>
          <m:sub>
            <m:r>
              <m:t>F</m:t>
            </m:r>
          </m:sub>
        </m:sSub>
      </m:oMath>
      <w:r>
        <w:t xml:space="preserve">, donde</w:t>
      </w:r>
      <w:r>
        <w:t xml:space="preserve"> </w:t>
      </w:r>
      <m:oMath>
        <m:sSub>
          <m:e>
            <m:r>
              <m:t>I</m:t>
            </m:r>
          </m:e>
          <m:sub>
            <m:r>
              <m:t>F</m:t>
            </m:r>
          </m:sub>
        </m:sSub>
      </m:oMath>
      <w:r>
        <w:t xml:space="preserve"> </w:t>
      </w:r>
      <w:r>
        <w:t xml:space="preserve">es la existencia física contada, y la cuantía de acero de la losa en kg/m</w:t>
      </w:r>
      <w:r>
        <w:rPr>
          <w:vertAlign w:val="superscript"/>
        </w:rPr>
        <w:t xml:space="preserve">2</w:t>
      </w:r>
      <w:r>
        <w:t xml:space="preserve">. La Tabla 38 fija los umbrales de alerta. Cuando un control supera su umbral, el encargado de calidad abre una no conformidad, informa a la Supervisión y no presenta ese ítem en la planilla hasta explicar o corregir la diferencia. La medición sigue la regla del contrato: las obras se miden netas y no se miden volúmenes excedentes que la Supervisión no haya aprobado por escrito</w:t>
      </w:r>
      <w:r>
        <w:t xml:space="preserve"> </w:t>
      </w:r>
      <w:r>
        <w:t xml:space="preserve">(UATF, 2025, p. 99)</w:t>
      </w:r>
      <w:r>
        <w:t xml:space="preserve">; por eso el acero se mide con la planilla de armado de cada paño, documento que faltó en la planilla N.</w:t>
      </w:r>
      <w:r>
        <w:rPr>
          <w:vertAlign w:val="superscript"/>
        </w:rPr>
        <w:t xml:space="preserve">o</w:t>
      </w:r>
      <w:r>
        <w:t xml:space="preserve"> 2</w:t>
      </w:r>
      <w:r>
        <w:t xml:space="preserve"> </w:t>
      </w:r>
      <w:r>
        <w:t xml:space="preserve">(UATF, 2025, p. 20)</w:t>
      </w:r>
      <w:r>
        <w:t xml:space="preserve">.</w:t>
      </w:r>
    </w:p>
    <w:p>
      <w:pPr>
        <w:pStyle w:val="Caption"/>
      </w:pPr>
      <w:bookmarkStart w:id="1452" w:name="tab38"/>
      <w:r>
        <w:t xml:space="preserve"/>
      </w:r>
      <w:r>
        <w:rPr>
          <w:bCs/>
          <w:b/>
        </w:rPr>
        <w:t xml:space="preserve">Tabla 38</w:t>
      </w:r>
      <w:r>
        <w:br/>
      </w:r>
      <w:r>
        <w:rPr>
          <w:iCs/>
          <w:i/>
        </w:rPr>
        <w:t xml:space="preserve">Controles de conciliación de cantidades y umbrales de alerta (PCM-04)</w:t>
      </w:r>
      <w:bookmarkEnd w:id="1452"/>
    </w:p>
    <w:tbl>
      <w:tblPr>
        <w:tblStyle w:val="Table"/>
        <w:tblW w:w="9359" w:type="dxa"/>
        <w:jc w:val="left"/>
        <w:tblLayout w:type="fixed"/>
        <w:tblCellMar>
          <w:top w:w="0" w:type="dxa"/>
          <w:left w:w="85" w:type="dxa"/>
          <w:bottom w:w="0" w:type="dxa"/>
          <w:right w:w="85" w:type="dxa"/>
        </w:tblCellMar>
        <w:tblLook w:firstRow="1" w:lastRow="0" w:firstColumn="0" w:lastColumn="0" w:noHBand="0" w:noVBand="0" w:val="0020"/>
      </w:tblPr>
      <w:tblGrid>
        <w:gridCol w:w="2256"/>
        <w:gridCol w:w="2143"/>
        <w:gridCol w:w="2256"/>
        <w:gridCol w:w="2704"/>
      </w:tblGrid>
      <w:tr>
        <w:trPr>
          <w:cantSplit/>
          <w:tblHeader w:val="true"/>
        </w:trPr>
        <w:tc>
          <w:tcPr>
            <w:tcW w:w="2256" w:type="dxa"/>
            <w:tcBorders>
              <w:top w:val="single" w:sz="8" w:space="0" w:color="000000"/>
              <w:bottom w:val="single" w:sz="4" w:space="0" w:color="000000"/>
            </w:tcBorders>
          </w:tcPr>
          <w:p>
            <w:pPr>
              <w:pStyle w:val="CeldaAPA"/>
              <w:jc w:val="center"/>
            </w:pPr>
            <w:r>
              <w:rPr>
                <w:bCs/>
                <w:b/>
              </w:rPr>
              <w:t xml:space="preserve">Control</w:t>
            </w:r>
          </w:p>
        </w:tc>
        <w:tc>
          <w:tcPr>
            <w:tcW w:w="2143" w:type="dxa"/>
            <w:tcBorders>
              <w:top w:val="single" w:sz="8" w:space="0" w:color="000000"/>
              <w:bottom w:val="single" w:sz="4" w:space="0" w:color="000000"/>
            </w:tcBorders>
          </w:tcPr>
          <w:p>
            <w:pPr>
              <w:pStyle w:val="CeldaAPA"/>
              <w:jc w:val="center"/>
            </w:pPr>
            <w:r>
              <w:rPr>
                <w:bCs/>
                <w:b/>
              </w:rPr>
              <w:t xml:space="preserve">Expresión</w:t>
            </w:r>
          </w:p>
        </w:tc>
        <w:tc>
          <w:tcPr>
            <w:tcW w:w="2256" w:type="dxa"/>
            <w:tcBorders>
              <w:top w:val="single" w:sz="8" w:space="0" w:color="000000"/>
              <w:bottom w:val="single" w:sz="4" w:space="0" w:color="000000"/>
            </w:tcBorders>
          </w:tcPr>
          <w:p>
            <w:pPr>
              <w:pStyle w:val="CeldaAPA"/>
              <w:jc w:val="center"/>
            </w:pPr>
            <w:r>
              <w:rPr>
                <w:bCs/>
                <w:b/>
              </w:rPr>
              <w:t xml:space="preserve">Umbral de alerta</w:t>
            </w:r>
          </w:p>
        </w:tc>
        <w:tc>
          <w:tcPr>
            <w:tcW w:w="2704" w:type="dxa"/>
            <w:tcBorders>
              <w:top w:val="single" w:sz="8" w:space="0" w:color="000000"/>
              <w:bottom w:val="single" w:sz="4" w:space="0" w:color="000000"/>
            </w:tcBorders>
          </w:tcPr>
          <w:p>
            <w:pPr>
              <w:pStyle w:val="CeldaAPA"/>
              <w:jc w:val="center"/>
            </w:pPr>
            <w:r>
              <w:rPr>
                <w:bCs/>
                <w:b/>
              </w:rPr>
              <w:t xml:space="preserve">Acción</w:t>
            </w:r>
          </w:p>
        </w:tc>
      </w:tr>
      <w:tr>
        <w:tc>
          <w:tcPr>
            <w:tcW w:w="2256" w:type="dxa"/>
          </w:tcPr>
          <w:p>
            <w:pPr>
              <w:pStyle w:val="CeldaAPA"/>
              <w:jc w:val="left"/>
            </w:pPr>
            <w:r>
              <w:rPr/>
              <w:t xml:space="preserve">Inventario</w:t>
            </w:r>
          </w:p>
        </w:tc>
        <w:tc>
          <w:tcPr>
            <w:tcW w:w="2143" w:type="dxa"/>
          </w:tcPr>
          <w:p>
            <w:pPr>
              <w:pStyle w:val="CeldaAPA"/>
              <w:jc w:val="left"/>
            </w:pPr>
            <m:oMath>
              <m:sSub>
                <m:e>
                  <m:r>
                    <m:t>Δ</m:t>
                  </m:r>
                </m:e>
                <m:sub>
                  <m:r>
                    <m:t>I</m:t>
                  </m:r>
                </m:sub>
              </m:sSub>
              <m:r>
                <m:rPr>
                  <m:sty m:val="p"/>
                </m:rPr>
                <m:t>=</m:t>
              </m:r>
              <m:sSub>
                <m:e>
                  <m:r>
                    <m:t>Q</m:t>
                  </m:r>
                </m:e>
                <m:sub>
                  <m:r>
                    <m:t>E</m:t>
                  </m:r>
                </m:sub>
              </m:sSub>
              <m:r>
                <m:rPr>
                  <m:sty m:val="p"/>
                </m:rPr>
                <m:t>−</m:t>
              </m:r>
              <m:sSub>
                <m:e>
                  <m:r>
                    <m:t>Q</m:t>
                  </m:r>
                </m:e>
                <m:sub>
                  <m:r>
                    <m:t>C</m:t>
                  </m:r>
                </m:sub>
              </m:sSub>
              <m:r>
                <m:rPr>
                  <m:sty m:val="p"/>
                </m:rPr>
                <m:t>−</m:t>
              </m:r>
              <m:sSub>
                <m:e>
                  <m:r>
                    <m:t>I</m:t>
                  </m:r>
                </m:e>
                <m:sub>
                  <m:r>
                    <m:t>F</m:t>
                  </m:r>
                </m:sub>
              </m:sSub>
            </m:oMath>
          </w:p>
        </w:tc>
        <w:tc>
          <w:tcPr>
            <w:tcW w:w="2256" w:type="dxa"/>
          </w:tcPr>
          <w:p>
            <w:pPr>
              <w:pStyle w:val="CeldaAPA"/>
              <w:jc w:val="left"/>
            </w:pPr>
            <w:r>
              <w:rPr/>
              <w:t xml:space="preserve">Piezas y bolsas: 0; áridos: 5 % de</w:t>
            </w:r>
            <w:r>
              <w:rPr/>
              <w:t xml:space="preserve"> </w:t>
            </w:r>
            <m:oMath>
              <m:sSub>
                <m:e>
                  <m:r>
                    <m:t>Q</m:t>
                  </m:r>
                </m:e>
                <m:sub>
                  <m:r>
                    <m:t>E</m:t>
                  </m:r>
                </m:sub>
              </m:sSub>
            </m:oMath>
          </w:p>
        </w:tc>
        <w:tc>
          <w:tcPr>
            <w:tcW w:w="2704" w:type="dxa"/>
          </w:tcPr>
          <w:p>
            <w:pPr>
              <w:pStyle w:val="CeldaAPA"/>
              <w:jc w:val="left"/>
            </w:pPr>
            <w:r>
              <w:rPr/>
              <w:t xml:space="preserve">Reconteo; no conformidad si persiste</w:t>
            </w:r>
          </w:p>
        </w:tc>
      </w:tr>
      <w:tr>
        <w:tc>
          <w:tcPr>
            <w:tcW w:w="2256" w:type="dxa"/>
          </w:tcPr>
          <w:p>
            <w:pPr>
              <w:pStyle w:val="CeldaAPA"/>
              <w:jc w:val="left"/>
            </w:pPr>
            <w:r>
              <w:rPr/>
              <w:t xml:space="preserve">Desperdicio del paño</w:t>
            </w:r>
          </w:p>
        </w:tc>
        <w:tc>
          <w:tcPr>
            <w:tcW w:w="2143" w:type="dxa"/>
          </w:tcPr>
          <w:p>
            <w:pPr>
              <w:pStyle w:val="CeldaAPA"/>
              <w:jc w:val="left"/>
            </w:pPr>
            <m:oMath>
              <m:sSub>
                <m:e>
                  <m:r>
                    <m:t>δ</m:t>
                  </m:r>
                </m:e>
                <m:sub>
                  <m:r>
                    <m:t>C</m:t>
                  </m:r>
                  <m:r>
                    <m:rPr>
                      <m:sty m:val="p"/>
                    </m:rPr>
                    <m:t>/</m:t>
                  </m:r>
                  <m:r>
                    <m:t>T</m:t>
                  </m:r>
                </m:sub>
              </m:sSub>
              <m:r>
                <m:rPr>
                  <m:sty m:val="p"/>
                </m:rPr>
                <m:t>=</m:t>
              </m:r>
              <m:r>
                <m:t>I</m:t>
              </m:r>
              <m:r>
                <m:t>D</m:t>
              </m:r>
              <m:sSub>
                <m:e>
                  <m:r>
                    <m:t>M</m:t>
                  </m:r>
                </m:e>
                <m:sub>
                  <m:r>
                    <m:t>k</m:t>
                  </m:r>
                </m:sub>
              </m:sSub>
            </m:oMath>
          </w:p>
        </w:tc>
        <w:tc>
          <w:tcPr>
            <w:tcW w:w="2256" w:type="dxa"/>
          </w:tcPr>
          <w:p>
            <w:pPr>
              <w:pStyle w:val="CeldaAPA"/>
              <w:jc w:val="left"/>
            </w:pPr>
            <w:r>
              <w:rPr/>
              <w:t xml:space="preserve">Mayor que la meta (OC1 a OC4)</w:t>
            </w:r>
          </w:p>
        </w:tc>
        <w:tc>
          <w:tcPr>
            <w:tcW w:w="2704" w:type="dxa"/>
          </w:tcPr>
          <w:p>
            <w:pPr>
              <w:pStyle w:val="CeldaAPA"/>
              <w:jc w:val="left"/>
            </w:pPr>
            <w:r>
              <w:rPr/>
              <w:t xml:space="preserve">Análisis de causa antes del paño siguiente</w:t>
            </w:r>
          </w:p>
        </w:tc>
      </w:tr>
      <w:tr>
        <w:tc>
          <w:tcPr>
            <w:tcW w:w="2256" w:type="dxa"/>
          </w:tcPr>
          <w:p>
            <w:pPr>
              <w:pStyle w:val="CeldaAPA"/>
              <w:jc w:val="left"/>
            </w:pPr>
            <w:r>
              <w:rPr/>
              <w:t xml:space="preserve">Medición frente a planos</w:t>
            </w:r>
          </w:p>
        </w:tc>
        <w:tc>
          <w:tcPr>
            <w:tcW w:w="2143" w:type="dxa"/>
          </w:tcPr>
          <w:p>
            <w:pPr>
              <w:pStyle w:val="CeldaAPA"/>
              <w:jc w:val="left"/>
            </w:pPr>
            <m:oMath>
              <m:sSub>
                <m:e>
                  <m:r>
                    <m:t>δ</m:t>
                  </m:r>
                </m:e>
                <m:sub>
                  <m:r>
                    <m:t>M</m:t>
                  </m:r>
                  <m:r>
                    <m:rPr>
                      <m:sty m:val="p"/>
                    </m:rPr>
                    <m:t>/</m:t>
                  </m:r>
                  <m:r>
                    <m:t>T</m:t>
                  </m:r>
                </m:sub>
              </m:sSub>
            </m:oMath>
          </w:p>
        </w:tc>
        <w:tc>
          <w:tcPr>
            <w:tcW w:w="2256" w:type="dxa"/>
          </w:tcPr>
          <w:p>
            <w:pPr>
              <w:pStyle w:val="CeldaAPA"/>
              <w:jc w:val="left"/>
            </w:pPr>
            <m:oMath>
              <m:r>
                <m:rPr>
                  <m:sty m:val="p"/>
                </m:rPr>
                <m:t>±</m:t>
              </m:r>
              <m:r>
                <m:t>1</m:t>
              </m:r>
            </m:oMath>
            <w:r>
              <w:rPr/>
              <w:t xml:space="preserve"> %</w:t>
            </w:r>
          </w:p>
        </w:tc>
        <w:tc>
          <w:tcPr>
            <w:tcW w:w="2704" w:type="dxa"/>
          </w:tcPr>
          <w:p>
            <w:pPr>
              <w:pStyle w:val="CeldaAPA"/>
              <w:jc w:val="left"/>
            </w:pPr>
            <w:r>
              <w:rPr/>
              <w:t xml:space="preserve">Exigir el cambio aprobado; si no existe, se mide lo neto de planos</w:t>
            </w:r>
          </w:p>
        </w:tc>
      </w:tr>
      <w:tr>
        <w:tc>
          <w:tcPr>
            <w:tcW w:w="2256" w:type="dxa"/>
          </w:tcPr>
          <w:p>
            <w:pPr>
              <w:pStyle w:val="CeldaAPA"/>
              <w:jc w:val="left"/>
            </w:pPr>
            <w:r>
              <w:rPr/>
              <w:t xml:space="preserve">Pago frente a medición</w:t>
            </w:r>
          </w:p>
        </w:tc>
        <w:tc>
          <w:tcPr>
            <w:tcW w:w="2143" w:type="dxa"/>
          </w:tcPr>
          <w:p>
            <w:pPr>
              <w:pStyle w:val="CeldaAPA"/>
              <w:jc w:val="left"/>
            </w:pPr>
            <m:oMath>
              <m:sSub>
                <m:e>
                  <m:r>
                    <m:t>δ</m:t>
                  </m:r>
                </m:e>
                <m:sub>
                  <m:r>
                    <m:t>P</m:t>
                  </m:r>
                  <m:r>
                    <m:rPr>
                      <m:sty m:val="p"/>
                    </m:rPr>
                    <m:t>/</m:t>
                  </m:r>
                  <m:r>
                    <m:t>M</m:t>
                  </m:r>
                </m:sub>
              </m:sSub>
            </m:oMath>
            <w:r>
              <w:rPr/>
              <w:t xml:space="preserve"> </w:t>
            </w:r>
            <w:r>
              <w:rPr/>
              <w:t xml:space="preserve">(acumulado)</w:t>
            </w:r>
          </w:p>
        </w:tc>
        <w:tc>
          <w:tcPr>
            <w:tcW w:w="2256" w:type="dxa"/>
          </w:tcPr>
          <w:p>
            <w:pPr>
              <w:pStyle w:val="CeldaAPA"/>
              <w:jc w:val="left"/>
            </w:pPr>
            <w:r>
              <w:rPr/>
              <w:t xml:space="preserve">Cualquier diferencia</w:t>
            </w:r>
          </w:p>
        </w:tc>
        <w:tc>
          <w:tcPr>
            <w:tcW w:w="2704" w:type="dxa"/>
          </w:tcPr>
          <w:p>
            <w:pPr>
              <w:pStyle w:val="CeldaAPA"/>
              <w:jc w:val="left"/>
            </w:pPr>
            <w:r>
              <w:rPr/>
              <w:t xml:space="preserve">Corregir antes de presentar la planilla</w:t>
            </w:r>
          </w:p>
        </w:tc>
      </w:tr>
      <w:tr>
        <w:tc>
          <w:tcPr>
            <w:tcW w:w="2256" w:type="dxa"/>
          </w:tcPr>
          <w:p>
            <w:pPr>
              <w:pStyle w:val="CeldaAPA"/>
              <w:jc w:val="left"/>
            </w:pPr>
            <w:r>
              <w:rPr/>
              <w:t xml:space="preserve">Cuantía de acero de la losa</w:t>
            </w:r>
          </w:p>
        </w:tc>
        <w:tc>
          <w:tcPr>
            <w:tcW w:w="2143" w:type="dxa"/>
          </w:tcPr>
          <w:p>
            <w:pPr>
              <w:pStyle w:val="CeldaAPA"/>
              <w:jc w:val="left"/>
            </w:pPr>
            <w:r>
              <w:rPr/>
              <w:t xml:space="preserve">kg medidos / m</w:t>
            </w:r>
            <w:r>
              <w:rPr>
                <w:vertAlign w:val="superscript"/>
              </w:rPr>
              <w:t xml:space="preserve">2</w:t>
            </w:r>
            <w:r>
              <w:rPr/>
              <w:t xml:space="preserve"> </w:t>
            </w:r>
            <w:r>
              <w:rPr/>
              <w:t xml:space="preserve">medidos</w:t>
            </w:r>
          </w:p>
        </w:tc>
        <w:tc>
          <w:tcPr>
            <w:tcW w:w="2256" w:type="dxa"/>
          </w:tcPr>
          <w:p>
            <w:pPr>
              <w:pStyle w:val="CeldaAPA"/>
              <w:jc w:val="left"/>
            </w:pPr>
            <m:oMath>
              <m:r>
                <m:rPr>
                  <m:sty m:val="p"/>
                </m:rPr>
                <m:t>±</m:t>
              </m:r>
              <m:r>
                <m:t>5</m:t>
              </m:r>
            </m:oMath>
            <w:r>
              <w:rPr/>
              <w:t xml:space="preserve"> % del valor de planos</w:t>
            </w:r>
          </w:p>
        </w:tc>
        <w:tc>
          <w:tcPr>
            <w:tcW w:w="2704" w:type="dxa"/>
          </w:tcPr>
          <w:p>
            <w:pPr>
              <w:pStyle w:val="CeldaAPA"/>
              <w:jc w:val="left"/>
            </w:pPr>
            <w:r>
              <w:rPr/>
              <w:t xml:space="preserve">Revisar la planilla de armado y el cómputo</w:t>
            </w:r>
          </w:p>
        </w:tc>
      </w:tr>
      <w:tr>
        <w:tc>
          <w:tcPr>
            <w:tcW w:w="2256" w:type="dxa"/>
          </w:tcPr>
          <w:p>
            <w:pPr>
              <w:pStyle w:val="CeldaAPA"/>
              <w:jc w:val="left"/>
            </w:pPr>
            <w:r>
              <w:rPr/>
              <w:t xml:space="preserve">Coherencia entre documentos</w:t>
            </w:r>
          </w:p>
        </w:tc>
        <w:tc>
          <w:tcPr>
            <w:tcW w:w="2143" w:type="dxa"/>
          </w:tcPr>
          <w:p>
            <w:pPr>
              <w:pStyle w:val="CeldaAPA"/>
              <w:jc w:val="left"/>
            </w:pPr>
            <w:r>
              <w:rPr/>
              <w:t xml:space="preserve">Misma cantidad en planilla, cómputo e informes</w:t>
            </w:r>
          </w:p>
        </w:tc>
        <w:tc>
          <w:tcPr>
            <w:tcW w:w="2256" w:type="dxa"/>
          </w:tcPr>
          <w:p>
            <w:pPr>
              <w:pStyle w:val="CeldaAPA"/>
              <w:jc w:val="left"/>
            </w:pPr>
            <w:r>
              <w:rPr/>
              <w:t xml:space="preserve">Cualquier diferencia</w:t>
            </w:r>
          </w:p>
        </w:tc>
        <w:tc>
          <w:tcPr>
            <w:tcW w:w="2704" w:type="dxa"/>
          </w:tcPr>
          <w:p>
            <w:pPr>
              <w:pStyle w:val="CeldaAPA"/>
              <w:jc w:val="left"/>
            </w:pPr>
            <w:r>
              <w:rPr/>
              <w:t xml:space="preserve">Registro único de cantidades</w:t>
            </w:r>
          </w:p>
        </w:tc>
      </w:tr>
      <w:tr>
        <w:tc>
          <w:tcPr>
            <w:tcW w:w="2256" w:type="dxa"/>
            <w:tcBorders>
              <w:bottom w:val="single" w:sz="8" w:space="0" w:color="000000"/>
            </w:tcBorders>
          </w:tcPr>
          <w:p>
            <w:pPr>
              <w:pStyle w:val="CeldaAPA"/>
              <w:jc w:val="left"/>
            </w:pPr>
            <w:r>
              <w:rPr/>
              <w:t xml:space="preserve">Ítem de pago</w:t>
            </w:r>
          </w:p>
        </w:tc>
        <w:tc>
          <w:tcPr>
            <w:tcW w:w="2143" w:type="dxa"/>
            <w:tcBorders>
              <w:bottom w:val="single" w:sz="8" w:space="0" w:color="000000"/>
            </w:tcBorders>
          </w:tcPr>
          <w:p>
            <w:pPr>
              <w:pStyle w:val="CeldaAPA"/>
              <w:jc w:val="left"/>
            </w:pPr>
            <w:r>
              <w:rPr/>
              <w:t xml:space="preserve">Kg de acero asignados a cada ítem</w:t>
            </w:r>
          </w:p>
        </w:tc>
        <w:tc>
          <w:tcPr>
            <w:tcW w:w="2256" w:type="dxa"/>
            <w:tcBorders>
              <w:bottom w:val="single" w:sz="8" w:space="0" w:color="000000"/>
            </w:tcBorders>
          </w:tcPr>
          <w:p>
            <w:pPr>
              <w:pStyle w:val="CeldaAPA"/>
              <w:jc w:val="left"/>
            </w:pPr>
            <w:r>
              <w:rPr/>
              <w:t xml:space="preserve">Superposición distinta de cero</w:t>
            </w:r>
          </w:p>
        </w:tc>
        <w:tc>
          <w:tcPr>
            <w:tcW w:w="2704" w:type="dxa"/>
            <w:tcBorders>
              <w:bottom w:val="single" w:sz="8" w:space="0" w:color="000000"/>
            </w:tcBorders>
          </w:tcPr>
          <w:p>
            <w:pPr>
              <w:pStyle w:val="CeldaAPA"/>
              <w:jc w:val="left"/>
            </w:pPr>
            <w:r>
              <w:rPr/>
              <w:t xml:space="preserve">Definir con el APU el único ítem de pago</w:t>
            </w:r>
          </w:p>
        </w:tc>
      </w:tr>
    </w:tbl>
    <w:p>
      <w:pPr>
        <w:pStyle w:val="NotaAPA"/>
      </w:pPr>
      <w:r>
        <w:rPr>
          <w:iCs/>
          <w:i/>
        </w:rPr>
        <w:t xml:space="preserve">Nota.</w:t>
      </w:r>
      <w:r>
        <w:t xml:space="preserve"> </w:t>
      </w:r>
      <w:r>
        <w:t xml:space="preserve">Elaboración propia. Los umbrales son propuestas del autor para la gestión del SGC; deben validarse por juicio de expertos y aprobarse con el plan de la calidad.</w:t>
      </w:r>
      <w:r>
        <w:t xml:space="preserve"> </w:t>
      </w:r>
      <m:oMath>
        <m:sSub>
          <m:e>
            <m:r>
              <m:t>Q</m:t>
            </m:r>
          </m:e>
          <m:sub>
            <m:r>
              <m:t>T</m:t>
            </m:r>
          </m:sub>
        </m:sSub>
      </m:oMath>
      <w:r>
        <w:t xml:space="preserve">: teórica;</w:t>
      </w:r>
      <w:r>
        <w:t xml:space="preserve"> </w:t>
      </w:r>
      <m:oMath>
        <m:sSub>
          <m:e>
            <m:r>
              <m:t>Q</m:t>
            </m:r>
          </m:e>
          <m:sub>
            <m:r>
              <m:t>E</m:t>
            </m:r>
          </m:sub>
        </m:sSub>
      </m:oMath>
      <w:r>
        <w:t xml:space="preserve">: entregada;</w:t>
      </w:r>
      <w:r>
        <w:t xml:space="preserve"> </w:t>
      </w:r>
      <m:oMath>
        <m:sSub>
          <m:e>
            <m:r>
              <m:t>Q</m:t>
            </m:r>
          </m:e>
          <m:sub>
            <m:r>
              <m:t>C</m:t>
            </m:r>
          </m:sub>
        </m:sSub>
      </m:oMath>
      <w:r>
        <w:t xml:space="preserve">: colocada;</w:t>
      </w:r>
      <w:r>
        <w:t xml:space="preserve"> </w:t>
      </w:r>
      <m:oMath>
        <m:sSub>
          <m:e>
            <m:r>
              <m:t>Q</m:t>
            </m:r>
          </m:e>
          <m:sub>
            <m:r>
              <m:t>M</m:t>
            </m:r>
          </m:sub>
        </m:sSub>
      </m:oMath>
      <w:r>
        <w:t xml:space="preserve">: medida;</w:t>
      </w:r>
      <w:r>
        <w:t xml:space="preserve"> </w:t>
      </w:r>
      <m:oMath>
        <m:sSub>
          <m:e>
            <m:r>
              <m:t>Q</m:t>
            </m:r>
          </m:e>
          <m:sub>
            <m:r>
              <m:t>P</m:t>
            </m:r>
          </m:sub>
        </m:sSub>
      </m:oMath>
      <w:r>
        <w:t xml:space="preserve">: pagada;</w:t>
      </w:r>
      <w:r>
        <w:t xml:space="preserve"> </w:t>
      </w:r>
      <m:oMath>
        <m:sSub>
          <m:e>
            <m:r>
              <m:t>I</m:t>
            </m:r>
          </m:e>
          <m:sub>
            <m:r>
              <m:t>F</m:t>
            </m:r>
          </m:sub>
        </m:sSub>
      </m:oMath>
      <w:r>
        <w:t xml:space="preserve">: existencia física.</w:t>
      </w:r>
    </w:p>
    <w:p>
      <w:pPr>
        <w:pStyle w:val="BodyText"/>
      </w:pPr>
      <w:r>
        <w:rPr>
          <w:bCs/>
          <w:b/>
        </w:rPr>
        <w:t xml:space="preserve">Aplicación a las inconsistencias del acero de la línea base.</w:t>
      </w:r>
      <w:r>
        <w:t xml:space="preserve"> </w:t>
      </w:r>
      <w:r>
        <w:t xml:space="preserve">La Tabla 39 aplica estos controles, de forma retrospectiva, a los datos documentados del acero. Cada control habría dado una alerta en el mes en que se originó la diferencia, y no al cierre del contrato. El control de cuantía, por ejemplo, habría detectado de inmediato que 12.513,54 kg para 1.109,84 m</w:t>
      </w:r>
      <w:r>
        <w:rPr>
          <w:vertAlign w:val="superscript"/>
        </w:rPr>
        <w:t xml:space="preserve">2</w:t>
      </w:r>
      <w:r>
        <w:t xml:space="preserve"> </w:t>
      </w:r>
      <w:r>
        <w:t xml:space="preserve">equivalen a 11,28 kg/m</w:t>
      </w:r>
      <w:r>
        <w:rPr>
          <w:vertAlign w:val="superscript"/>
        </w:rPr>
        <w:t xml:space="preserve">2</w:t>
      </w:r>
      <w:r>
        <w:t xml:space="preserve">, el triple de la cuantía de la planilla N.</w:t>
      </w:r>
      <w:r>
        <w:rPr>
          <w:vertAlign w:val="superscript"/>
        </w:rPr>
        <w:t xml:space="preserve">o</w:t>
      </w:r>
      <w:r>
        <w:t xml:space="preserve"> 2. Los resultados son alertas que exigen explicación; no prueban por sí mismos un error ni un pago indebido, y deben verificarlos la Supervisión y la Fiscalización.</w:t>
      </w:r>
    </w:p>
    <w:p>
      <w:pPr>
        <w:pStyle w:val="Caption"/>
      </w:pPr>
      <w:bookmarkStart w:id="1453" w:name="tab39"/>
      <w:r>
        <w:t xml:space="preserve"/>
      </w:r>
      <w:r>
        <w:rPr>
          <w:bCs/>
          <w:b/>
        </w:rPr>
        <w:t xml:space="preserve">Tabla 39</w:t>
      </w:r>
      <w:r>
        <w:br/>
      </w:r>
      <w:r>
        <w:rPr>
          <w:iCs/>
          <w:i/>
        </w:rPr>
        <w:t xml:space="preserve">Aplicación retrospectiva de la conciliación al acero de la primera losa</w:t>
      </w:r>
      <w:bookmarkEnd w:id="1453"/>
    </w:p>
    <w:tbl>
      <w:tblPr>
        <w:tblStyle w:val="Table"/>
        <w:tblW w:w="9359" w:type="dxa"/>
        <w:jc w:val="left"/>
        <w:tblLayout w:type="fixed"/>
        <w:tblCellMar>
          <w:top w:w="0" w:type="dxa"/>
          <w:left w:w="85" w:type="dxa"/>
          <w:bottom w:w="0" w:type="dxa"/>
          <w:right w:w="85" w:type="dxa"/>
        </w:tblCellMar>
        <w:tblLook w:firstRow="1" w:lastRow="0" w:firstColumn="0" w:lastColumn="0" w:noHBand="0" w:noVBand="0" w:val="0020"/>
      </w:tblPr>
      <w:tblGrid>
        <w:gridCol w:w="1837"/>
        <w:gridCol w:w="3250"/>
        <w:gridCol w:w="2163"/>
        <w:gridCol w:w="2109"/>
      </w:tblGrid>
      <w:tr>
        <w:trPr>
          <w:cantSplit/>
          <w:tblHeader w:val="true"/>
        </w:trPr>
        <w:tc>
          <w:tcPr>
            <w:tcW w:w="1837" w:type="dxa"/>
            <w:tcBorders>
              <w:top w:val="single" w:sz="8" w:space="0" w:color="000000"/>
              <w:bottom w:val="single" w:sz="4" w:space="0" w:color="000000"/>
            </w:tcBorders>
          </w:tcPr>
          <w:p>
            <w:pPr>
              <w:pStyle w:val="CeldaAPA"/>
              <w:jc w:val="center"/>
            </w:pPr>
            <w:r>
              <w:rPr>
                <w:bCs/>
                <w:b/>
              </w:rPr>
              <w:t xml:space="preserve">Control</w:t>
            </w:r>
          </w:p>
        </w:tc>
        <w:tc>
          <w:tcPr>
            <w:tcW w:w="3250" w:type="dxa"/>
            <w:tcBorders>
              <w:top w:val="single" w:sz="8" w:space="0" w:color="000000"/>
              <w:bottom w:val="single" w:sz="4" w:space="0" w:color="000000"/>
            </w:tcBorders>
          </w:tcPr>
          <w:p>
            <w:pPr>
              <w:pStyle w:val="CeldaAPA"/>
              <w:jc w:val="center"/>
            </w:pPr>
            <w:r>
              <w:rPr>
                <w:bCs/>
                <w:b/>
              </w:rPr>
              <w:t xml:space="preserve">Dato documentado</w:t>
            </w:r>
          </w:p>
        </w:tc>
        <w:tc>
          <w:tcPr>
            <w:tcW w:w="2163" w:type="dxa"/>
            <w:tcBorders>
              <w:top w:val="single" w:sz="8" w:space="0" w:color="000000"/>
              <w:bottom w:val="single" w:sz="4" w:space="0" w:color="000000"/>
            </w:tcBorders>
          </w:tcPr>
          <w:p>
            <w:pPr>
              <w:pStyle w:val="CeldaAPA"/>
              <w:jc w:val="center"/>
            </w:pPr>
            <w:r>
              <w:rPr>
                <w:bCs/>
                <w:b/>
              </w:rPr>
              <w:t xml:space="preserve">Resultado</w:t>
            </w:r>
          </w:p>
        </w:tc>
        <w:tc>
          <w:tcPr>
            <w:tcW w:w="2109" w:type="dxa"/>
            <w:tcBorders>
              <w:top w:val="single" w:sz="8" w:space="0" w:color="000000"/>
              <w:bottom w:val="single" w:sz="4" w:space="0" w:color="000000"/>
            </w:tcBorders>
          </w:tcPr>
          <w:p>
            <w:pPr>
              <w:pStyle w:val="CeldaAPA"/>
              <w:jc w:val="center"/>
            </w:pPr>
            <w:r>
              <w:rPr>
                <w:bCs/>
                <w:b/>
              </w:rPr>
              <w:t xml:space="preserve">Alerta y acción</w:t>
            </w:r>
          </w:p>
        </w:tc>
      </w:tr>
      <w:tr>
        <w:tc>
          <w:tcPr>
            <w:tcW w:w="1837" w:type="dxa"/>
          </w:tcPr>
          <w:p>
            <w:pPr>
              <w:pStyle w:val="CeldaAPA"/>
              <w:jc w:val="left"/>
            </w:pPr>
            <w:r>
              <w:rPr/>
              <w:t xml:space="preserve">Cuantía de acero de la losa</w:t>
            </w:r>
          </w:p>
        </w:tc>
        <w:tc>
          <w:tcPr>
            <w:tcW w:w="3250" w:type="dxa"/>
          </w:tcPr>
          <w:p>
            <w:pPr>
              <w:pStyle w:val="CeldaAPA"/>
              <w:jc w:val="left"/>
            </w:pPr>
            <w:r>
              <w:rPr/>
              <w:t xml:space="preserve">Planilla N.</w:t>
            </w:r>
            <w:r>
              <w:rPr>
                <w:vertAlign w:val="superscript"/>
              </w:rPr>
              <w:t xml:space="preserve">o</w:t>
            </w:r>
            <w:r>
              <w:rPr/>
              <w:t xml:space="preserve"> 2: 1,00 </w:t>
            </w:r>
            <m:oMath>
              <m:r>
                <m:rPr>
                  <m:sty m:val="p"/>
                </m:rPr>
                <m:t>×</m:t>
              </m:r>
            </m:oMath>
            <w:r>
              <w:rPr/>
              <w:t xml:space="preserve"> 4.171,18 kg; cómputo de cierre: 3 </w:t>
            </w:r>
            <m:oMath>
              <m:r>
                <m:rPr>
                  <m:sty m:val="p"/>
                </m:rPr>
                <m:t>×</m:t>
              </m:r>
            </m:oMath>
            <w:r>
              <w:rPr/>
              <w:t xml:space="preserve"> 4.171,18 = 12.513,54 kg; losa medida: 1.109,84 m</w:t>
            </w:r>
            <w:r>
              <w:rPr>
                <w:vertAlign w:val="superscript"/>
              </w:rPr>
              <w:t xml:space="preserve">2</w:t>
            </w:r>
          </w:p>
        </w:tc>
        <w:tc>
          <w:tcPr>
            <w:tcW w:w="2163" w:type="dxa"/>
          </w:tcPr>
          <w:p>
            <w:pPr>
              <w:pStyle w:val="CeldaAPA"/>
              <w:jc w:val="left"/>
            </w:pPr>
            <w:r>
              <w:rPr/>
              <w:t xml:space="preserve">3,76 kg/m</w:t>
            </w:r>
            <w:r>
              <w:rPr>
                <w:vertAlign w:val="superscript"/>
              </w:rPr>
              <w:t xml:space="preserve">2</w:t>
            </w:r>
            <w:r>
              <w:rPr/>
              <w:t xml:space="preserve"> </w:t>
            </w:r>
            <w:r>
              <w:rPr/>
              <w:t xml:space="preserve">frente a 11,28 kg/m</w:t>
            </w:r>
            <w:r>
              <w:rPr>
                <w:vertAlign w:val="superscript"/>
              </w:rPr>
              <w:t xml:space="preserve">2</w:t>
            </w:r>
            <w:r>
              <w:rPr/>
              <w:t xml:space="preserve">: +200 %</w:t>
            </w:r>
          </w:p>
        </w:tc>
        <w:tc>
          <w:tcPr>
            <w:tcW w:w="2109" w:type="dxa"/>
          </w:tcPr>
          <w:p>
            <w:pPr>
              <w:pStyle w:val="CeldaAPA"/>
              <w:jc w:val="left"/>
            </w:pPr>
            <w:r>
              <w:rPr/>
              <w:t xml:space="preserve">Sí: aclarar a qué corresponde el factor 3</w:t>
            </w:r>
          </w:p>
        </w:tc>
      </w:tr>
      <w:tr>
        <w:tc>
          <w:tcPr>
            <w:tcW w:w="1837" w:type="dxa"/>
          </w:tcPr>
          <w:p>
            <w:pPr>
              <w:pStyle w:val="CeldaAPA"/>
              <w:jc w:val="left"/>
            </w:pPr>
            <w:r>
              <w:rPr/>
              <w:t xml:space="preserve">Pago frente a medición</w:t>
            </w:r>
          </w:p>
        </w:tc>
        <w:tc>
          <w:tcPr>
            <w:tcW w:w="3250" w:type="dxa"/>
          </w:tcPr>
          <w:p>
            <w:pPr>
              <w:pStyle w:val="CeldaAPA"/>
              <w:jc w:val="left"/>
            </w:pPr>
            <w:r>
              <w:rPr/>
              <w:t xml:space="preserve">Acumulado pagado: 52.424,65 kg; medición de cierre: 50.509,49 kg</w:t>
            </w:r>
          </w:p>
        </w:tc>
        <w:tc>
          <w:tcPr>
            <w:tcW w:w="2163" w:type="dxa"/>
          </w:tcPr>
          <w:p>
            <w:pPr>
              <w:pStyle w:val="CeldaAPA"/>
              <w:jc w:val="left"/>
            </w:pPr>
            <m:oMath>
              <m:sSub>
                <m:e>
                  <m:r>
                    <m:t>δ</m:t>
                  </m:r>
                </m:e>
                <m:sub>
                  <m:r>
                    <m:t>P</m:t>
                  </m:r>
                  <m:r>
                    <m:rPr>
                      <m:sty m:val="p"/>
                    </m:rPr>
                    <m:t>/</m:t>
                  </m:r>
                  <m:r>
                    <m:t>M</m:t>
                  </m:r>
                </m:sub>
              </m:sSub>
              <m:r>
                <m:rPr>
                  <m:sty m:val="p"/>
                </m:rPr>
                <m:t>=</m:t>
              </m:r>
              <m:r>
                <m:rPr>
                  <m:sty m:val="p"/>
                </m:rPr>
                <m:t>+</m:t>
              </m:r>
              <m:r>
                <m:t>3</m:t>
              </m:r>
              <m:r>
                <m:rPr>
                  <m:sty m:val="p"/>
                </m:rPr>
                <m:t>,</m:t>
              </m:r>
              <m:r>
                <m:t>79</m:t>
              </m:r>
            </m:oMath>
            <w:r>
              <w:rPr/>
              <w:t xml:space="preserve"> % (descuento de 1.915,16 kg)</w:t>
            </w:r>
          </w:p>
        </w:tc>
        <w:tc>
          <w:tcPr>
            <w:tcW w:w="2109" w:type="dxa"/>
          </w:tcPr>
          <w:p>
            <w:pPr>
              <w:pStyle w:val="CeldaAPA"/>
              <w:jc w:val="left"/>
            </w:pPr>
            <w:r>
              <w:rPr/>
              <w:t xml:space="preserve">Sí: conciliar por elemento en cada planilla</w:t>
            </w:r>
          </w:p>
        </w:tc>
      </w:tr>
      <w:tr>
        <w:tc>
          <w:tcPr>
            <w:tcW w:w="1837" w:type="dxa"/>
          </w:tcPr>
          <w:p>
            <w:pPr>
              <w:pStyle w:val="CeldaAPA"/>
              <w:jc w:val="left"/>
            </w:pPr>
            <w:r>
              <w:rPr/>
              <w:t xml:space="preserve">Variación por partidas</w:t>
            </w:r>
          </w:p>
        </w:tc>
        <w:tc>
          <w:tcPr>
            <w:tcW w:w="3250" w:type="dxa"/>
          </w:tcPr>
          <w:p>
            <w:pPr>
              <w:pStyle w:val="CeldaAPA"/>
              <w:jc w:val="left"/>
            </w:pPr>
            <w:r>
              <w:rPr/>
              <w:t xml:space="preserve">La línea de la losa sube 8.342,36 kg y el total baja 1.915,42 kg</w:t>
            </w:r>
          </w:p>
        </w:tc>
        <w:tc>
          <w:tcPr>
            <w:tcW w:w="2163" w:type="dxa"/>
          </w:tcPr>
          <w:p>
            <w:pPr>
              <w:pStyle w:val="CeldaAPA"/>
              <w:jc w:val="left"/>
            </w:pPr>
            <w:r>
              <w:rPr/>
              <w:t xml:space="preserve">Las demás partidas bajan</w:t>
            </w:r>
            <w:r>
              <w:rPr/>
              <w:t xml:space="preserve"> </w:t>
            </w:r>
            <m:oMath>
              <m:r>
                <m:rPr>
                  <m:sty m:val="p"/>
                </m:rPr>
                <m:t>≈</m:t>
              </m:r>
            </m:oMath>
            <w:r>
              <w:rPr/>
              <w:t xml:space="preserve"> 10.257,78 kg sin respaldo línea por línea</w:t>
            </w:r>
          </w:p>
        </w:tc>
        <w:tc>
          <w:tcPr>
            <w:tcW w:w="2109" w:type="dxa"/>
          </w:tcPr>
          <w:p>
            <w:pPr>
              <w:pStyle w:val="CeldaAPA"/>
              <w:jc w:val="left"/>
            </w:pPr>
            <w:r>
              <w:rPr/>
              <w:t xml:space="preserve">Sí: conciliación elemento por elemento</w:t>
            </w:r>
          </w:p>
        </w:tc>
      </w:tr>
      <w:tr>
        <w:tc>
          <w:tcPr>
            <w:tcW w:w="1837" w:type="dxa"/>
          </w:tcPr>
          <w:p>
            <w:pPr>
              <w:pStyle w:val="CeldaAPA"/>
              <w:jc w:val="left"/>
            </w:pPr>
            <w:r>
              <w:rPr/>
              <w:t xml:space="preserve">Coherencia entre documentos</w:t>
            </w:r>
          </w:p>
        </w:tc>
        <w:tc>
          <w:tcPr>
            <w:tcW w:w="3250" w:type="dxa"/>
          </w:tcPr>
          <w:p>
            <w:pPr>
              <w:pStyle w:val="CeldaAPA"/>
              <w:jc w:val="left"/>
            </w:pPr>
            <w:r>
              <w:rPr/>
              <w:t xml:space="preserve">52.424,65; 50.509,49; 50.509,23 y 50.561,84 kg en distintos documentos</w:t>
            </w:r>
          </w:p>
        </w:tc>
        <w:tc>
          <w:tcPr>
            <w:tcW w:w="2163" w:type="dxa"/>
          </w:tcPr>
          <w:p>
            <w:pPr>
              <w:pStyle w:val="CeldaAPA"/>
              <w:jc w:val="left"/>
            </w:pPr>
            <w:r>
              <w:rPr/>
              <w:t xml:space="preserve">Cuatro valores distintos, con 0,26 kg de diferencia entre planilla y cómputo de cierre</w:t>
            </w:r>
          </w:p>
        </w:tc>
        <w:tc>
          <w:tcPr>
            <w:tcW w:w="2109" w:type="dxa"/>
          </w:tcPr>
          <w:p>
            <w:pPr>
              <w:pStyle w:val="CeldaAPA"/>
              <w:jc w:val="left"/>
            </w:pPr>
            <w:r>
              <w:rPr/>
              <w:t xml:space="preserve">Sí: registro único de cantidades</w:t>
            </w:r>
          </w:p>
        </w:tc>
      </w:tr>
      <w:tr>
        <w:tc>
          <w:tcPr>
            <w:tcW w:w="1837" w:type="dxa"/>
            <w:tcBorders>
              <w:bottom w:val="single" w:sz="8" w:space="0" w:color="000000"/>
            </w:tcBorders>
          </w:tcPr>
          <w:p>
            <w:pPr>
              <w:pStyle w:val="CeldaAPA"/>
              <w:jc w:val="left"/>
            </w:pPr>
            <w:r>
              <w:rPr/>
              <w:t xml:space="preserve">Ítem de pago</w:t>
            </w:r>
          </w:p>
        </w:tc>
        <w:tc>
          <w:tcPr>
            <w:tcW w:w="3250" w:type="dxa"/>
            <w:tcBorders>
              <w:bottom w:val="single" w:sz="8" w:space="0" w:color="000000"/>
            </w:tcBorders>
          </w:tcPr>
          <w:p>
            <w:pPr>
              <w:pStyle w:val="CeldaAPA"/>
              <w:jc w:val="left"/>
            </w:pPr>
            <w:r>
              <w:rPr/>
              <w:t xml:space="preserve">Acero de la losa pagado en el ítem 8 (4.171,18 kg) y ET del ítem 13 que incluye la parrilla y los negativos</w:t>
            </w:r>
          </w:p>
        </w:tc>
        <w:tc>
          <w:tcPr>
            <w:tcW w:w="2163" w:type="dxa"/>
            <w:tcBorders>
              <w:bottom w:val="single" w:sz="8" w:space="0" w:color="000000"/>
            </w:tcBorders>
          </w:tcPr>
          <w:p>
            <w:pPr>
              <w:pStyle w:val="CeldaAPA"/>
              <w:jc w:val="left"/>
            </w:pPr>
            <w:r>
              <w:rPr/>
              <w:t xml:space="preserve">Posible doble pago</w:t>
            </w:r>
          </w:p>
        </w:tc>
        <w:tc>
          <w:tcPr>
            <w:tcW w:w="2109" w:type="dxa"/>
            <w:tcBorders>
              <w:bottom w:val="single" w:sz="8" w:space="0" w:color="000000"/>
            </w:tcBorders>
          </w:tcPr>
          <w:p>
            <w:pPr>
              <w:pStyle w:val="CeldaAPA"/>
              <w:jc w:val="left"/>
            </w:pPr>
            <w:r>
              <w:rPr/>
              <w:t xml:space="preserve">Sí: definir el ítem de pago con el APU</w:t>
            </w:r>
          </w:p>
        </w:tc>
      </w:tr>
    </w:tbl>
    <w:p>
      <w:pPr>
        <w:pStyle w:val="NotaAPA"/>
      </w:pPr>
      <w:r>
        <w:rPr>
          <w:iCs/>
          <w:i/>
        </w:rPr>
        <w:t xml:space="preserve">Nota.</w:t>
      </w:r>
      <w:r>
        <w:t xml:space="preserve"> </w:t>
      </w:r>
      <w:r>
        <w:t xml:space="preserve">Elaboración propia (cálculos propios) con base en</w:t>
      </w:r>
      <w:r>
        <w:t xml:space="preserve"> </w:t>
      </w:r>
      <w:r>
        <w:t xml:space="preserve">UATF (2025, pp. 16, 19–20)</w:t>
      </w:r>
      <w:r>
        <w:t xml:space="preserve">,</w:t>
      </w:r>
      <w:r>
        <w:t xml:space="preserve"> </w:t>
      </w:r>
      <w:r>
        <w:t xml:space="preserve">UATF (s. f.-c)</w:t>
      </w:r>
      <w:r>
        <w:t xml:space="preserve"> </w:t>
      </w:r>
      <w:r>
        <w:t xml:space="preserve">(hoja «Cómputos métricos», filas 375 a 541),</w:t>
      </w:r>
      <w:r>
        <w:t xml:space="preserve"> </w:t>
      </w:r>
      <w:r>
        <w:t xml:space="preserve">UATF (s. f.-b, p. 12)</w:t>
      </w:r>
      <w:r>
        <w:t xml:space="preserve"> </w:t>
      </w:r>
      <w:r>
        <w:t xml:space="preserve">y</w:t>
      </w:r>
      <w:r>
        <w:t xml:space="preserve"> </w:t>
      </w:r>
      <w:r>
        <w:t xml:space="preserve">UATF (s. f.-a, p. 3)</w:t>
      </w:r>
      <w:r>
        <w:t xml:space="preserve">.</w:t>
      </w:r>
      <w:r>
        <w:t xml:space="preserve"> </w:t>
      </w:r>
      <m:oMath>
        <m:sSub>
          <m:e>
            <m:r>
              <m:t>δ</m:t>
            </m:r>
          </m:e>
          <m:sub>
            <m:r>
              <m:t>P</m:t>
            </m:r>
            <m:r>
              <m:rPr>
                <m:sty m:val="p"/>
              </m:rPr>
              <m:t>/</m:t>
            </m:r>
            <m:r>
              <m:t>M</m:t>
            </m:r>
          </m:sub>
        </m:sSub>
        <m:r>
          <m:rPr>
            <m:sty m:val="p"/>
          </m:rPr>
          <m:t>=</m:t>
        </m:r>
        <m:d>
          <m:dPr>
            <m:begChr m:val="("/>
            <m:endChr m:val=")"/>
            <m:sepChr m:val=""/>
            <m:grow/>
          </m:dPr>
          <m:e>
            <m:r>
              <m:t>52.424</m:t>
            </m:r>
            <m:r>
              <m:rPr>
                <m:sty m:val="p"/>
              </m:rPr>
              <m:t>,</m:t>
            </m:r>
            <m:r>
              <m:t>65</m:t>
            </m:r>
            <m:r>
              <m:rPr>
                <m:sty m:val="p"/>
              </m:rPr>
              <m:t>−</m:t>
            </m:r>
            <m:r>
              <m:t>50.509</m:t>
            </m:r>
            <m:r>
              <m:rPr>
                <m:sty m:val="p"/>
              </m:rPr>
              <m:t>,</m:t>
            </m:r>
            <m:r>
              <m:t>49</m:t>
            </m:r>
          </m:e>
        </m:d>
        <m:r>
          <m:rPr>
            <m:sty m:val="p"/>
          </m:rPr>
          <m:t>/</m:t>
        </m:r>
        <m:r>
          <m:t>50.509</m:t>
        </m:r>
        <m:r>
          <m:rPr>
            <m:sty m:val="p"/>
          </m:rPr>
          <m:t>,</m:t>
        </m:r>
        <m:r>
          <m:t>49</m:t>
        </m:r>
      </m:oMath>
      <w:r>
        <w:t xml:space="preserve">. Variación de las demás partidas:</w:t>
      </w:r>
      <w:r>
        <w:t xml:space="preserve"> </w:t>
      </w:r>
      <m:oMath>
        <m:r>
          <m:t>8.342</m:t>
        </m:r>
        <m:r>
          <m:rPr>
            <m:sty m:val="p"/>
          </m:rPr>
          <m:t>,</m:t>
        </m:r>
        <m:r>
          <m:t>36</m:t>
        </m:r>
        <m:r>
          <m:rPr>
            <m:sty m:val="p"/>
          </m:rPr>
          <m:t>+</m:t>
        </m:r>
        <m:r>
          <m:t>1.915</m:t>
        </m:r>
        <m:r>
          <m:rPr>
            <m:sty m:val="p"/>
          </m:rPr>
          <m:t>,</m:t>
        </m:r>
        <m:r>
          <m:t>42</m:t>
        </m:r>
        <m:r>
          <m:rPr>
            <m:sty m:val="p"/>
          </m:rPr>
          <m:t>=</m:t>
        </m:r>
        <m:r>
          <m:t>10.257</m:t>
        </m:r>
        <m:r>
          <m:rPr>
            <m:sty m:val="p"/>
          </m:rPr>
          <m:t>,</m:t>
        </m:r>
        <m:r>
          <m:t>78</m:t>
        </m:r>
      </m:oMath>
      <w:r>
        <w:t xml:space="preserve"> kg.</w:t>
      </w:r>
    </w:p>
    <w:p>
      <w:pPr>
        <w:pStyle w:val="Heading4"/>
      </w:pPr>
      <w:bookmarkStart w:id="170" w:name="tit121"/>
      <w:r>
        <w:t xml:space="preserve">2.6.6.8. PCM-05: control del material no conforme.</w:t>
      </w:r>
      <w:bookmarkEnd w:id="170"/>
    </w:p>
    <w:p>
      <w:pPr>
        <w:pStyle w:val="FirstParagraph"/>
      </w:pPr>
      <w:r>
        <w:rPr>
          <w:iCs/>
          <w:i/>
        </w:rPr>
        <w:t xml:space="preserve">Objetivo:</w:t>
      </w:r>
      <w:r>
        <w:t xml:space="preserve"> </w:t>
      </w:r>
      <w:r>
        <w:t xml:space="preserve">impedir que un material no conforme se use por error y dejar constancia de su costo. Todo material rechazado o dudoso se identifica con la tarjeta roja «no conforme — no usar», se separa en una zona exclusiva y se registra en el formato C.5. La disposición la decide el encargado de calidad y, si afecta a requisitos del contrato, la Supervisión: devolución al proveedor, reclasificación para un uso menor aprobado (por ejemplo, piezas de EPS cortadas para bordes), aceptación bajo concesión escrita o descarte. Una vigueta fisurada no se repara ni se coloca. El costo del material no conforme y de su reposición se registra como falla interna en la planilla de costos de la calidad (Sección 2.6.9), y el reclamo al proveedor alimenta su evaluación. Si la no conformidad se detecta después de colocado el material, el paño queda retenido y se aplica el control de salidas no conformes.</w:t>
      </w:r>
    </w:p>
    <w:p>
      <w:pPr>
        <w:pStyle w:val="Heading4"/>
      </w:pPr>
      <w:bookmarkStart w:id="171" w:name="tit122"/>
      <w:r>
        <w:t xml:space="preserve">2.6.6.9. Control de calidad del hormigón de la carpeta y de los nervios.</w:t>
      </w:r>
      <w:bookmarkEnd w:id="171"/>
    </w:p>
    <w:p>
      <w:pPr>
        <w:pStyle w:val="FirstParagraph"/>
      </w:pPr>
      <w:r>
        <w:t xml:space="preserve">El hormigón de la losa es H25 (</w:t>
      </w:r>
      <m:oMath>
        <m:r>
          <m:t>f</m:t>
        </m:r>
        <m:sSub>
          <m:e>
            <m:r>
              <m:rPr>
                <m:sty m:val="p"/>
              </m:rPr>
              <m:t>′</m:t>
            </m:r>
          </m:e>
          <m:sub>
            <m:r>
              <m:t>c</m:t>
            </m:r>
          </m:sub>
        </m:sSub>
        <m:r>
          <m:rPr>
            <m:sty m:val="p"/>
          </m:rPr>
          <m:t>=</m:t>
        </m:r>
        <m:r>
          <m:t>250</m:t>
        </m:r>
      </m:oMath>
      <w:r>
        <w:t xml:space="preserve"> kg/cm</w:t>
      </w:r>
      <w:r>
        <w:rPr>
          <w:vertAlign w:val="superscript"/>
        </w:rPr>
        <w:t xml:space="preserve">2</w:t>
      </w:r>
      <w:r>
        <w:t xml:space="preserve"> </w:t>
      </w:r>
      <m:oMath>
        <m:r>
          <m:rPr>
            <m:sty m:val="p"/>
          </m:rPr>
          <m:t>≈</m:t>
        </m:r>
      </m:oMath>
      <w:r>
        <w:t xml:space="preserve"> </w:t>
      </w:r>
      <w:r>
        <w:t xml:space="preserve">24,5 MPa; al menos 400 kg/m</w:t>
      </w:r>
      <w:r>
        <w:rPr>
          <w:vertAlign w:val="superscript"/>
        </w:rPr>
        <w:t xml:space="preserve">3</w:t>
      </w:r>
      <w:r>
        <w:t xml:space="preserve"> </w:t>
      </w:r>
      <w:r>
        <w:t xml:space="preserve">de cemento) y se vacía monolíticamente con las vigas</w:t>
      </w:r>
      <w:r>
        <w:t xml:space="preserve"> </w:t>
      </w:r>
      <w:r>
        <w:t xml:space="preserve">(UATF, s. f.-a, pp. 3–4)</w:t>
      </w:r>
      <w:r>
        <w:t xml:space="preserve">. Su control responde a la brecha B1 con los requisitos del capítulo 26 del ACI 318-25, base de la NB 1225001-1:2017.</w:t>
      </w:r>
      <w:r>
        <w:t xml:space="preserve"> </w:t>
      </w:r>
      <w:r>
        <w:rPr>
          <w:iCs/>
          <w:i/>
        </w:rPr>
        <w:t xml:space="preserve">Dosificación:</w:t>
      </w:r>
      <w:r>
        <w:t xml:space="preserve"> </w:t>
      </w:r>
      <w:r>
        <w:t xml:space="preserve">antes del primer vaciado la contratista presenta la dosificación con evidencia de ensayos o pastones de prueba</w:t>
      </w:r>
      <w:r>
        <w:t xml:space="preserve"> </w:t>
      </w:r>
      <w:r>
        <w:t xml:space="preserve">(ACI Committee 318, 2025, Sección 26.4.4.1)</w:t>
      </w:r>
      <w:r>
        <w:t xml:space="preserve">; un cambio de cemento, áridos o aditivos es una mezcla distinta y exige nueva aprobación</w:t>
      </w:r>
      <w:r>
        <w:t xml:space="preserve"> </w:t>
      </w:r>
      <w:r>
        <w:t xml:space="preserve">(ACI Committee 318, 2025, Sección R26.4.3.1)</w:t>
      </w:r>
      <w:r>
        <w:t xml:space="preserve">.</w:t>
      </w:r>
      <w:r>
        <w:t xml:space="preserve"> </w:t>
      </w:r>
      <w:r>
        <w:rPr>
          <w:iCs/>
          <w:i/>
        </w:rPr>
        <w:t xml:space="preserve">Producción:</w:t>
      </w:r>
      <w:r>
        <w:t xml:space="preserve"> </w:t>
      </w:r>
      <w:r>
        <w:t xml:space="preserve">el hormigón elaborado en obra se dosifica y mezcla según ASTM C94 o C685</w:t>
      </w:r>
      <w:r>
        <w:t xml:space="preserve"> </w:t>
      </w:r>
      <w:r>
        <w:t xml:space="preserve">(ACI Committee 318, 2025, Sección 26.5.1.1)</w:t>
      </w:r>
      <w:r>
        <w:t xml:space="preserve">, con control del número de bolsas por pastón.</w:t>
      </w:r>
      <w:r>
        <w:t xml:space="preserve"> </w:t>
      </w:r>
      <w:r>
        <w:rPr>
          <w:iCs/>
          <w:i/>
        </w:rPr>
        <w:t xml:space="preserve">Muestreo:</w:t>
      </w:r>
      <w:r>
        <w:t xml:space="preserve"> </w:t>
      </w:r>
      <w:r>
        <w:t xml:space="preserve">un ensayo de resistencia es el promedio de al menos dos cilindros de 15 </w:t>
      </w:r>
      <m:oMath>
        <m:r>
          <m:rPr>
            <m:sty m:val="p"/>
          </m:rPr>
          <m:t>×</m:t>
        </m:r>
      </m:oMath>
      <w:r>
        <w:t xml:space="preserve"> 30 cm de una misma muestra tomada según ASTM C172 en el punto de entrega, curados según ASTM C31 y ensayados según ASTM C39 a 28 días, por técnicos certificados</w:t>
      </w:r>
      <w:r>
        <w:t xml:space="preserve"> </w:t>
      </w:r>
      <w:r>
        <w:t xml:space="preserve">(ACI Committee 318, 2025, Sección 26.12.1.1)</w:t>
      </w:r>
      <w:r>
        <w:t xml:space="preserve">; los pastones se eligen al azar antes del vaciado, no por su apariencia ni por conveniencia</w:t>
      </w:r>
      <w:r>
        <w:t xml:space="preserve"> </w:t>
      </w:r>
      <w:r>
        <w:t xml:space="preserve">(ACI Committee 318, 2025, Sección R26.12.2.1)</w:t>
      </w:r>
      <w:r>
        <w:t xml:space="preserve">.</w:t>
      </w:r>
      <w:r>
        <w:t xml:space="preserve"> </w:t>
      </w:r>
      <w:r>
        <w:rPr>
          <w:iCs/>
          <w:i/>
        </w:rPr>
        <w:t xml:space="preserve">Aceptación:</w:t>
      </w:r>
      <w:r>
        <w:t xml:space="preserve"> </w:t>
      </w:r>
      <w:r>
        <w:t xml:space="preserve">todo promedio de tres ensayos consecutivos debe ser</w:t>
      </w:r>
      <w:r>
        <w:t xml:space="preserve"> </w:t>
      </w:r>
      <m:oMath>
        <m:r>
          <m:rPr>
            <m:sty m:val="p"/>
          </m:rPr>
          <m:t>≥</m:t>
        </m:r>
        <m:r>
          <m:t>f</m:t>
        </m:r>
        <m:sSub>
          <m:e>
            <m:r>
              <m:rPr>
                <m:sty m:val="p"/>
              </m:rPr>
              <m:t>′</m:t>
            </m:r>
          </m:e>
          <m:sub>
            <m:r>
              <m:t>c</m:t>
            </m:r>
          </m:sub>
        </m:sSub>
      </m:oMath>
      <w:r>
        <w:t xml:space="preserve"> </w:t>
      </w:r>
      <w:r>
        <w:t xml:space="preserve">y ningún ensayo puede quedar por debajo de</w:t>
      </w:r>
      <w:r>
        <w:t xml:space="preserve"> </w:t>
      </w:r>
      <m:oMath>
        <m:r>
          <m:t>f</m:t>
        </m:r>
        <m:sSub>
          <m:e>
            <m:r>
              <m:rPr>
                <m:sty m:val="p"/>
              </m:rPr>
              <m:t>′</m:t>
            </m:r>
          </m:e>
          <m:sub>
            <m:r>
              <m:t>c</m:t>
            </m:r>
          </m:sub>
        </m:sSub>
      </m:oMath>
      <w:r>
        <w:t xml:space="preserve"> </w:t>
      </w:r>
      <w:r>
        <w:t xml:space="preserve">en más de 500 psi (3,45 MPa)</w:t>
      </w:r>
      <w:r>
        <w:t xml:space="preserve"> </w:t>
      </w:r>
      <w:r>
        <w:t xml:space="preserve">(ACI Committee 318, 2025, Sección 26.12.3.1)</w:t>
      </w:r>
      <w:r>
        <w:t xml:space="preserve">; para el H25 el límite individual es</w:t>
      </w:r>
      <w:r>
        <w:t xml:space="preserve"> </w:t>
      </w:r>
      <m:oMath>
        <m:r>
          <m:rPr>
            <m:sty m:val="p"/>
          </m:rPr>
          <m:t>≈</m:t>
        </m:r>
      </m:oMath>
      <w:r>
        <w:t xml:space="preserve"> 215 kg/cm</w:t>
      </w:r>
      <w:r>
        <w:rPr>
          <w:vertAlign w:val="superscript"/>
        </w:rPr>
        <w:t xml:space="preserve">2</w:t>
      </w:r>
      <w:r>
        <w:t xml:space="preserve">, y no se aceptan resistencias «proyectadas» desde otras edades.</w:t>
      </w:r>
      <w:r>
        <w:t xml:space="preserve"> </w:t>
      </w:r>
      <w:r>
        <w:rPr>
          <w:iCs/>
          <w:i/>
        </w:rPr>
        <w:t xml:space="preserve">Resultados bajos:</w:t>
      </w:r>
      <w:r>
        <w:t xml:space="preserve"> </w:t>
      </w:r>
      <w:r>
        <w:t xml:space="preserve">si falla el criterio de los promedios se ajustan la dosificación, el control del agua o la calidad del ensayo; si un ensayo queda bajo el límite individual se investiga la resistencia en el lugar con tres núcleos por ensayo bajo, aceptables si su promedio alcanza el 85 % de</w:t>
      </w:r>
      <w:r>
        <w:t xml:space="preserve"> </w:t>
      </w:r>
      <m:oMath>
        <m:r>
          <m:t>f</m:t>
        </m:r>
        <m:sSub>
          <m:e>
            <m:r>
              <m:rPr>
                <m:sty m:val="p"/>
              </m:rPr>
              <m:t>′</m:t>
            </m:r>
          </m:e>
          <m:sub>
            <m:r>
              <m:t>c</m:t>
            </m:r>
          </m:sub>
        </m:sSub>
      </m:oMath>
      <w:r>
        <w:t xml:space="preserve"> </w:t>
      </w:r>
      <w:r>
        <w:t xml:space="preserve">y ningún núcleo baja del 75 %</w:t>
      </w:r>
      <w:r>
        <w:t xml:space="preserve"> </w:t>
      </w:r>
      <w:r>
        <w:t xml:space="preserve">(ACI Committee 318, 2025, Sección 26.12.7.1, p. 606)</w:t>
      </w:r>
      <w:r>
        <w:t xml:space="preserve">. Los informes del laboratorio se entregan a la Supervisión y a la contratista y se registran por paño y vaciado.</w:t>
      </w:r>
    </w:p>
    <w:p>
      <w:pPr>
        <w:pStyle w:val="BodyText"/>
      </w:pPr>
      <w:r>
        <w:t xml:space="preserve">El número mínimo de ensayos de resistencia por losa es</w:t>
      </w:r>
    </w:p>
    <w:tbl>
      <w:tblPr>
        <w:tblW w:w="9360" w:type="dxa"/>
        <w:tblLayout w:type="fixed"/>
        <w:tblCellMar>
          <w:left w:w="0" w:type="dxa"/>
          <w:right w:w="0" w:type="dxa"/>
        </w:tblCellMar>
        <w:tblLook w:val="0000" w:firstRow="0" w:lastRow="0" w:firstColumn="0" w:lastColumn="0" w:noHBand="1" w:noVBand="1"/>
        <w:tblCaption w:val="Ecuación"/>
      </w:tblPr>
      <w:tblGrid>
        <w:gridCol w:w="1134"/>
        <w:gridCol w:w="7092"/>
        <w:gridCol w:w="1134"/>
      </w:tblGrid>
      <w:tr>
        <w:trPr>
          <w:cantSplit/>
        </w:trPr>
        <w:tc>
          <w:tcPr>
            <w:tcW w:w="1134" w:type="dxa"/>
            <w:vAlign w:val="center"/>
          </w:tcPr>
          <w:p>
            <w:pPr>
              <w:pStyle w:val="EcuacionAPA"/>
            </w:pPr>
          </w:p>
        </w:tc>
        <w:tc>
          <w:tcPr>
            <w:tcW w:w="7092" w:type="dxa"/>
            <w:vAlign w:val="center"/>
          </w:tcPr>
          <w:p>
            <w:pPr>
              <w:pStyle w:val="EcuacionAPA"/>
            </w:pPr>
            <m:oMathPara>
              <m:oMathParaPr>
                <m:jc m:val="center"/>
              </m:oMathParaPr>
              <m:oMath>
                <m:sSub>
                  <m:e>
                    <m:r>
                      <m:t>n</m:t>
                    </m:r>
                  </m:e>
                  <m:sub>
                    <m:r>
                      <m:rPr>
                        <m:nor/>
                        <m:sty m:val="p"/>
                      </m:rPr>
                      <m:t>mín</m:t>
                    </m:r>
                  </m:sub>
                </m:sSub>
                <m:r>
                  <m:rPr>
                    <m:sty m:val="p"/>
                  </m:rPr>
                  <m:t>=</m:t>
                </m:r>
                <m:r>
                  <m:rPr>
                    <m:sty m:val="p"/>
                  </m:rPr>
                  <m:t>max</m:t>
                </m:r>
                <m:d>
                  <m:dPr>
                    <m:begChr m:val="{"/>
                    <m:endChr m:val="}"/>
                    <m:sepChr m:val=""/>
                    <m:grow/>
                  </m:dPr>
                  <m:e>
                    <m:r>
                      <m:t> </m:t>
                    </m:r>
                    <m:sSub>
                      <m:e>
                        <m:r>
                          <m:t>n</m:t>
                        </m:r>
                      </m:e>
                      <m:sub>
                        <m:r>
                          <m:t>d</m:t>
                        </m:r>
                      </m:sub>
                    </m:sSub>
                    <m:r>
                      <m:rPr>
                        <m:sty m:val="p"/>
                      </m:rPr>
                      <m:t>,</m:t>
                    </m:r>
                    <m:r>
                      <m:t> </m:t>
                    </m:r>
                    <m:d>
                      <m:dPr>
                        <m:begChr m:val="⌈"/>
                        <m:endChr m:val="⌉"/>
                        <m:sepChr m:val=""/>
                        <m:grow/>
                      </m:dPr>
                      <m:e>
                        <m:f>
                          <m:fPr>
                            <m:type m:val="bar"/>
                          </m:fPr>
                          <m:num>
                            <m:r>
                              <m:t>V</m:t>
                            </m:r>
                          </m:num>
                          <m:den>
                            <m:r>
                              <m:t>114</m:t>
                            </m:r>
                            <m:r>
                              <m:rPr>
                                <m:sty m:val="p"/>
                              </m:rPr>
                              <m:t>,</m:t>
                            </m:r>
                            <m:r>
                              <m:t>7</m:t>
                            </m:r>
                          </m:den>
                        </m:f>
                      </m:e>
                    </m:d>
                    <m:r>
                      <m:rPr>
                        <m:sty m:val="p"/>
                      </m:rPr>
                      <m:t>,</m:t>
                    </m:r>
                    <m:r>
                      <m:t> </m:t>
                    </m:r>
                    <m:d>
                      <m:dPr>
                        <m:begChr m:val="⌈"/>
                        <m:endChr m:val="⌉"/>
                        <m:sepChr m:val=""/>
                        <m:grow/>
                      </m:dPr>
                      <m:e>
                        <m:f>
                          <m:fPr>
                            <m:type m:val="bar"/>
                          </m:fPr>
                          <m:num>
                            <m:r>
                              <m:t>A</m:t>
                            </m:r>
                          </m:num>
                          <m:den>
                            <m:r>
                              <m:t>464</m:t>
                            </m:r>
                            <m:r>
                              <m:rPr>
                                <m:sty m:val="p"/>
                              </m:rPr>
                              <m:t>,</m:t>
                            </m:r>
                            <m:r>
                              <m:t>5</m:t>
                            </m:r>
                          </m:den>
                        </m:f>
                      </m:e>
                    </m:d>
                    <m:r>
                      <m:rPr>
                        <m:sty m:val="p"/>
                      </m:rPr>
                      <m:t>,</m:t>
                    </m:r>
                    <m:r>
                      <m:t> </m:t>
                    </m:r>
                    <m:r>
                      <m:t>5</m:t>
                    </m:r>
                    <m:r>
                      <m:t> </m:t>
                    </m:r>
                  </m:e>
                </m:d>
              </m:oMath>
            </m:oMathPara>
          </w:p>
        </w:tc>
        <w:tc>
          <w:tcPr>
            <w:tcW w:w="1134" w:type="dxa"/>
            <w:vAlign w:val="center"/>
          </w:tcPr>
          <w:p>
            <w:pPr>
              <w:pStyle w:val="EcuacionAPA"/>
              <w:jc w:val="right"/>
            </w:pPr>
            <w:r>
              <w:t>(14)</w:t>
            </w:r>
          </w:p>
        </w:tc>
      </w:tr>
    </w:tbl>
    <w:p>
      <w:pPr>
        <w:pStyle w:val="FirstParagraph"/>
        <w:ind w:firstLine="0"/>
      </w:pPr>
      <w:r>
        <w:t xml:space="preserve"/>
      </w:r>
      <w:r>
        <w:t xml:space="preserve"/>
      </w:r>
      <w:r>
        <w:t xml:space="preserve">donde</w:t>
      </w:r>
      <w:r>
        <w:t xml:space="preserve"> </w:t>
      </w:r>
      <m:oMath>
        <m:sSub>
          <m:e>
            <m:r>
              <m:t>n</m:t>
            </m:r>
          </m:e>
          <m:sub>
            <m:r>
              <m:t>d</m:t>
            </m:r>
          </m:sub>
        </m:sSub>
      </m:oMath>
      <w:r>
        <w:t xml:space="preserve"> </w:t>
      </w:r>
      <w:r>
        <w:t xml:space="preserve">es el número de días de vaciado de la mezcla,</w:t>
      </w:r>
      <w:r>
        <w:t xml:space="preserve"> </w:t>
      </w:r>
      <m:oMath>
        <m:r>
          <m:t>V</m:t>
        </m:r>
      </m:oMath>
      <w:r>
        <w:t xml:space="preserve"> </w:t>
      </w:r>
      <w:r>
        <w:t xml:space="preserve">el volumen vaciado (m</w:t>
      </w:r>
      <w:r>
        <w:rPr>
          <w:vertAlign w:val="superscript"/>
        </w:rPr>
        <w:t xml:space="preserve">3</w:t>
      </w:r>
      <w:r>
        <w:t xml:space="preserve">),</w:t>
      </w:r>
      <w:r>
        <w:t xml:space="preserve"> </w:t>
      </w:r>
      <m:oMath>
        <m:r>
          <m:t>A</m:t>
        </m:r>
      </m:oMath>
      <w:r>
        <w:t xml:space="preserve"> </w:t>
      </w:r>
      <w:r>
        <w:t xml:space="preserve">la superficie de losa (m</w:t>
      </w:r>
      <w:r>
        <w:rPr>
          <w:vertAlign w:val="superscript"/>
        </w:rPr>
        <w:t xml:space="preserve">2</w:t>
      </w:r>
      <w:r>
        <w:t xml:space="preserve">), 114,7 m</w:t>
      </w:r>
      <w:r>
        <w:rPr>
          <w:vertAlign w:val="superscript"/>
        </w:rPr>
        <w:t xml:space="preserve">3</w:t>
      </w:r>
      <w:r>
        <w:t xml:space="preserve"> </w:t>
      </w:r>
      <w:r>
        <w:t xml:space="preserve">equivale a 150 yd</w:t>
      </w:r>
      <w:r>
        <w:rPr>
          <w:vertAlign w:val="superscript"/>
        </w:rPr>
        <w:t xml:space="preserve">3</w:t>
      </w:r>
      <w:r>
        <w:t xml:space="preserve">, 464,5 m</w:t>
      </w:r>
      <w:r>
        <w:rPr>
          <w:vertAlign w:val="superscript"/>
        </w:rPr>
        <w:t xml:space="preserve">2</w:t>
      </w:r>
      <w:r>
        <w:t xml:space="preserve"> </w:t>
      </w:r>
      <w:r>
        <w:t xml:space="preserve">a 5.000 ft</w:t>
      </w:r>
      <w:r>
        <w:rPr>
          <w:vertAlign w:val="superscript"/>
        </w:rPr>
        <w:t xml:space="preserve">2</w:t>
      </w:r>
      <w:r>
        <w:t xml:space="preserve">, y 5 es el número mínimo de ensayos que el SGC adopta por losa. Las tres primeras frecuencias son las del código</w:t>
      </w:r>
      <w:r>
        <w:t xml:space="preserve"> </w:t>
      </w:r>
      <w:r>
        <w:t xml:space="preserve">(ACI Committee 318, 2025, Sección 26.12.2.1)</w:t>
      </w:r>
      <w:r>
        <w:t xml:space="preserve">. El mínimo de cinco ensayos responde a que, si la frecuencia da menos de cinco ensayos para una mezcla, el código exige muestrear al menos cinco pastones elegidos al azar; además, cinco ensayos por losa permiten evaluar tres promedios móviles de tres ensayos consecutivos dentro de cada losa. La Tabla 40 aplica la ecuación a una losa de</w:t>
      </w:r>
      <w:r>
        <w:t xml:space="preserve"> </w:t>
      </w:r>
      <m:oMath>
        <m:r>
          <m:rPr>
            <m:sty m:val="p"/>
          </m:rPr>
          <m:t>≈</m:t>
        </m:r>
      </m:oMath>
      <w:r>
        <w:t xml:space="preserve"> 1.117,30 m</w:t>
      </w:r>
      <w:r>
        <w:rPr>
          <w:vertAlign w:val="superscript"/>
        </w:rPr>
        <w:t xml:space="preserve">2</w:t>
      </w:r>
      <w:r>
        <w:t xml:space="preserve">.</w:t>
      </w:r>
    </w:p>
    <w:p>
      <w:pPr>
        <w:pStyle w:val="Caption"/>
      </w:pPr>
      <w:bookmarkStart w:id="1454" w:name="tab40"/>
      <w:r>
        <w:t xml:space="preserve"/>
      </w:r>
      <w:r>
        <w:rPr>
          <w:bCs/>
          <w:b/>
        </w:rPr>
        <w:t xml:space="preserve">Tabla 40</w:t>
      </w:r>
      <w:r>
        <w:br/>
      </w:r>
      <w:r>
        <w:rPr>
          <w:iCs/>
          <w:i/>
        </w:rPr>
        <w:t xml:space="preserve">Número mínimo de ensayos de resistencia para una losa de 1.117,30 m</w:t>
      </w:r>
      <w:r>
        <w:rPr>
          <w:vertAlign w:val="superscript"/>
          <w:iCs/>
          <w:i/>
        </w:rPr>
        <w:t xml:space="preserve">2</w:t>
      </w:r>
      <w:bookmarkEnd w:id="1454"/>
    </w:p>
    <w:tbl>
      <w:tblPr>
        <w:tblStyle w:val="Table"/>
        <w:tblW w:w="9360" w:type="dxa"/>
        <w:jc w:val="left"/>
        <w:tblLayout w:type="fixed"/>
        <w:tblCellMar>
          <w:top w:w="0" w:type="dxa"/>
          <w:left w:w="85" w:type="dxa"/>
          <w:bottom w:w="0" w:type="dxa"/>
          <w:right w:w="85" w:type="dxa"/>
        </w:tblCellMar>
        <w:tblLook w:firstRow="1" w:lastRow="0" w:firstColumn="0" w:lastColumn="0" w:noHBand="0" w:noVBand="0" w:val="0020"/>
      </w:tblPr>
      <w:tblGrid>
        <w:gridCol w:w="2086"/>
        <w:gridCol w:w="2370"/>
        <w:gridCol w:w="3611"/>
        <w:gridCol w:w="1293"/>
      </w:tblGrid>
      <w:tr>
        <w:trPr>
          <w:cantSplit/>
          <w:tblHeader w:val="true"/>
        </w:trPr>
        <w:tc>
          <w:tcPr>
            <w:tcW w:w="2086" w:type="dxa"/>
            <w:tcBorders>
              <w:top w:val="single" w:sz="8" w:space="0" w:color="000000"/>
              <w:bottom w:val="single" w:sz="4" w:space="0" w:color="000000"/>
            </w:tcBorders>
          </w:tcPr>
          <w:p>
            <w:pPr>
              <w:pStyle w:val="CeldaAPA"/>
              <w:jc w:val="center"/>
            </w:pPr>
            <w:r>
              <w:rPr>
                <w:bCs/>
                <w:b/>
              </w:rPr>
              <w:t xml:space="preserve">Criterio</w:t>
            </w:r>
          </w:p>
        </w:tc>
        <w:tc>
          <w:tcPr>
            <w:tcW w:w="2370" w:type="dxa"/>
            <w:tcBorders>
              <w:top w:val="single" w:sz="8" w:space="0" w:color="000000"/>
              <w:bottom w:val="single" w:sz="4" w:space="0" w:color="000000"/>
            </w:tcBorders>
          </w:tcPr>
          <w:p>
            <w:pPr>
              <w:pStyle w:val="CeldaAPA"/>
              <w:jc w:val="center"/>
            </w:pPr>
            <w:r>
              <w:rPr>
                <w:bCs/>
                <w:b/>
              </w:rPr>
              <w:t xml:space="preserve">Regla</w:t>
            </w:r>
          </w:p>
        </w:tc>
        <w:tc>
          <w:tcPr>
            <w:tcW w:w="3611" w:type="dxa"/>
            <w:tcBorders>
              <w:top w:val="single" w:sz="8" w:space="0" w:color="000000"/>
              <w:bottom w:val="single" w:sz="4" w:space="0" w:color="000000"/>
            </w:tcBorders>
          </w:tcPr>
          <w:p>
            <w:pPr>
              <w:pStyle w:val="CeldaAPA"/>
              <w:jc w:val="center"/>
            </w:pPr>
            <w:r>
              <w:rPr>
                <w:bCs/>
                <w:b/>
              </w:rPr>
              <w:t xml:space="preserve">Cálculo</w:t>
            </w:r>
          </w:p>
        </w:tc>
        <w:tc>
          <w:tcPr>
            <w:tcW w:w="1293" w:type="dxa"/>
            <w:tcBorders>
              <w:top w:val="single" w:sz="8" w:space="0" w:color="000000"/>
              <w:bottom w:val="single" w:sz="4" w:space="0" w:color="000000"/>
            </w:tcBorders>
          </w:tcPr>
          <w:p>
            <w:pPr>
              <w:pStyle w:val="CeldaAPA"/>
              <w:jc w:val="center"/>
            </w:pPr>
            <w:r>
              <w:rPr>
                <w:bCs/>
                <w:b/>
              </w:rPr>
              <w:t xml:space="preserve">Ensayos</w:t>
            </w:r>
          </w:p>
        </w:tc>
      </w:tr>
      <w:tr>
        <w:tc>
          <w:tcPr>
            <w:tcW w:w="2086" w:type="dxa"/>
          </w:tcPr>
          <w:p>
            <w:pPr>
              <w:pStyle w:val="CeldaAPA"/>
              <w:jc w:val="left"/>
            </w:pPr>
            <w:r>
              <w:rPr/>
              <w:t xml:space="preserve">Diario</w:t>
            </w:r>
          </w:p>
        </w:tc>
        <w:tc>
          <w:tcPr>
            <w:tcW w:w="2370" w:type="dxa"/>
          </w:tcPr>
          <w:p>
            <w:pPr>
              <w:pStyle w:val="CeldaAPA"/>
              <w:jc w:val="left"/>
            </w:pPr>
            <w:r>
              <w:rPr/>
              <w:t xml:space="preserve">Al menos una muestra por día de vaciado de la mezcla</w:t>
            </w:r>
          </w:p>
        </w:tc>
        <w:tc>
          <w:tcPr>
            <w:tcW w:w="3611" w:type="dxa"/>
          </w:tcPr>
          <w:p>
            <w:pPr>
              <w:pStyle w:val="CeldaAPA"/>
              <w:jc w:val="left"/>
            </w:pPr>
            <m:oMath>
              <m:sSub>
                <m:e>
                  <m:r>
                    <m:t>n</m:t>
                  </m:r>
                </m:e>
                <m:sub>
                  <m:r>
                    <m:t>d</m:t>
                  </m:r>
                </m:sub>
              </m:sSub>
            </m:oMath>
            <w:r>
              <w:rPr/>
              <w:t xml:space="preserve"> </w:t>
            </w:r>
            <w:r>
              <w:rPr/>
              <w:t xml:space="preserve">días según el programa de vaciado por franjas</w:t>
            </w:r>
          </w:p>
        </w:tc>
        <w:tc>
          <w:tcPr>
            <w:tcW w:w="1293" w:type="dxa"/>
          </w:tcPr>
          <w:p>
            <w:pPr>
              <w:pStyle w:val="CeldaAPA"/>
              <w:jc w:val="center"/>
            </w:pPr>
            <m:oMath>
              <m:r>
                <m:rPr>
                  <m:sty m:val="p"/>
                </m:rPr>
                <m:t>≥</m:t>
              </m:r>
              <m:sSub>
                <m:e>
                  <m:r>
                    <m:t>n</m:t>
                  </m:r>
                </m:e>
                <m:sub>
                  <m:r>
                    <m:t>d</m:t>
                  </m:r>
                </m:sub>
              </m:sSub>
            </m:oMath>
          </w:p>
        </w:tc>
      </w:tr>
      <w:tr>
        <w:tc>
          <w:tcPr>
            <w:tcW w:w="2086" w:type="dxa"/>
          </w:tcPr>
          <w:p>
            <w:pPr>
              <w:pStyle w:val="CeldaAPA"/>
              <w:jc w:val="left"/>
            </w:pPr>
            <w:r>
              <w:rPr/>
              <w:t xml:space="preserve">(ii) Volumen</w:t>
            </w:r>
          </w:p>
        </w:tc>
        <w:tc>
          <w:tcPr>
            <w:tcW w:w="2370" w:type="dxa"/>
          </w:tcPr>
          <w:p>
            <w:pPr>
              <w:pStyle w:val="CeldaAPA"/>
              <w:jc w:val="left"/>
            </w:pPr>
            <w:r>
              <w:rPr/>
              <w:t xml:space="preserve">Una muestra por cada 150 yd</w:t>
            </w:r>
            <w:r>
              <w:rPr>
                <w:vertAlign w:val="superscript"/>
              </w:rPr>
              <w:t xml:space="preserve">3</w:t>
            </w:r>
            <w:r>
              <w:rPr/>
              <w:t xml:space="preserve"> </w:t>
            </w:r>
            <w:r>
              <w:rPr/>
              <w:t xml:space="preserve">(114,7 m</w:t>
            </w:r>
            <w:r>
              <w:rPr>
                <w:vertAlign w:val="superscript"/>
              </w:rPr>
              <w:t xml:space="preserve">3</w:t>
            </w:r>
            <w:r>
              <w:rPr/>
              <w:t xml:space="preserve">)</w:t>
            </w:r>
          </w:p>
        </w:tc>
        <w:tc>
          <w:tcPr>
            <w:tcW w:w="3611" w:type="dxa"/>
          </w:tcPr>
          <w:p>
            <w:pPr>
              <w:pStyle w:val="CeldaAPA"/>
              <w:jc w:val="left"/>
            </w:pPr>
            <w:r>
              <w:rPr/>
              <w:t xml:space="preserve">Solo la carpeta suma</w:t>
            </w:r>
            <w:r>
              <w:rPr/>
              <w:t xml:space="preserve"> </w:t>
            </w:r>
            <m:oMath>
              <m:r>
                <m:t>0</m:t>
              </m:r>
              <m:r>
                <m:rPr>
                  <m:sty m:val="p"/>
                </m:rPr>
                <m:t>,</m:t>
              </m:r>
              <m:r>
                <m:t>05</m:t>
              </m:r>
              <m:r>
                <m:rPr>
                  <m:sty m:val="p"/>
                </m:rPr>
                <m:t>×</m:t>
              </m:r>
              <m:r>
                <m:t>1.117</m:t>
              </m:r>
              <m:r>
                <m:rPr>
                  <m:sty m:val="p"/>
                </m:rPr>
                <m:t>,</m:t>
              </m:r>
              <m:r>
                <m:t>30</m:t>
              </m:r>
              <m:r>
                <m:rPr>
                  <m:sty m:val="p"/>
                </m:rPr>
                <m:t>=</m:t>
              </m:r>
              <m:r>
                <m:t>55</m:t>
              </m:r>
              <m:r>
                <m:rPr>
                  <m:sty m:val="p"/>
                </m:rPr>
                <m:t>,</m:t>
              </m:r>
              <m:r>
                <m:t>9</m:t>
              </m:r>
            </m:oMath>
            <w:r>
              <w:rPr/>
              <w:t xml:space="preserve"> m</w:t>
            </w:r>
            <w:r>
              <w:rPr>
                <w:vertAlign w:val="superscript"/>
              </w:rPr>
              <w:t xml:space="preserve">3</w:t>
            </w:r>
            <w:r>
              <w:rPr/>
              <w:t xml:space="preserve">; con nervios y vigas,</w:t>
            </w:r>
            <w:r>
              <w:rPr/>
              <w:t xml:space="preserve"> </w:t>
            </w:r>
            <m:oMath>
              <m:r>
                <m:t>V</m:t>
              </m:r>
            </m:oMath>
            <w:r>
              <w:rPr/>
              <w:t xml:space="preserve"> </w:t>
            </w:r>
            <w:r>
              <w:rPr/>
              <w:t xml:space="preserve">según el cómputo del vaciado</w:t>
            </w:r>
          </w:p>
        </w:tc>
        <w:tc>
          <w:tcPr>
            <w:tcW w:w="1293" w:type="dxa"/>
          </w:tcPr>
          <w:p>
            <w:pPr>
              <w:pStyle w:val="CeldaAPA"/>
              <w:jc w:val="center"/>
            </w:pPr>
            <m:oMath>
              <m:r>
                <m:rPr>
                  <m:sty m:val="p"/>
                </m:rPr>
                <m:t>⌈</m:t>
              </m:r>
              <m:r>
                <m:t>V</m:t>
              </m:r>
              <m:r>
                <m:rPr>
                  <m:sty m:val="p"/>
                </m:rPr>
                <m:t>/</m:t>
              </m:r>
              <m:r>
                <m:t>114</m:t>
              </m:r>
              <m:r>
                <m:rPr>
                  <m:sty m:val="p"/>
                </m:rPr>
                <m:t>,</m:t>
              </m:r>
              <m:r>
                <m:t>7</m:t>
              </m:r>
              <m:r>
                <m:rPr>
                  <m:sty m:val="p"/>
                </m:rPr>
                <m:t>⌉</m:t>
              </m:r>
            </m:oMath>
          </w:p>
        </w:tc>
      </w:tr>
      <w:tr>
        <w:tc>
          <w:tcPr>
            <w:tcW w:w="2086" w:type="dxa"/>
          </w:tcPr>
          <w:p>
            <w:pPr>
              <w:pStyle w:val="CeldaAPA"/>
              <w:jc w:val="left"/>
            </w:pPr>
            <w:r>
              <w:rPr/>
              <w:t xml:space="preserve">(iii) Superficie</w:t>
            </w:r>
          </w:p>
        </w:tc>
        <w:tc>
          <w:tcPr>
            <w:tcW w:w="2370" w:type="dxa"/>
          </w:tcPr>
          <w:p>
            <w:pPr>
              <w:pStyle w:val="CeldaAPA"/>
              <w:jc w:val="left"/>
            </w:pPr>
            <w:r>
              <w:rPr/>
              <w:t xml:space="preserve">Una muestra por cada 5.000 ft</w:t>
            </w:r>
            <w:r>
              <w:rPr>
                <w:vertAlign w:val="superscript"/>
              </w:rPr>
              <w:t xml:space="preserve">2</w:t>
            </w:r>
            <w:r>
              <w:rPr/>
              <w:t xml:space="preserve"> </w:t>
            </w:r>
            <w:r>
              <w:rPr/>
              <w:t xml:space="preserve">(464,5 m</w:t>
            </w:r>
            <w:r>
              <w:rPr>
                <w:vertAlign w:val="superscript"/>
              </w:rPr>
              <w:t xml:space="preserve">2</w:t>
            </w:r>
            <w:r>
              <w:rPr/>
              <w:t xml:space="preserve">) de losa</w:t>
            </w:r>
          </w:p>
        </w:tc>
        <w:tc>
          <w:tcPr>
            <w:tcW w:w="3611" w:type="dxa"/>
          </w:tcPr>
          <w:p>
            <w:pPr>
              <w:pStyle w:val="CeldaAPA"/>
              <w:jc w:val="left"/>
            </w:pPr>
            <m:oMath>
              <m:r>
                <m:t>1.117</m:t>
              </m:r>
              <m:r>
                <m:rPr>
                  <m:sty m:val="p"/>
                </m:rPr>
                <m:t>,</m:t>
              </m:r>
              <m:r>
                <m:t>30</m:t>
              </m:r>
              <m:r>
                <m:rPr>
                  <m:sty m:val="p"/>
                </m:rPr>
                <m:t>/</m:t>
              </m:r>
              <m:r>
                <m:t>464</m:t>
              </m:r>
              <m:r>
                <m:rPr>
                  <m:sty m:val="p"/>
                </m:rPr>
                <m:t>,</m:t>
              </m:r>
              <m:r>
                <m:t>5</m:t>
              </m:r>
              <m:r>
                <m:rPr>
                  <m:sty m:val="p"/>
                </m:rPr>
                <m:t>=</m:t>
              </m:r>
              <m:r>
                <m:t>2</m:t>
              </m:r>
              <m:r>
                <m:rPr>
                  <m:sty m:val="p"/>
                </m:rPr>
                <m:t>,</m:t>
              </m:r>
              <m:r>
                <m:t>41</m:t>
              </m:r>
            </m:oMath>
          </w:p>
        </w:tc>
        <w:tc>
          <w:tcPr>
            <w:tcW w:w="1293" w:type="dxa"/>
          </w:tcPr>
          <w:p>
            <w:pPr>
              <w:pStyle w:val="CeldaAPA"/>
              <w:jc w:val="center"/>
            </w:pPr>
            <w:r>
              <w:rPr/>
              <w:t xml:space="preserve">3</w:t>
            </w:r>
          </w:p>
        </w:tc>
      </w:tr>
      <w:tr>
        <w:tc>
          <w:tcPr>
            <w:tcW w:w="2086" w:type="dxa"/>
          </w:tcPr>
          <w:p>
            <w:pPr>
              <w:pStyle w:val="CeldaAPA"/>
              <w:jc w:val="left"/>
            </w:pPr>
            <w:r>
              <w:rPr/>
              <w:t xml:space="preserve">Mínimo por mezcla</w:t>
            </w:r>
          </w:p>
        </w:tc>
        <w:tc>
          <w:tcPr>
            <w:tcW w:w="2370" w:type="dxa"/>
          </w:tcPr>
          <w:p>
            <w:pPr>
              <w:pStyle w:val="CeldaAPA"/>
              <w:jc w:val="left"/>
            </w:pPr>
            <w:r>
              <w:rPr/>
              <w:t xml:space="preserve">Al menos cinco pastones al azar si la frecuencia da menos de cinco ensayos</w:t>
            </w:r>
          </w:p>
        </w:tc>
        <w:tc>
          <w:tcPr>
            <w:tcW w:w="3611" w:type="dxa"/>
          </w:tcPr>
          <w:p>
            <w:pPr>
              <w:pStyle w:val="CeldaAPA"/>
              <w:jc w:val="left"/>
            </w:pPr>
            <w:r>
              <w:rPr/>
              <w:t xml:space="preserve">Criterio adoptado por el SGC para cada losa</w:t>
            </w:r>
          </w:p>
        </w:tc>
        <w:tc>
          <w:tcPr>
            <w:tcW w:w="1293" w:type="dxa"/>
          </w:tcPr>
          <w:p>
            <w:pPr>
              <w:pStyle w:val="CeldaAPA"/>
              <w:jc w:val="center"/>
            </w:pPr>
            <w:r>
              <w:rPr/>
              <w:t xml:space="preserve">5</w:t>
            </w:r>
          </w:p>
        </w:tc>
      </w:tr>
      <w:tr>
        <w:tc>
          <w:tcPr>
            <w:tcW w:w="8067" w:type="dxa"/>
            <w:gridSpan w:val="3"/>
            <w:tcBorders>
              <w:top w:val="single" w:sz="4" w:space="0" w:color="000000"/>
              <w:bottom w:val="single" w:sz="8" w:space="0" w:color="000000"/>
            </w:tcBorders>
          </w:tcPr>
          <w:p>
            <w:pPr>
              <w:pStyle w:val="CeldaAPA"/>
              <w:jc w:val="left"/>
            </w:pPr>
            <w:r>
              <w:rPr>
                <w:bCs/>
                <w:b/>
              </w:rPr>
              <w:t xml:space="preserve">Ensayos adoptados por losa</w:t>
            </w:r>
            <w:r>
              <w:rPr/>
              <w:t xml:space="preserve"> </w:t>
            </w:r>
            <w:r>
              <w:rPr/>
              <w:t xml:space="preserve">(mientras</w:t>
            </w:r>
            <w:r>
              <w:rPr/>
              <w:t xml:space="preserve"> </w:t>
            </w:r>
            <m:oMath>
              <m:sSub>
                <m:e>
                  <m:r>
                    <m:t>n</m:t>
                  </m:r>
                </m:e>
                <m:sub>
                  <m:r>
                    <m:t>d</m:t>
                  </m:r>
                </m:sub>
              </m:sSub>
              <m:r>
                <m:rPr>
                  <m:sty m:val="p"/>
                </m:rPr>
                <m:t>≤</m:t>
              </m:r>
              <m:r>
                <m:t>5</m:t>
              </m:r>
            </m:oMath>
            <w:r>
              <w:rPr/>
              <w:t xml:space="preserve"> </w:t>
            </w:r>
            <w:r>
              <w:rPr/>
              <w:t xml:space="preserve">y</w:t>
            </w:r>
            <w:r>
              <w:rPr/>
              <w:t xml:space="preserve"> </w:t>
            </w:r>
            <m:oMath>
              <m:r>
                <m:t>V</m:t>
              </m:r>
              <m:r>
                <m:rPr>
                  <m:sty m:val="p"/>
                </m:rPr>
                <m:t>≤</m:t>
              </m:r>
              <m:r>
                <m:t>573</m:t>
              </m:r>
            </m:oMath>
            <w:r>
              <w:rPr/>
              <w:t xml:space="preserve"> m</w:t>
            </w:r>
            <w:r>
              <w:rPr>
                <w:vertAlign w:val="superscript"/>
              </w:rPr>
              <w:t xml:space="preserve">3</w:t>
            </w:r>
            <w:r>
              <w:rPr/>
              <w:t xml:space="preserve">)</w:t>
            </w:r>
          </w:p>
        </w:tc>
        <w:tc>
          <w:tcPr>
            <w:tcW w:w="1293" w:type="dxa"/>
            <w:tcBorders>
              <w:top w:val="single" w:sz="4" w:space="0" w:color="000000"/>
              <w:bottom w:val="single" w:sz="8" w:space="0" w:color="000000"/>
            </w:tcBorders>
          </w:tcPr>
          <w:p>
            <w:pPr>
              <w:pStyle w:val="CeldaAPA"/>
              <w:jc w:val="center"/>
            </w:pPr>
            <w:r>
              <w:rPr>
                <w:bCs/>
                <w:b/>
              </w:rPr>
              <w:t xml:space="preserve">5</w:t>
            </w:r>
          </w:p>
        </w:tc>
      </w:tr>
    </w:tbl>
    <w:p>
      <w:pPr>
        <w:pStyle w:val="NotaAPA"/>
      </w:pPr>
      <w:r>
        <w:rPr>
          <w:iCs/>
          <w:i/>
        </w:rPr>
        <w:t xml:space="preserve">Nota.</w:t>
      </w:r>
      <w:r>
        <w:t xml:space="preserve"> </w:t>
      </w:r>
      <w:r>
        <w:t xml:space="preserve">Elaboración propia con base en</w:t>
      </w:r>
      <w:r>
        <w:t xml:space="preserve"> </w:t>
      </w:r>
      <w:r>
        <w:t xml:space="preserve">ACI Committee 318 (2025, Sección 26.12.2.1)</w:t>
      </w:r>
      <w:r>
        <w:t xml:space="preserve">. Superficie por losa: 2.234,60 m</w:t>
      </w:r>
      <w:r>
        <w:rPr>
          <w:vertAlign w:val="superscript"/>
        </w:rPr>
        <w:t xml:space="preserve">2</w:t>
      </w:r>
      <w:r>
        <w:t xml:space="preserve"> </w:t>
      </w:r>
      <w:r>
        <w:t xml:space="preserve">/ 2</w:t>
      </w:r>
      <w:r>
        <w:t xml:space="preserve"> </w:t>
      </w:r>
      <w:r>
        <w:t xml:space="preserve">(UATF, s. f.-c)</w:t>
      </w:r>
      <w:r>
        <w:t xml:space="preserve">. Cada ensayo requiere dos cilindros de 15 </w:t>
      </w:r>
      <m:oMath>
        <m:r>
          <m:rPr>
            <m:sty m:val="p"/>
          </m:rPr>
          <m:t>×</m:t>
        </m:r>
      </m:oMath>
      <w:r>
        <w:t xml:space="preserve"> 30 cm a 28 días; el SGC añade un cilindro por muestra a 7 días como alerta temprana, de modo que se elaboran al menos 15 cilindros de curado estándar por losa, más los cilindros curados en obra que exija la Supervisión para el desapuntalamiento. Las secciones citadas del ACI CODE-318-25 figuran en las pp. 577 a 611 de la edición consultada.</w:t>
      </w:r>
    </w:p>
    <w:p>
      <w:pPr>
        <w:pStyle w:val="BodyText"/>
      </w:pPr>
      <w:r>
        <w:rPr>
          <w:bCs/>
          <w:b/>
        </w:rPr>
        <w:t xml:space="preserve">Curado, tiempo frío y lluvia.</w:t>
      </w:r>
      <w:r>
        <w:t xml:space="preserve"> </w:t>
      </w:r>
      <w:r>
        <w:t xml:space="preserve">El hormigón se mantiene húmedo al menos 7 días con una temperatura de al menos 10 </w:t>
      </w:r>
      <m:oMath>
        <m:sSup>
          <m:e>
            <m:r>
              <m:t>​</m:t>
            </m:r>
          </m:e>
          <m:sup>
            <m:r>
              <m:rPr>
                <m:sty m:val="p"/>
              </m:rPr>
              <m:t>∘</m:t>
            </m:r>
          </m:sup>
        </m:sSup>
      </m:oMath>
      <w:r>
        <w:t xml:space="preserve">C, o 3 días si alcanza 0,7 </w:t>
      </w:r>
      <m:oMath>
        <m:r>
          <m:t>f</m:t>
        </m:r>
        <m:sSub>
          <m:e>
            <m:r>
              <m:rPr>
                <m:sty m:val="p"/>
              </m:rPr>
              <m:t>′</m:t>
            </m:r>
          </m:e>
          <m:sub>
            <m:r>
              <m:t>c</m:t>
            </m:r>
          </m:sub>
        </m:sSub>
      </m:oMath>
      <w:r>
        <w:t xml:space="preserve"> </w:t>
      </w:r>
      <w:r>
        <w:t xml:space="preserve">en ese plazo, o hasta que la resistencia en el lugar llegue a 0,7 </w:t>
      </w:r>
      <m:oMath>
        <m:r>
          <m:t>f</m:t>
        </m:r>
        <m:sSub>
          <m:e>
            <m:r>
              <m:rPr>
                <m:sty m:val="p"/>
              </m:rPr>
              <m:t>′</m:t>
            </m:r>
          </m:e>
          <m:sub>
            <m:r>
              <m:t>c</m:t>
            </m:r>
          </m:sub>
        </m:sSub>
      </m:oMath>
      <w:r>
        <w:t xml:space="preserve"> </w:t>
      </w:r>
      <w:r>
        <w:t xml:space="preserve">(ACI Committee 318, 2025, Sección 26.5.3.2)</w:t>
      </w:r>
      <w:r>
        <w:t xml:space="preserve">; en obra se propone riego continuo o arpilleras húmedas bajo láminas de plástico, con registro diario (ficha C.2-F). A 3.650 m s. n. m., la contratista presenta un plan de hormigonado en tiempo frío antes del primer vaciado; no se usan áridos con terrones congelados o hielo, y encofrados y superficies deben estar libres de escarcha y hielo</w:t>
      </w:r>
      <w:r>
        <w:t xml:space="preserve"> </w:t>
      </w:r>
      <w:r>
        <w:t xml:space="preserve">(ACI Committee 318, 2025, Sección 26.5.4.2)</w:t>
      </w:r>
      <w:r>
        <w:t xml:space="preserve">. Si la temperatura ambiente baja de 4,4 </w:t>
      </w:r>
      <m:oMath>
        <m:sSup>
          <m:e>
            <m:r>
              <m:t>​</m:t>
            </m:r>
          </m:e>
          <m:sup>
            <m:r>
              <m:rPr>
                <m:sty m:val="p"/>
              </m:rPr>
              <m:t>∘</m:t>
            </m:r>
          </m:sup>
        </m:sSup>
      </m:oMath>
      <w:r>
        <w:t xml:space="preserve">C (40 </w:t>
      </w:r>
      <m:oMath>
        <m:sSup>
          <m:e>
            <m:r>
              <m:t>​</m:t>
            </m:r>
          </m:e>
          <m:sup>
            <m:r>
              <m:rPr>
                <m:sty m:val="p"/>
              </m:rPr>
              <m:t>∘</m:t>
            </m:r>
          </m:sup>
        </m:sSup>
      </m:oMath>
      <w:r>
        <w:t xml:space="preserve">F) se registran la temperatura del hormigón y la protección aplicada</w:t>
      </w:r>
      <w:r>
        <w:t xml:space="preserve"> </w:t>
      </w:r>
      <w:r>
        <w:t xml:space="preserve">(ACI Committee 318, 2025, Sección 26.13.2.2)</w:t>
      </w:r>
      <w:r>
        <w:t xml:space="preserve">; si el hormigón no se mantiene a 10 </w:t>
      </w:r>
      <m:oMath>
        <m:sSup>
          <m:e>
            <m:r>
              <m:t>​</m:t>
            </m:r>
          </m:e>
          <m:sup>
            <m:r>
              <m:rPr>
                <m:sty m:val="p"/>
              </m:rPr>
              <m:t>∘</m:t>
            </m:r>
          </m:sup>
        </m:sSup>
      </m:oMath>
      <w:r>
        <w:t xml:space="preserve">C o más, el curado se prolonga y se verifica con cilindros curados en obra. El agua de amasado debe superar los 5 </w:t>
      </w:r>
      <m:oMath>
        <m:sSup>
          <m:e>
            <m:r>
              <m:t>​</m:t>
            </m:r>
          </m:e>
          <m:sup>
            <m:r>
              <m:rPr>
                <m:sty m:val="p"/>
              </m:rPr>
              <m:t>∘</m:t>
            </m:r>
          </m:sup>
        </m:sSup>
      </m:oMath>
      <w:r>
        <w:t xml:space="preserve">C</w:t>
      </w:r>
      <w:r>
        <w:t xml:space="preserve"> </w:t>
      </w:r>
      <w:r>
        <w:t xml:space="preserve">(UATF, s. f.-a, p. 2)</w:t>
      </w:r>
      <w:r>
        <w:t xml:space="preserve">. Para la lluvia, el vaciado se programa con el pronóstico del SENAMHI, se dispone de cobertores y se retira el agua estancada</w:t>
      </w:r>
      <w:r>
        <w:t xml:space="preserve"> </w:t>
      </w:r>
      <w:r>
        <w:t xml:space="preserve">(ACI Committee 318, 2025, Sección 26.5.2.2)</w:t>
      </w:r>
      <w:r>
        <w:t xml:space="preserve">. La temperatura que activa el plan se mide con el termómetro de la obra.</w:t>
      </w:r>
    </w:p>
    <w:p>
      <w:pPr>
        <w:pStyle w:val="Heading4"/>
      </w:pPr>
      <w:bookmarkStart w:id="172" w:name="tit123"/>
      <w:r>
        <w:t xml:space="preserve">2.6.6.10. Liberación de los paños y control de las salidas no conformes.</w:t>
      </w:r>
      <w:bookmarkEnd w:id="172"/>
    </w:p>
    <w:p>
      <w:pPr>
        <w:pStyle w:val="FirstParagraph"/>
      </w:pPr>
      <w:r>
        <w:t xml:space="preserve">La liberación (cláusula 8.6) tiene tres niveles: (1)</w:t>
      </w:r>
      <w:r>
        <w:t xml:space="preserve"> </w:t>
      </w:r>
      <w:r>
        <w:rPr>
          <w:iCs/>
          <w:i/>
        </w:rPr>
        <w:t xml:space="preserve">para vaciar</w:t>
      </w:r>
      <w:r>
        <w:t xml:space="preserve">, con la ficha C.2 completa en los puntos de espera y en la verificación previa al vaciado (punto 8 del PPI), firmada por el encargado de calidad y el Supervisor y asentada en el Libro de Órdenes con la firma del Director de obra que exige la cláusula 25.ª</w:t>
      </w:r>
      <w:r>
        <w:t xml:space="preserve"> </w:t>
      </w:r>
      <w:r>
        <w:t xml:space="preserve">(UATF, 2025, p. 100)</w:t>
      </w:r>
      <w:r>
        <w:t xml:space="preserve">; (2)</w:t>
      </w:r>
      <w:r>
        <w:t xml:space="preserve"> </w:t>
      </w:r>
      <w:r>
        <w:rPr>
          <w:iCs/>
          <w:i/>
        </w:rPr>
        <w:t xml:space="preserve">para desapuntalar</w:t>
      </w:r>
      <w:r>
        <w:t xml:space="preserve">, con el plazo mínimo y, si corresponde, los cilindros curados en obra con la resistencia requerida</w:t>
      </w:r>
      <w:r>
        <w:t xml:space="preserve"> </w:t>
      </w:r>
      <w:r>
        <w:t xml:space="preserve">(ACI Committee 318, 2025, Sección 26.12.4.1)</w:t>
      </w:r>
      <w:r>
        <w:t xml:space="preserve">; y (3)</w:t>
      </w:r>
      <w:r>
        <w:t xml:space="preserve"> </w:t>
      </w:r>
      <w:r>
        <w:rPr>
          <w:iCs/>
          <w:i/>
        </w:rPr>
        <w:t xml:space="preserve">para pago</w:t>
      </w:r>
      <w:r>
        <w:t xml:space="preserve">, con los ensayos de aceptación conformes y las cantidades conciliadas (PCM-04). Como los ensayos a 28 días pueden llegar después del cierre de una planilla, como ocurrió en la primera losa, se recomienda que el contrato del saldo de la obra prevea certificar con observación y retención de pago el paño cuyo hormigón aún no tenga resultados.</w:t>
      </w:r>
    </w:p>
    <w:p>
      <w:pPr>
        <w:pStyle w:val="BodyText"/>
      </w:pPr>
      <w:r>
        <w:t xml:space="preserve">Una salida no conforme (cláusula 8.7) es un paño que no cumple un criterio del PPI o un ensayo. Antes del vaciado, el paño queda retenido hasta corregirse y reinspeccionarse. Después del vaciado (nidos de grava, fisuras, recubrimiento insuficiente o resistencia baja), el paño se identifica, se registra en el formato C.5, se restringen su carga y su desapuntalamiento, y la Supervisión, con el proyectista si es necesario, decide la disposición: reparación aprobada, refuerzo, demolición o aceptación bajo concesión documentada. El costo se registra como falla interna y el pago del paño se retiene hasta su resolución.</w:t>
      </w:r>
    </w:p>
    <w:p>
      <w:pPr>
        <w:pStyle w:val="Heading4"/>
      </w:pPr>
      <w:bookmarkStart w:id="173" w:name="tit124"/>
      <w:r>
        <w:t xml:space="preserve">2.6.6.11. Gestión de los cambios.</w:t>
      </w:r>
      <w:bookmarkEnd w:id="173"/>
    </w:p>
    <w:p>
      <w:pPr>
        <w:pStyle w:val="FirstParagraph"/>
      </w:pPr>
      <w:r>
        <w:t xml:space="preserve">Todo cambio de material, proveedor, dosificación, procedimiento o diseño sigue cinco pasos: (1) solicitud escrita en el Libro de Órdenes, con su causa; (2) evaluación del efecto en la calidad, las cantidades, el costo y el plazo; (3) aprobación técnica de la Supervisión (con el proyectista si cambia el diseño) y contractual de la Fiscalización si cambian cantidades o monto; (4) actualización de los documentos y de la lista maestra; y (5) comunicación al personal y verificación en obra. La «modificación estructural» por falta de viguetas de los tamaños requeridos, mencionada sin detalle en el informe de Supervisión</w:t>
      </w:r>
      <w:r>
        <w:t xml:space="preserve"> </w:t>
      </w:r>
      <w:r>
        <w:t xml:space="preserve">(UATF, 2025, p. 11)</w:t>
      </w:r>
      <w:r>
        <w:t xml:space="preserve">, habría dejado así registro de su causa, de su aprobación y de su efecto en las cantidades; la resolución de la discrepancia del EPS es otra aplicación del procedimiento.</w:t>
      </w:r>
    </w:p>
    <w:p>
      <w:pPr>
        <w:pStyle w:val="Heading3"/>
      </w:pPr>
      <w:bookmarkStart w:id="175" w:name="tit125"/>
      <w:r>
        <w:t xml:space="preserve">2.6.7. Evaluación del desempeño</w:t>
      </w:r>
      <w:bookmarkEnd w:id="175"/>
    </w:p>
    <w:p>
      <w:pPr>
        <w:pStyle w:val="FirstParagraph"/>
      </w:pPr>
      <w:r>
        <w:rPr>
          <w:bCs/>
          <w:b/>
        </w:rPr>
        <w:t xml:space="preserve">Seguimiento y medición.</w:t>
      </w:r>
      <w:r>
        <w:t xml:space="preserve"> </w:t>
      </w:r>
      <w:r>
        <w:t xml:space="preserve">Los indicadores de la Tabla 33 se alimentan de los registros del Anexo C y se revisan con los umbrales de la Tabla 41, apoyados en gráficos sencillos: el</w:t>
      </w:r>
      <w:r>
        <w:t xml:space="preserve"> </w:t>
      </w:r>
      <m:oMath>
        <m:r>
          <m:t>I</m:t>
        </m:r>
        <m:r>
          <m:t>D</m:t>
        </m:r>
        <m:r>
          <m:t>M</m:t>
        </m:r>
      </m:oMath>
      <w:r>
        <w:t xml:space="preserve"> </w:t>
      </w:r>
      <w:r>
        <w:t xml:space="preserve">de cada material paño por paño, el promedio móvil de tres ensayos frente a</w:t>
      </w:r>
      <w:r>
        <w:t xml:space="preserve"> </w:t>
      </w:r>
      <m:oMath>
        <m:r>
          <m:t>f</m:t>
        </m:r>
        <m:sSub>
          <m:e>
            <m:r>
              <m:rPr>
                <m:sty m:val="p"/>
              </m:rPr>
              <m:t>′</m:t>
            </m:r>
          </m:e>
          <m:sub>
            <m:r>
              <m:t>c</m:t>
            </m:r>
          </m:sub>
        </m:sSub>
      </m:oMath>
      <w:r>
        <w:t xml:space="preserve"> </w:t>
      </w:r>
      <w:r>
        <w:t xml:space="preserve">y las no conformidades abiertas y cerradas. Como las losas repiten los 41 paños de la primera, cada indicador se compara con el de su paño homólogo.</w:t>
      </w:r>
    </w:p>
    <w:p>
      <w:pPr>
        <w:pStyle w:val="Caption"/>
      </w:pPr>
      <w:bookmarkStart w:id="1455" w:name="tab41"/>
      <w:r>
        <w:t xml:space="preserve"/>
      </w:r>
      <w:r>
        <w:rPr>
          <w:bCs/>
          <w:b/>
        </w:rPr>
        <w:t xml:space="preserve">Tabla 41</w:t>
      </w:r>
      <w:r>
        <w:br/>
      </w:r>
      <w:r>
        <w:rPr>
          <w:iCs/>
          <w:i/>
        </w:rPr>
        <w:t xml:space="preserve">Seguimiento de los indicadores: registros, umbrales de reacción y respuesta</w:t>
      </w:r>
      <w:bookmarkEnd w:id="1455"/>
    </w:p>
    <w:tbl>
      <w:tblPr>
        <w:tblStyle w:val="Table"/>
        <w:tblW w:w="9360" w:type="dxa"/>
        <w:jc w:val="left"/>
        <w:tblLayout w:type="fixed"/>
        <w:tblCellMar>
          <w:top w:w="0" w:type="dxa"/>
          <w:left w:w="85" w:type="dxa"/>
          <w:bottom w:w="0" w:type="dxa"/>
          <w:right w:w="85" w:type="dxa"/>
        </w:tblCellMar>
        <w:tblLook w:firstRow="1" w:lastRow="0" w:firstColumn="0" w:lastColumn="0" w:noHBand="0" w:noVBand="0" w:val="0020"/>
      </w:tblPr>
      <w:tblGrid>
        <w:gridCol w:w="1783"/>
        <w:gridCol w:w="2163"/>
        <w:gridCol w:w="2544"/>
        <w:gridCol w:w="2870"/>
      </w:tblGrid>
      <w:tr>
        <w:trPr>
          <w:cantSplit/>
          <w:tblHeader w:val="true"/>
        </w:trPr>
        <w:tc>
          <w:tcPr>
            <w:tcW w:w="1783" w:type="dxa"/>
            <w:tcBorders>
              <w:top w:val="single" w:sz="8" w:space="0" w:color="000000"/>
              <w:bottom w:val="single" w:sz="4" w:space="0" w:color="000000"/>
            </w:tcBorders>
          </w:tcPr>
          <w:p>
            <w:pPr>
              <w:pStyle w:val="CeldaAPA"/>
              <w:jc w:val="center"/>
            </w:pPr>
            <w:r>
              <w:rPr>
                <w:bCs/>
                <w:b/>
              </w:rPr>
              <w:t xml:space="preserve">Indicador</w:t>
            </w:r>
          </w:p>
        </w:tc>
        <w:tc>
          <w:tcPr>
            <w:tcW w:w="2163" w:type="dxa"/>
            <w:tcBorders>
              <w:top w:val="single" w:sz="8" w:space="0" w:color="000000"/>
              <w:bottom w:val="single" w:sz="4" w:space="0" w:color="000000"/>
            </w:tcBorders>
          </w:tcPr>
          <w:p>
            <w:pPr>
              <w:pStyle w:val="CeldaAPA"/>
              <w:jc w:val="center"/>
            </w:pPr>
            <w:r>
              <w:rPr>
                <w:bCs/>
                <w:b/>
              </w:rPr>
              <w:t xml:space="preserve">Registro que lo alimenta</w:t>
            </w:r>
          </w:p>
        </w:tc>
        <w:tc>
          <w:tcPr>
            <w:tcW w:w="2544" w:type="dxa"/>
            <w:tcBorders>
              <w:top w:val="single" w:sz="8" w:space="0" w:color="000000"/>
              <w:bottom w:val="single" w:sz="4" w:space="0" w:color="000000"/>
            </w:tcBorders>
          </w:tcPr>
          <w:p>
            <w:pPr>
              <w:pStyle w:val="CeldaAPA"/>
              <w:jc w:val="center"/>
            </w:pPr>
            <w:r>
              <w:rPr>
                <w:bCs/>
                <w:b/>
              </w:rPr>
              <w:t xml:space="preserve">Umbral de reacción</w:t>
            </w:r>
          </w:p>
        </w:tc>
        <w:tc>
          <w:tcPr>
            <w:tcW w:w="2870" w:type="dxa"/>
            <w:tcBorders>
              <w:top w:val="single" w:sz="8" w:space="0" w:color="000000"/>
              <w:bottom w:val="single" w:sz="4" w:space="0" w:color="000000"/>
            </w:tcBorders>
          </w:tcPr>
          <w:p>
            <w:pPr>
              <w:pStyle w:val="CeldaAPA"/>
              <w:jc w:val="center"/>
            </w:pPr>
            <w:r>
              <w:rPr>
                <w:bCs/>
                <w:b/>
              </w:rPr>
              <w:t xml:space="preserve">Respuesta</w:t>
            </w:r>
          </w:p>
        </w:tc>
      </w:tr>
      <w:tr>
        <w:tc>
          <w:tcPr>
            <w:tcW w:w="1783" w:type="dxa"/>
          </w:tcPr>
          <w:p>
            <w:pPr>
              <w:pStyle w:val="CeldaAPA"/>
              <w:jc w:val="left"/>
            </w:pPr>
            <m:oMath>
              <m:r>
                <m:t>I</m:t>
              </m:r>
              <m:r>
                <m:t>D</m:t>
              </m:r>
              <m:r>
                <m:t>M</m:t>
              </m:r>
            </m:oMath>
            <w:r>
              <w:rPr/>
              <w:t xml:space="preserve"> </w:t>
            </w:r>
            <w:r>
              <w:rPr/>
              <w:t xml:space="preserve">por material (OC1 a OC4)</w:t>
            </w:r>
          </w:p>
        </w:tc>
        <w:tc>
          <w:tcPr>
            <w:tcW w:w="2163" w:type="dxa"/>
          </w:tcPr>
          <w:p>
            <w:pPr>
              <w:pStyle w:val="CeldaAPA"/>
              <w:jc w:val="left"/>
            </w:pPr>
            <w:r>
              <w:rPr/>
              <w:t xml:space="preserve">Ficha C.4; kardex; vales</w:t>
            </w:r>
          </w:p>
        </w:tc>
        <w:tc>
          <w:tcPr>
            <w:tcW w:w="2544" w:type="dxa"/>
          </w:tcPr>
          <w:p>
            <w:pPr>
              <w:pStyle w:val="CeldaAPA"/>
              <w:jc w:val="left"/>
            </w:pPr>
            <w:r>
              <w:rPr/>
              <w:t xml:space="preserve">Un paño o vaciado sobre la meta</w:t>
            </w:r>
          </w:p>
        </w:tc>
        <w:tc>
          <w:tcPr>
            <w:tcW w:w="2870" w:type="dxa"/>
          </w:tcPr>
          <w:p>
            <w:pPr>
              <w:pStyle w:val="CeldaAPA"/>
              <w:jc w:val="left"/>
            </w:pPr>
            <w:r>
              <w:rPr/>
              <w:t xml:space="preserve">Análisis de causa antes del paño siguiente; ajuste del pedido o del despiece</w:t>
            </w:r>
          </w:p>
        </w:tc>
      </w:tr>
      <w:tr>
        <w:tc>
          <w:tcPr>
            <w:tcW w:w="1783" w:type="dxa"/>
          </w:tcPr>
          <w:p>
            <w:pPr>
              <w:pStyle w:val="CeldaAPA"/>
              <w:jc w:val="left"/>
            </w:pPr>
            <w:r>
              <w:rPr/>
              <w:t xml:space="preserve">Lotes conformes (OC5)</w:t>
            </w:r>
          </w:p>
        </w:tc>
        <w:tc>
          <w:tcPr>
            <w:tcW w:w="2163" w:type="dxa"/>
          </w:tcPr>
          <w:p>
            <w:pPr>
              <w:pStyle w:val="CeldaAPA"/>
              <w:jc w:val="left"/>
            </w:pPr>
            <w:r>
              <w:rPr/>
              <w:t xml:space="preserve">Ficha C.3</w:t>
            </w:r>
          </w:p>
        </w:tc>
        <w:tc>
          <w:tcPr>
            <w:tcW w:w="2544" w:type="dxa"/>
          </w:tcPr>
          <w:p>
            <w:pPr>
              <w:pStyle w:val="CeldaAPA"/>
              <w:jc w:val="left"/>
            </w:pPr>
            <w:r>
              <w:rPr/>
              <w:t xml:space="preserve">Cualquier lote incorporado sin recepción aceptada</w:t>
            </w:r>
          </w:p>
        </w:tc>
        <w:tc>
          <w:tcPr>
            <w:tcW w:w="2870" w:type="dxa"/>
          </w:tcPr>
          <w:p>
            <w:pPr>
              <w:pStyle w:val="CeldaAPA"/>
              <w:jc w:val="left"/>
            </w:pPr>
            <w:r>
              <w:rPr/>
              <w:t xml:space="preserve">No conformidad mayor; retención del paño afectado</w:t>
            </w:r>
          </w:p>
        </w:tc>
      </w:tr>
      <w:tr>
        <w:tc>
          <w:tcPr>
            <w:tcW w:w="1783" w:type="dxa"/>
          </w:tcPr>
          <w:p>
            <w:pPr>
              <w:pStyle w:val="CeldaAPA"/>
              <w:jc w:val="left"/>
            </w:pPr>
            <w:r>
              <w:rPr/>
              <w:t xml:space="preserve">Paños liberados (OC6)</w:t>
            </w:r>
          </w:p>
        </w:tc>
        <w:tc>
          <w:tcPr>
            <w:tcW w:w="2163" w:type="dxa"/>
          </w:tcPr>
          <w:p>
            <w:pPr>
              <w:pStyle w:val="CeldaAPA"/>
              <w:jc w:val="left"/>
            </w:pPr>
            <w:r>
              <w:rPr/>
              <w:t xml:space="preserve">Ficha C.2; Libro de Órdenes</w:t>
            </w:r>
          </w:p>
        </w:tc>
        <w:tc>
          <w:tcPr>
            <w:tcW w:w="2544" w:type="dxa"/>
          </w:tcPr>
          <w:p>
            <w:pPr>
              <w:pStyle w:val="CeldaAPA"/>
              <w:jc w:val="left"/>
            </w:pPr>
            <w:r>
              <w:rPr/>
              <w:t xml:space="preserve">Cualquier paño vaciado sin liberación</w:t>
            </w:r>
          </w:p>
        </w:tc>
        <w:tc>
          <w:tcPr>
            <w:tcW w:w="2870" w:type="dxa"/>
          </w:tcPr>
          <w:p>
            <w:pPr>
              <w:pStyle w:val="CeldaAPA"/>
              <w:jc w:val="left"/>
            </w:pPr>
            <w:r>
              <w:rPr/>
              <w:t xml:space="preserve">No conformidad crítica; evaluación del paño por la Supervisión</w:t>
            </w:r>
          </w:p>
        </w:tc>
      </w:tr>
      <w:tr>
        <w:tc>
          <w:tcPr>
            <w:tcW w:w="1783" w:type="dxa"/>
          </w:tcPr>
          <w:p>
            <w:pPr>
              <w:pStyle w:val="CeldaAPA"/>
              <w:jc w:val="left"/>
            </w:pPr>
            <w:r>
              <w:rPr/>
              <w:t xml:space="preserve">Ensayos conformes (OC7)</w:t>
            </w:r>
          </w:p>
        </w:tc>
        <w:tc>
          <w:tcPr>
            <w:tcW w:w="2163" w:type="dxa"/>
          </w:tcPr>
          <w:p>
            <w:pPr>
              <w:pStyle w:val="CeldaAPA"/>
              <w:jc w:val="left"/>
            </w:pPr>
            <w:r>
              <w:rPr/>
              <w:t xml:space="preserve">Informe del laboratorio</w:t>
            </w:r>
          </w:p>
        </w:tc>
        <w:tc>
          <w:tcPr>
            <w:tcW w:w="2544" w:type="dxa"/>
          </w:tcPr>
          <w:p>
            <w:pPr>
              <w:pStyle w:val="CeldaAPA"/>
              <w:jc w:val="left"/>
            </w:pPr>
            <w:r>
              <w:rPr/>
              <w:t xml:space="preserve">Un promedio de tres ensayos</w:t>
            </w:r>
            <w:r>
              <w:rPr/>
              <w:t xml:space="preserve"> </w:t>
            </w:r>
            <m:oMath>
              <m:r>
                <m:rPr>
                  <m:sty m:val="p"/>
                </m:rPr>
                <m:t>&lt;</m:t>
              </m:r>
              <m:r>
                <m:t>f</m:t>
              </m:r>
              <m:sSub>
                <m:e>
                  <m:r>
                    <m:rPr>
                      <m:sty m:val="p"/>
                    </m:rPr>
                    <m:t>′</m:t>
                  </m:r>
                </m:e>
                <m:sub>
                  <m:r>
                    <m:t>c</m:t>
                  </m:r>
                </m:sub>
              </m:sSub>
            </m:oMath>
            <w:r>
              <w:rPr/>
              <w:t xml:space="preserve"> </w:t>
            </w:r>
            <w:r>
              <w:rPr/>
              <w:t xml:space="preserve">o un ensayo</w:t>
            </w:r>
            <w:r>
              <w:rPr/>
              <w:t xml:space="preserve"> </w:t>
            </w:r>
            <m:oMath>
              <m:r>
                <m:rPr>
                  <m:sty m:val="p"/>
                </m:rPr>
                <m:t>&lt;</m:t>
              </m:r>
            </m:oMath>
            <w:r>
              <w:rPr/>
              <w:t xml:space="preserve"> </w:t>
            </w:r>
            <m:oMath>
              <m:r>
                <m:t>f</m:t>
              </m:r>
              <m:sSub>
                <m:e>
                  <m:r>
                    <m:rPr>
                      <m:sty m:val="p"/>
                    </m:rPr>
                    <m:t>′</m:t>
                  </m:r>
                </m:e>
                <m:sub>
                  <m:r>
                    <m:t>c</m:t>
                  </m:r>
                </m:sub>
              </m:sSub>
              <m:r>
                <m:rPr>
                  <m:sty m:val="p"/>
                </m:rPr>
                <m:t>−</m:t>
              </m:r>
              <m:r>
                <m:t>3</m:t>
              </m:r>
              <m:r>
                <m:rPr>
                  <m:sty m:val="p"/>
                </m:rPr>
                <m:t>,</m:t>
              </m:r>
              <m:r>
                <m:t>45</m:t>
              </m:r>
            </m:oMath>
            <w:r>
              <w:rPr/>
              <w:t xml:space="preserve"> MPa</w:t>
            </w:r>
          </w:p>
        </w:tc>
        <w:tc>
          <w:tcPr>
            <w:tcW w:w="2870" w:type="dxa"/>
          </w:tcPr>
          <w:p>
            <w:pPr>
              <w:pStyle w:val="CeldaAPA"/>
              <w:jc w:val="left"/>
            </w:pPr>
            <w:r>
              <w:rPr/>
              <w:t xml:space="preserve">Ajuste de la dosificación; investigación según la sección 26.12.7</w:t>
            </w:r>
          </w:p>
        </w:tc>
      </w:tr>
      <w:tr>
        <w:tc>
          <w:tcPr>
            <w:tcW w:w="1783" w:type="dxa"/>
          </w:tcPr>
          <w:p>
            <w:pPr>
              <w:pStyle w:val="CeldaAPA"/>
              <w:jc w:val="left"/>
            </w:pPr>
            <w:r>
              <w:rPr/>
              <w:t xml:space="preserve">Plan de muestreo (OC8)</w:t>
            </w:r>
          </w:p>
        </w:tc>
        <w:tc>
          <w:tcPr>
            <w:tcW w:w="2163" w:type="dxa"/>
          </w:tcPr>
          <w:p>
            <w:pPr>
              <w:pStyle w:val="CeldaAPA"/>
              <w:jc w:val="left"/>
            </w:pPr>
            <w:r>
              <w:rPr/>
              <w:t xml:space="preserve">Planilla de muestreo</w:t>
            </w:r>
          </w:p>
        </w:tc>
        <w:tc>
          <w:tcPr>
            <w:tcW w:w="2544" w:type="dxa"/>
          </w:tcPr>
          <w:p>
            <w:pPr>
              <w:pStyle w:val="CeldaAPA"/>
              <w:jc w:val="left"/>
            </w:pPr>
            <w:r>
              <w:rPr/>
              <w:t xml:space="preserve">Menos ensayos que</w:t>
            </w:r>
            <w:r>
              <w:rPr/>
              <w:t xml:space="preserve"> </w:t>
            </w:r>
            <m:oMath>
              <m:sSub>
                <m:e>
                  <m:r>
                    <m:t>n</m:t>
                  </m:r>
                </m:e>
                <m:sub>
                  <m:r>
                    <m:rPr>
                      <m:nor/>
                      <m:sty m:val="p"/>
                    </m:rPr>
                    <m:t>mín</m:t>
                  </m:r>
                </m:sub>
              </m:sSub>
            </m:oMath>
          </w:p>
        </w:tc>
        <w:tc>
          <w:tcPr>
            <w:tcW w:w="2870" w:type="dxa"/>
          </w:tcPr>
          <w:p>
            <w:pPr>
              <w:pStyle w:val="CeldaAPA"/>
              <w:jc w:val="left"/>
            </w:pPr>
            <w:r>
              <w:rPr/>
              <w:t xml:space="preserve">No conformidad; refuerzo del muestreo en el vaciado siguiente</w:t>
            </w:r>
          </w:p>
        </w:tc>
      </w:tr>
      <w:tr>
        <w:tc>
          <w:tcPr>
            <w:tcW w:w="1783" w:type="dxa"/>
          </w:tcPr>
          <w:p>
            <w:pPr>
              <w:pStyle w:val="CeldaAPA"/>
              <w:jc w:val="left"/>
            </w:pPr>
            <w:r>
              <w:rPr/>
              <w:t xml:space="preserve">Cierre de NC (OC9)</w:t>
            </w:r>
          </w:p>
        </w:tc>
        <w:tc>
          <w:tcPr>
            <w:tcW w:w="2163" w:type="dxa"/>
          </w:tcPr>
          <w:p>
            <w:pPr>
              <w:pStyle w:val="CeldaAPA"/>
              <w:jc w:val="left"/>
            </w:pPr>
            <w:r>
              <w:rPr/>
              <w:t xml:space="preserve">Registro C.5</w:t>
            </w:r>
          </w:p>
        </w:tc>
        <w:tc>
          <w:tcPr>
            <w:tcW w:w="2544" w:type="dxa"/>
          </w:tcPr>
          <w:p>
            <w:pPr>
              <w:pStyle w:val="CeldaAPA"/>
              <w:jc w:val="left"/>
            </w:pPr>
            <w:r>
              <w:rPr/>
              <w:t xml:space="preserve">Menos del 90 % cerradas en 7 días</w:t>
            </w:r>
          </w:p>
        </w:tc>
        <w:tc>
          <w:tcPr>
            <w:tcW w:w="2870" w:type="dxa"/>
          </w:tcPr>
          <w:p>
            <w:pPr>
              <w:pStyle w:val="CeldaAPA"/>
              <w:jc w:val="left"/>
            </w:pPr>
            <w:r>
              <w:rPr/>
              <w:t xml:space="preserve">Escalamiento al Director de obra en la reunión semanal</w:t>
            </w:r>
          </w:p>
        </w:tc>
      </w:tr>
      <w:tr>
        <w:tc>
          <w:tcPr>
            <w:tcW w:w="1783" w:type="dxa"/>
          </w:tcPr>
          <w:p>
            <w:pPr>
              <w:pStyle w:val="CeldaAPA"/>
              <w:jc w:val="left"/>
            </w:pPr>
            <w:r>
              <w:rPr/>
              <w:t xml:space="preserve">Conciliación (OC10)</w:t>
            </w:r>
          </w:p>
        </w:tc>
        <w:tc>
          <w:tcPr>
            <w:tcW w:w="2163" w:type="dxa"/>
          </w:tcPr>
          <w:p>
            <w:pPr>
              <w:pStyle w:val="CeldaAPA"/>
              <w:jc w:val="left"/>
            </w:pPr>
            <w:r>
              <w:rPr/>
              <w:t xml:space="preserve">Ficha C.4 (conciliación por planilla)</w:t>
            </w:r>
          </w:p>
        </w:tc>
        <w:tc>
          <w:tcPr>
            <w:tcW w:w="2544" w:type="dxa"/>
          </w:tcPr>
          <w:p>
            <w:pPr>
              <w:pStyle w:val="CeldaAPA"/>
              <w:jc w:val="left"/>
            </w:pPr>
            <w:r>
              <w:rPr/>
              <w:t xml:space="preserve">Un ítem fuera de tolerancia</w:t>
            </w:r>
          </w:p>
        </w:tc>
        <w:tc>
          <w:tcPr>
            <w:tcW w:w="2870" w:type="dxa"/>
          </w:tcPr>
          <w:p>
            <w:pPr>
              <w:pStyle w:val="CeldaAPA"/>
              <w:jc w:val="left"/>
            </w:pPr>
            <w:r>
              <w:rPr/>
              <w:t xml:space="preserve">El ítem no se presenta en la planilla hasta explicar o corregir la diferencia</w:t>
            </w:r>
          </w:p>
        </w:tc>
      </w:tr>
      <w:tr>
        <w:tc>
          <w:tcPr>
            <w:tcW w:w="1783" w:type="dxa"/>
          </w:tcPr>
          <w:p>
            <w:pPr>
              <w:pStyle w:val="CeldaAPA"/>
              <w:jc w:val="left"/>
            </w:pPr>
            <m:oMath>
              <m:r>
                <m:rPr>
                  <m:sty m:val="p"/>
                </m:rPr>
                <m:t>%</m:t>
              </m:r>
              <m:r>
                <m:t>C</m:t>
              </m:r>
              <m:r>
                <m:t>N</m:t>
              </m:r>
              <m:r>
                <m:t>C</m:t>
              </m:r>
            </m:oMath>
            <w:r>
              <w:rPr/>
              <w:t xml:space="preserve"> </w:t>
            </w:r>
            <w:r>
              <w:rPr/>
              <w:t xml:space="preserve">(OC11)</w:t>
            </w:r>
          </w:p>
        </w:tc>
        <w:tc>
          <w:tcPr>
            <w:tcW w:w="2163" w:type="dxa"/>
          </w:tcPr>
          <w:p>
            <w:pPr>
              <w:pStyle w:val="CeldaAPA"/>
              <w:jc w:val="left"/>
            </w:pPr>
            <w:r>
              <w:rPr/>
              <w:t xml:space="preserve">Planilla C.6</w:t>
            </w:r>
          </w:p>
        </w:tc>
        <w:tc>
          <w:tcPr>
            <w:tcW w:w="2544" w:type="dxa"/>
          </w:tcPr>
          <w:p>
            <w:pPr>
              <w:pStyle w:val="CeldaAPA"/>
              <w:jc w:val="left"/>
            </w:pPr>
            <w:r>
              <w:rPr/>
              <w:t xml:space="preserve">Valor mensual sobre la meta</w:t>
            </w:r>
          </w:p>
        </w:tc>
        <w:tc>
          <w:tcPr>
            <w:tcW w:w="2870" w:type="dxa"/>
          </w:tcPr>
          <w:p>
            <w:pPr>
              <w:pStyle w:val="CeldaAPA"/>
              <w:jc w:val="left"/>
            </w:pPr>
            <w:r>
              <w:rPr/>
              <w:t xml:space="preserve">Revisión mensual: acciones sobre las fallas de mayor costo (Pareto)</w:t>
            </w:r>
          </w:p>
        </w:tc>
      </w:tr>
      <w:tr>
        <w:tc>
          <w:tcPr>
            <w:tcW w:w="1783" w:type="dxa"/>
            <w:tcBorders>
              <w:bottom w:val="single" w:sz="8" w:space="0" w:color="000000"/>
            </w:tcBorders>
          </w:tcPr>
          <w:p>
            <w:pPr>
              <w:pStyle w:val="CeldaAPA"/>
              <w:jc w:val="left"/>
            </w:pPr>
            <w:r>
              <w:rPr/>
              <w:t xml:space="preserve">Reducción del costo unitario (OC12)</w:t>
            </w:r>
          </w:p>
        </w:tc>
        <w:tc>
          <w:tcPr>
            <w:tcW w:w="2163" w:type="dxa"/>
            <w:tcBorders>
              <w:bottom w:val="single" w:sz="8" w:space="0" w:color="000000"/>
            </w:tcBorders>
          </w:tcPr>
          <w:p>
            <w:pPr>
              <w:pStyle w:val="CeldaAPA"/>
              <w:jc w:val="left"/>
            </w:pPr>
            <w:r>
              <w:rPr/>
              <w:t xml:space="preserve">Planilla C.6 y planillas de avance</w:t>
            </w:r>
          </w:p>
        </w:tc>
        <w:tc>
          <w:tcPr>
            <w:tcW w:w="2544" w:type="dxa"/>
            <w:tcBorders>
              <w:bottom w:val="single" w:sz="8" w:space="0" w:color="000000"/>
            </w:tcBorders>
          </w:tcPr>
          <w:p>
            <w:pPr>
              <w:pStyle w:val="CeldaAPA"/>
              <w:jc w:val="left"/>
            </w:pPr>
            <m:oMath>
              <m:r>
                <m:t>r</m:t>
              </m:r>
              <m:r>
                <m:rPr>
                  <m:sty m:val="p"/>
                </m:rPr>
                <m:t>&lt;</m:t>
              </m:r>
              <m:r>
                <m:t>5</m:t>
              </m:r>
            </m:oMath>
            <w:r>
              <w:rPr/>
              <w:t xml:space="preserve"> % al cerrar una losa</w:t>
            </w:r>
          </w:p>
        </w:tc>
        <w:tc>
          <w:tcPr>
            <w:tcW w:w="2870" w:type="dxa"/>
            <w:tcBorders>
              <w:bottom w:val="single" w:sz="8" w:space="0" w:color="000000"/>
            </w:tcBorders>
          </w:tcPr>
          <w:p>
            <w:pPr>
              <w:pStyle w:val="CeldaAPA"/>
              <w:jc w:val="left"/>
            </w:pPr>
            <w:r>
              <w:rPr/>
              <w:t xml:space="preserve">Revisión del plan de la calidad antes de la losa siguiente</w:t>
            </w:r>
          </w:p>
        </w:tc>
      </w:tr>
    </w:tbl>
    <w:p>
      <w:pPr>
        <w:pStyle w:val="NotaAPA"/>
      </w:pPr>
      <w:r>
        <w:rPr>
          <w:iCs/>
          <w:i/>
        </w:rPr>
        <w:t xml:space="preserve">Nota.</w:t>
      </w:r>
      <w:r>
        <w:t xml:space="preserve"> </w:t>
      </w:r>
      <w:r>
        <w:t xml:space="preserve">Elaboración propia. OC: objetivo de la calidad (Tabla 33); NC: no conformidad.</w:t>
      </w:r>
    </w:p>
    <w:p>
      <w:pPr>
        <w:pStyle w:val="BodyText"/>
      </w:pPr>
      <w:r>
        <w:rPr>
          <w:bCs/>
          <w:b/>
        </w:rPr>
        <w:t xml:space="preserve">Conciliación mensual con la planilla de avance.</w:t>
      </w:r>
      <w:r>
        <w:t xml:space="preserve"> </w:t>
      </w:r>
      <w:r>
        <w:t xml:space="preserve">Como el contrato exige notificar la medición con dos días hábiles de anticipación y medir conjuntamente con la Supervisión</w:t>
      </w:r>
      <w:r>
        <w:t xml:space="preserve"> </w:t>
      </w:r>
      <w:r>
        <w:t xml:space="preserve">(UATF, 2025, p. 99)</w:t>
      </w:r>
      <w:r>
        <w:t xml:space="preserve">, la conciliación se integra al ciclo de la planilla:</w:t>
      </w:r>
      <w:r>
        <w:t xml:space="preserve"> </w:t>
      </w:r>
      <w:r>
        <w:t xml:space="preserve">(1) dos días antes de medir, se cierran las fichas C.4 del mes y el kardex; (2) se mide de forma conjunta y neta con la Supervisión; (3) se completa la conciliación acumulada de cada material e ítem con sus desviaciones y alertas (Tabla 38); (4) solo se presentan los ítems sin alertas pendientes; (5) la conciliación, firmada por el encargado de calidad y el Supervisor, se adjunta a la planilla y al informe mensual que revisa el Fiscal; y (6) las cantidades aprobadas actualizan el registro único de cantidades.</w:t>
      </w:r>
    </w:p>
    <w:p>
      <w:pPr>
        <w:pStyle w:val="BodyText"/>
      </w:pPr>
      <w:r>
        <w:rPr>
          <w:bCs/>
          <w:b/>
        </w:rPr>
        <w:t xml:space="preserve">Auditoría interna simplificada.</w:t>
      </w:r>
      <w:r>
        <w:t xml:space="preserve"> </w:t>
      </w:r>
      <w:r>
        <w:t xml:space="preserve">Dos auditorías por losa, a la mitad y al cierre, con la lista de verificación C.1 y el plan de la calidad como criterios, a cargo del Supervisor o de un profesional independiente del proceso. La muestra mínima abarca todos los puntos de espera de tres paños elegidos al azar, cinco vales contrastados con el kardex, la codificación de las probetas de un vaciado y la última conciliación. Los hallazgos se registran como no conformidades (C.5).</w:t>
      </w:r>
    </w:p>
    <w:p>
      <w:pPr>
        <w:pStyle w:val="BodyText"/>
      </w:pPr>
      <w:r>
        <w:rPr>
          <w:bCs/>
          <w:b/>
        </w:rPr>
        <w:t xml:space="preserve">Revisión semanal y mensual.</w:t>
      </w:r>
      <w:r>
        <w:t xml:space="preserve"> </w:t>
      </w:r>
      <w:r>
        <w:t xml:space="preserve">La revisión semanal es operativa (Sección 2.6.5). La mensual, presidida por el Director de obra con la Supervisión y la Fiscalización, analiza indicadores y tendencias, no conformidades y acciones correctivas, auditorías, costos de la calidad, conciliación, desempeño de proveedores, riesgos y cambios, y decide mejoras, recursos y ajustes del plan, de las metas y de los riesgos, que constan en un acta.</w:t>
      </w:r>
    </w:p>
    <w:p>
      <w:pPr>
        <w:pStyle w:val="Heading3"/>
      </w:pPr>
      <w:bookmarkStart w:id="179" w:name="tit126"/>
      <w:r>
        <w:t xml:space="preserve">2.6.8. Mejora: no conformidades, acción correctiva y mejora continua</w:t>
      </w:r>
      <w:bookmarkEnd w:id="179"/>
    </w:p>
    <w:p>
      <w:pPr>
        <w:pStyle w:val="FirstParagraph"/>
      </w:pPr>
      <w:r>
        <w:rPr>
          <w:bCs/>
          <w:b/>
        </w:rPr>
        <w:t xml:space="preserve">Procedimiento de no conformidades y acción correctiva.</w:t>
      </w:r>
      <w:r>
        <w:t xml:space="preserve"> </w:t>
      </w:r>
      <w:r>
        <w:t xml:space="preserve">Una no conformidad es todo incumplimiento de un requisito del plano, de la ET, del PPI, de un procedimiento o del contrato. Es</w:t>
      </w:r>
      <w:r>
        <w:t xml:space="preserve"> </w:t>
      </w:r>
      <w:r>
        <w:rPr>
          <w:iCs/>
          <w:i/>
        </w:rPr>
        <w:t xml:space="preserve">crítica</w:t>
      </w:r>
      <w:r>
        <w:t xml:space="preserve"> </w:t>
      </w:r>
      <w:r>
        <w:t xml:space="preserve">si compromete la seguridad estructural o si un paño se vació sin liberación;</w:t>
      </w:r>
      <w:r>
        <w:t xml:space="preserve"> </w:t>
      </w:r>
      <w:r>
        <w:rPr>
          <w:iCs/>
          <w:i/>
        </w:rPr>
        <w:t xml:space="preserve">mayor</w:t>
      </w:r>
      <w:r>
        <w:t xml:space="preserve"> </w:t>
      </w:r>
      <w:r>
        <w:t xml:space="preserve">si afecta a la calidad, a las cantidades o al costo; y</w:t>
      </w:r>
      <w:r>
        <w:t xml:space="preserve"> </w:t>
      </w:r>
      <w:r>
        <w:rPr>
          <w:iCs/>
          <w:i/>
        </w:rPr>
        <w:t xml:space="preserve">menor</w:t>
      </w:r>
      <w:r>
        <w:t xml:space="preserve"> </w:t>
      </w:r>
      <w:r>
        <w:t xml:space="preserve">si es documental y sin efecto en el producto. Toda no conformidad se cierra en 7 días o menos (OC9), y las críticas exigen contención inmediata e intervención de la Supervisión (Figura 12). En la primera losa ninguno de los 24 asientos del Libro de Órdenes registró una no conformidad</w:t>
      </w:r>
      <w:r>
        <w:t xml:space="preserve"> </w:t>
      </w:r>
      <w:r>
        <w:t xml:space="preserve">(UATF, 2025, pp. 114–125)</w:t>
      </w:r>
      <w:r>
        <w:t xml:space="preserve">: el procedimiento busca que los defectos dejen de ser invisibles (B7).</w:t>
      </w:r>
    </w:p>
    <w:p>
      <w:pPr>
        <w:pStyle w:val="Caption"/>
      </w:pPr>
      <w:bookmarkStart w:id="1456" w:name="fig12"/>
      <w:r>
        <w:t xml:space="preserve"/>
      </w:r>
      <w:r>
        <w:rPr>
          <w:bCs/>
          <w:b/>
        </w:rPr>
        <w:t xml:space="preserve">Figura 12</w:t>
      </w:r>
      <w:r>
        <w:br/>
      </w:r>
      <w:r>
        <w:rPr>
          <w:iCs/>
          <w:i/>
        </w:rPr>
        <w:t xml:space="preserve">Flujo del procedimiento de no conformidades y acción correctiva</w:t>
      </w:r>
      <w:bookmarkEnd w:id="1456"/>
    </w:p>
    <w:p>
      <w:pPr>
        <w:pStyle w:val="FiguraAPA"/>
      </w:pPr>
      <w:r>
        <w:drawing>
          <wp:inline>
            <wp:extent cx="4520879" cy="5035724"/>
            <wp:effectExtent b="0" l="0" r="0" t="0"/>
            <wp:docPr descr="image" title="" id="177" name="Picture"/>
            <a:graphic>
              <a:graphicData uri="http://schemas.openxmlformats.org/drawingml/2006/picture">
                <pic:pic>
                  <pic:nvPicPr>
                    <pic:cNvPr descr="/home/user/TesisSGC/07_Entregables/scripts/_trabajo_sencilla/tikz/tikz_79c6164c695b4c4dfa79.png" id="178" name="Picture"/>
                    <pic:cNvPicPr>
                      <a:picLocks noChangeArrowheads="1" noChangeAspect="1"/>
                    </pic:cNvPicPr>
                  </pic:nvPicPr>
                  <pic:blipFill>
                    <a:blip r:embed="rId176"/>
                    <a:stretch>
                      <a:fillRect/>
                    </a:stretch>
                  </pic:blipFill>
                  <pic:spPr bwMode="auto">
                    <a:xfrm>
                      <a:off x="0" y="0"/>
                      <a:ext cx="4520879" cy="5035724"/>
                    </a:xfrm>
                    <a:prstGeom prst="rect">
                      <a:avLst/>
                    </a:prstGeom>
                    <a:noFill/>
                    <a:ln w="9525">
                      <a:noFill/>
                      <a:headEnd/>
                      <a:tailEnd/>
                    </a:ln>
                  </pic:spPr>
                </pic:pic>
              </a:graphicData>
            </a:graphic>
          </wp:inline>
        </w:drawing>
      </w:r>
    </w:p>
    <w:p>
      <w:pPr>
        <w:pStyle w:val="NotaAPA"/>
      </w:pPr>
      <w:r>
        <w:rPr>
          <w:iCs/>
          <w:i/>
        </w:rPr>
        <w:t xml:space="preserve">Nota.</w:t>
      </w:r>
      <w:r>
        <w:t xml:space="preserve"> </w:t>
      </w:r>
      <w:r>
        <w:t xml:space="preserve">Elaboración propia. 6M: mano de obra, método, materiales, maquinaria, medición y medio ambiente.</w:t>
      </w:r>
    </w:p>
    <w:p>
      <w:pPr>
        <w:pStyle w:val="BodyText"/>
      </w:pPr>
      <w:r>
        <w:rPr>
          <w:bCs/>
          <w:b/>
        </w:rPr>
        <w:t xml:space="preserve">Análisis de causas.</w:t>
      </w:r>
      <w:r>
        <w:t xml:space="preserve"> </w:t>
      </w:r>
      <w:r>
        <w:t xml:space="preserve">El análisis distingue la corrección (eliminar el defecto) de la acción correctiva (eliminar su causa). Por ejemplo, los 5 porqués aplicados a la brecha B1 dan la cadena siguiente: la losa no tiene probetas porque no se muestreó en el vaciado; no se muestreó porque nadie tenía asignada la tarea ni existía un plan de muestreo; no existía porque no se exigió un plan de la calidad ni un PPI; y no se exigió porque el control descansaba solo en la verificación de la Supervisión, sin requisitos de registro para la contratista. La causa raíz es la falta de planificación de la calidad del ítem, y la acción correctiva es el plan de muestreo con responsables, el PPI y la certificación condicionada. El ejemplo se basa en hallazgos documentales; las causas deben confirmarse con las entrevistas (formato C.7). Para el desperdicio, el diagrama de Ishikawa ordena las causas en las seis categorías de la Figura 12.</w:t>
      </w:r>
    </w:p>
    <w:p>
      <w:pPr>
        <w:pStyle w:val="BodyText"/>
      </w:pPr>
      <w:r>
        <w:rPr>
          <w:bCs/>
          <w:b/>
        </w:rPr>
        <w:t xml:space="preserve">Mejora continua.</w:t>
      </w:r>
      <w:r>
        <w:t xml:space="preserve"> </w:t>
      </w:r>
      <w:r>
        <w:t xml:space="preserve">Al cerrar cada losa, una revisión de cierre compara los indicadores con las metas y con los paños homólogos de la losa anterior, registra las lecciones aprendidas y actualiza el plan, el PPI, los procedimientos y las metas antes de la losa siguiente; las sugerencias del personal se recogen en la reunión semanal. Así se cierra el ciclo PHVA de la Figura 10.</w:t>
      </w:r>
    </w:p>
    <w:p>
      <w:pPr>
        <w:pStyle w:val="Heading3"/>
      </w:pPr>
      <w:bookmarkStart w:id="180" w:name="tit127"/>
      <w:r>
        <w:t xml:space="preserve">2.6.9. Registro de costos de la calidad</w:t>
      </w:r>
      <w:bookmarkEnd w:id="180"/>
    </w:p>
    <w:p>
      <w:pPr>
        <w:pStyle w:val="FirstParagraph"/>
      </w:pPr>
      <w:r>
        <w:t xml:space="preserve">El registro de costos de la calidad hace visible lo que en la primera losa no se midió (B7) y vincula el SGC con la variable dependiente de la investigación. Se adopta el modelo de prevención, evaluación y fallas (PAF) presentado en el Capítulo 1 (Tabla 8), que sigue siendo el modelo genérico más empleado en las empresas constructoras</w:t>
      </w:r>
      <w:r>
        <w:t xml:space="preserve"> </w:t>
      </w:r>
      <w:r>
        <w:t xml:space="preserve">(Gracia Villar y Dzul López, 2007, p. 43)</w:t>
      </w:r>
      <w:r>
        <w:t xml:space="preserve">. Los costos de prevención corresponden a las actividades que evitan defectos; los de evaluación, a las inspecciones y ensayos que verifican la conformidad; los de fallas internas, a los errores detectados antes de la entrega, como desperdicios y repetición de trabajos; y los de fallas externas, a los que aparecen después de entregado el producto al cliente</w:t>
      </w:r>
      <w:r>
        <w:t xml:space="preserve"> </w:t>
      </w:r>
      <w:r>
        <w:t xml:space="preserve">(Gracia Villar y Dzul López, 2007, pp. 48–49)</w:t>
      </w:r>
      <w:r>
        <w:t xml:space="preserve">. La Tabla 42 concreta los conceptos para la losa con base en los ítems de costo de la calidad identificados por</w:t>
      </w:r>
      <w:r>
        <w:t xml:space="preserve"> </w:t>
      </w:r>
      <w:r>
        <w:t xml:space="preserve">Khadim et al. (2023, pp. 5409–5410)</w:t>
      </w:r>
      <w:r>
        <w:t xml:space="preserve">.</w:t>
      </w:r>
    </w:p>
    <w:p>
      <w:pPr>
        <w:pStyle w:val="Caption"/>
      </w:pPr>
      <w:bookmarkStart w:id="1457" w:name="tab42"/>
      <w:r>
        <w:t xml:space="preserve"/>
      </w:r>
      <w:r>
        <w:rPr>
          <w:bCs/>
          <w:b/>
        </w:rPr>
        <w:t xml:space="preserve">Tabla 42</w:t>
      </w:r>
      <w:r>
        <w:br/>
      </w:r>
      <w:r>
        <w:rPr>
          <w:iCs/>
          <w:i/>
        </w:rPr>
        <w:t xml:space="preserve">Conceptos de costos de la calidad de la losa y su valoración (modelo PAF)</w:t>
      </w:r>
      <w:bookmarkEnd w:id="1457"/>
    </w:p>
    <w:tbl>
      <w:tblPr>
        <w:tblStyle w:val="Table"/>
        <w:tblW w:w="9360" w:type="dxa"/>
        <w:jc w:val="left"/>
        <w:tblLayout w:type="fixed"/>
        <w:tblCellMar>
          <w:top w:w="0" w:type="dxa"/>
          <w:left w:w="85" w:type="dxa"/>
          <w:bottom w:w="0" w:type="dxa"/>
          <w:right w:w="85" w:type="dxa"/>
        </w:tblCellMar>
        <w:tblLook w:firstRow="1" w:lastRow="0" w:firstColumn="0" w:lastColumn="0" w:noHBand="0" w:noVBand="0" w:val="0020"/>
      </w:tblPr>
      <w:tblGrid>
        <w:gridCol w:w="1475"/>
        <w:gridCol w:w="3218"/>
        <w:gridCol w:w="2894"/>
        <w:gridCol w:w="1773"/>
      </w:tblGrid>
      <w:tr>
        <w:trPr>
          <w:cantSplit/>
          <w:tblHeader w:val="true"/>
        </w:trPr>
        <w:tc>
          <w:tcPr>
            <w:tcW w:w="1475" w:type="dxa"/>
            <w:tcBorders>
              <w:top w:val="single" w:sz="8" w:space="0" w:color="000000"/>
              <w:bottom w:val="single" w:sz="4" w:space="0" w:color="000000"/>
            </w:tcBorders>
          </w:tcPr>
          <w:p>
            <w:pPr>
              <w:pStyle w:val="CeldaAPA"/>
              <w:jc w:val="center"/>
            </w:pPr>
            <w:r>
              <w:rPr>
                <w:bCs/>
                <w:b/>
              </w:rPr>
              <w:t xml:space="preserve">Categoría</w:t>
            </w:r>
          </w:p>
        </w:tc>
        <w:tc>
          <w:tcPr>
            <w:tcW w:w="3218" w:type="dxa"/>
            <w:tcBorders>
              <w:top w:val="single" w:sz="8" w:space="0" w:color="000000"/>
              <w:bottom w:val="single" w:sz="4" w:space="0" w:color="000000"/>
            </w:tcBorders>
          </w:tcPr>
          <w:p>
            <w:pPr>
              <w:pStyle w:val="CeldaAPA"/>
              <w:jc w:val="center"/>
            </w:pPr>
            <w:r>
              <w:rPr>
                <w:bCs/>
                <w:b/>
              </w:rPr>
              <w:t xml:space="preserve">Concepto típico en la losa</w:t>
            </w:r>
          </w:p>
        </w:tc>
        <w:tc>
          <w:tcPr>
            <w:tcW w:w="2894" w:type="dxa"/>
            <w:tcBorders>
              <w:top w:val="single" w:sz="8" w:space="0" w:color="000000"/>
              <w:bottom w:val="single" w:sz="4" w:space="0" w:color="000000"/>
            </w:tcBorders>
          </w:tcPr>
          <w:p>
            <w:pPr>
              <w:pStyle w:val="CeldaAPA"/>
              <w:jc w:val="center"/>
            </w:pPr>
            <w:r>
              <w:rPr>
                <w:bCs/>
                <w:b/>
              </w:rPr>
              <w:t xml:space="preserve">Base de valoración</w:t>
            </w:r>
          </w:p>
        </w:tc>
        <w:tc>
          <w:tcPr>
            <w:tcW w:w="1773" w:type="dxa"/>
            <w:tcBorders>
              <w:top w:val="single" w:sz="8" w:space="0" w:color="000000"/>
              <w:bottom w:val="single" w:sz="4" w:space="0" w:color="000000"/>
            </w:tcBorders>
          </w:tcPr>
          <w:p>
            <w:pPr>
              <w:pStyle w:val="CeldaAPA"/>
              <w:jc w:val="center"/>
            </w:pPr>
            <w:r>
              <w:rPr>
                <w:bCs/>
                <w:b/>
              </w:rPr>
              <w:t xml:space="preserve">Registro</w:t>
            </w:r>
          </w:p>
        </w:tc>
      </w:tr>
      <w:tr>
        <w:tc>
          <w:tcPr>
            <w:tcW w:w="1475" w:type="dxa"/>
          </w:tcPr>
          <w:p>
            <w:pPr>
              <w:pStyle w:val="CeldaAPA"/>
              <w:jc w:val="left"/>
            </w:pPr>
            <w:r>
              <w:rPr/>
              <w:t xml:space="preserve">Prevención (</w:t>
            </w:r>
            <m:oMath>
              <m:sSub>
                <m:e>
                  <m:r>
                    <m:t>C</m:t>
                  </m:r>
                </m:e>
                <m:sub>
                  <m:r>
                    <m:t>P</m:t>
                  </m:r>
                </m:sub>
              </m:sSub>
            </m:oMath>
            <w:r>
              <w:rPr/>
              <w:t xml:space="preserve">)</w:t>
            </w:r>
          </w:p>
        </w:tc>
        <w:tc>
          <w:tcPr>
            <w:tcW w:w="3218" w:type="dxa"/>
          </w:tcPr>
          <w:p>
            <w:pPr>
              <w:pStyle w:val="CeldaAPA"/>
              <w:jc w:val="left"/>
            </w:pPr>
            <w:r>
              <w:rPr/>
              <w:t xml:space="preserve">Plan de la calidad, PPI y procedimientos; despiece y planillas de armado; plan de tiempo frío</w:t>
            </w:r>
          </w:p>
        </w:tc>
        <w:tc>
          <w:tcPr>
            <w:tcW w:w="2894" w:type="dxa"/>
          </w:tcPr>
          <w:p>
            <w:pPr>
              <w:pStyle w:val="CeldaAPA"/>
              <w:jc w:val="left"/>
            </w:pPr>
            <w:r>
              <w:rPr/>
              <w:t xml:space="preserve">Horas</w:t>
            </w:r>
            <w:r>
              <w:rPr/>
              <w:t xml:space="preserve"> </w:t>
            </w:r>
            <m:oMath>
              <m:r>
                <m:rPr>
                  <m:sty m:val="p"/>
                </m:rPr>
                <m:t>×</m:t>
              </m:r>
            </m:oMath>
            <w:r>
              <w:rPr/>
              <w:t xml:space="preserve"> </w:t>
            </w:r>
            <w:r>
              <w:rPr/>
              <w:t xml:space="preserve">costo horario del APU; materiales de protección</w:t>
            </w:r>
          </w:p>
        </w:tc>
        <w:tc>
          <w:tcPr>
            <w:tcW w:w="1773" w:type="dxa"/>
          </w:tcPr>
          <w:p>
            <w:pPr>
              <w:pStyle w:val="CeldaAPA"/>
              <w:jc w:val="left"/>
            </w:pPr>
            <w:r>
              <w:rPr/>
              <w:t xml:space="preserve">Parte de horas</w:t>
            </w:r>
          </w:p>
        </w:tc>
      </w:tr>
      <w:tr>
        <w:tc>
          <w:tcPr>
            <w:tcW w:w="1475" w:type="dxa"/>
          </w:tcPr>
          <w:p>
            <w:pPr>
              <w:pStyle w:val="CeldaAPA"/>
            </w:pPr>
          </w:p>
        </w:tc>
        <w:tc>
          <w:tcPr>
            <w:tcW w:w="3218" w:type="dxa"/>
          </w:tcPr>
          <w:p>
            <w:pPr>
              <w:pStyle w:val="CeldaAPA"/>
              <w:jc w:val="left"/>
            </w:pPr>
            <w:r>
              <w:rPr/>
              <w:t xml:space="preserve">Capacitación (tres charlas)</w:t>
            </w:r>
          </w:p>
        </w:tc>
        <w:tc>
          <w:tcPr>
            <w:tcW w:w="2894" w:type="dxa"/>
          </w:tcPr>
          <w:p>
            <w:pPr>
              <w:pStyle w:val="CeldaAPA"/>
              <w:jc w:val="left"/>
            </w:pPr>
            <w:r>
              <w:rPr/>
              <w:t xml:space="preserve">Horas-hombre de participantes e instructor</w:t>
            </w:r>
            <w:r>
              <w:rPr/>
              <w:t xml:space="preserve"> </w:t>
            </w:r>
            <m:oMath>
              <m:r>
                <m:rPr>
                  <m:sty m:val="p"/>
                </m:rPr>
                <m:t>×</m:t>
              </m:r>
            </m:oMath>
            <w:r>
              <w:rPr/>
              <w:t xml:space="preserve"> </w:t>
            </w:r>
            <w:r>
              <w:rPr/>
              <w:t xml:space="preserve">costo horario</w:t>
            </w:r>
          </w:p>
        </w:tc>
        <w:tc>
          <w:tcPr>
            <w:tcW w:w="1773" w:type="dxa"/>
          </w:tcPr>
          <w:p>
            <w:pPr>
              <w:pStyle w:val="CeldaAPA"/>
              <w:jc w:val="left"/>
            </w:pPr>
            <w:r>
              <w:rPr/>
              <w:t xml:space="preserve">Lista de asistencia</w:t>
            </w:r>
          </w:p>
        </w:tc>
      </w:tr>
      <w:tr>
        <w:tc>
          <w:tcPr>
            <w:tcW w:w="1475" w:type="dxa"/>
          </w:tcPr>
          <w:p>
            <w:pPr>
              <w:pStyle w:val="CeldaAPA"/>
            </w:pPr>
          </w:p>
        </w:tc>
        <w:tc>
          <w:tcPr>
            <w:tcW w:w="3218" w:type="dxa"/>
          </w:tcPr>
          <w:p>
            <w:pPr>
              <w:pStyle w:val="CeldaAPA"/>
              <w:jc w:val="left"/>
            </w:pPr>
            <w:r>
              <w:rPr/>
              <w:t xml:space="preserve">Evaluación de proveedores y auditoría interna</w:t>
            </w:r>
          </w:p>
        </w:tc>
        <w:tc>
          <w:tcPr>
            <w:tcW w:w="2894" w:type="dxa"/>
          </w:tcPr>
          <w:p>
            <w:pPr>
              <w:pStyle w:val="CeldaAPA"/>
              <w:jc w:val="left"/>
            </w:pPr>
            <w:r>
              <w:rPr/>
              <w:t xml:space="preserve">Horas</w:t>
            </w:r>
            <w:r>
              <w:rPr/>
              <w:t xml:space="preserve"> </w:t>
            </w:r>
            <m:oMath>
              <m:r>
                <m:rPr>
                  <m:sty m:val="p"/>
                </m:rPr>
                <m:t>×</m:t>
              </m:r>
            </m:oMath>
            <w:r>
              <w:rPr/>
              <w:t xml:space="preserve"> </w:t>
            </w:r>
            <w:r>
              <w:rPr/>
              <w:t xml:space="preserve">costo horario</w:t>
            </w:r>
          </w:p>
        </w:tc>
        <w:tc>
          <w:tcPr>
            <w:tcW w:w="1773" w:type="dxa"/>
          </w:tcPr>
          <w:p>
            <w:pPr>
              <w:pStyle w:val="CeldaAPA"/>
              <w:jc w:val="left"/>
            </w:pPr>
            <w:r>
              <w:rPr/>
              <w:t xml:space="preserve">Orden de compra; informe</w:t>
            </w:r>
          </w:p>
        </w:tc>
      </w:tr>
      <w:tr>
        <w:tc>
          <w:tcPr>
            <w:tcW w:w="1475" w:type="dxa"/>
          </w:tcPr>
          <w:p>
            <w:pPr>
              <w:pStyle w:val="CeldaAPA"/>
              <w:jc w:val="left"/>
            </w:pPr>
            <w:r>
              <w:rPr/>
              <w:t xml:space="preserve">Evaluación (</w:t>
            </w:r>
            <m:oMath>
              <m:sSub>
                <m:e>
                  <m:r>
                    <m:t>C</m:t>
                  </m:r>
                </m:e>
                <m:sub>
                  <m:r>
                    <m:t>E</m:t>
                  </m:r>
                </m:sub>
              </m:sSub>
            </m:oMath>
            <w:r>
              <w:rPr/>
              <w:t xml:space="preserve">)</w:t>
            </w:r>
          </w:p>
        </w:tc>
        <w:tc>
          <w:tcPr>
            <w:tcW w:w="3218" w:type="dxa"/>
          </w:tcPr>
          <w:p>
            <w:pPr>
              <w:pStyle w:val="CeldaAPA"/>
              <w:jc w:val="left"/>
            </w:pPr>
            <w:r>
              <w:rPr/>
              <w:t xml:space="preserve">Ensayos de compresión, asentamiento y temperatura</w:t>
            </w:r>
          </w:p>
        </w:tc>
        <w:tc>
          <w:tcPr>
            <w:tcW w:w="2894" w:type="dxa"/>
          </w:tcPr>
          <w:p>
            <w:pPr>
              <w:pStyle w:val="CeldaAPA"/>
              <w:jc w:val="left"/>
            </w:pPr>
            <w:r>
              <w:rPr/>
              <w:t xml:space="preserve">Número de ensayos</w:t>
            </w:r>
            <w:r>
              <w:rPr/>
              <w:t xml:space="preserve"> </w:t>
            </w:r>
            <m:oMath>
              <m:r>
                <m:rPr>
                  <m:sty m:val="p"/>
                </m:rPr>
                <m:t>×</m:t>
              </m:r>
            </m:oMath>
            <w:r>
              <w:rPr/>
              <w:t xml:space="preserve"> </w:t>
            </w:r>
            <w:r>
              <w:rPr/>
              <w:t xml:space="preserve">precio del laboratorio; horas del técnico</w:t>
            </w:r>
          </w:p>
        </w:tc>
        <w:tc>
          <w:tcPr>
            <w:tcW w:w="1773" w:type="dxa"/>
          </w:tcPr>
          <w:p>
            <w:pPr>
              <w:pStyle w:val="CeldaAPA"/>
              <w:jc w:val="left"/>
            </w:pPr>
            <w:r>
              <w:rPr/>
              <w:t xml:space="preserve">Facturas; planilla de muestreo</w:t>
            </w:r>
          </w:p>
        </w:tc>
      </w:tr>
      <w:tr>
        <w:tc>
          <w:tcPr>
            <w:tcW w:w="1475" w:type="dxa"/>
          </w:tcPr>
          <w:p>
            <w:pPr>
              <w:pStyle w:val="CeldaAPA"/>
            </w:pPr>
          </w:p>
        </w:tc>
        <w:tc>
          <w:tcPr>
            <w:tcW w:w="3218" w:type="dxa"/>
          </w:tcPr>
          <w:p>
            <w:pPr>
              <w:pStyle w:val="CeldaAPA"/>
              <w:jc w:val="left"/>
            </w:pPr>
            <w:r>
              <w:rPr/>
              <w:t xml:space="preserve">Inspecciones del PPI, recepción, pesajes, inventarios y conciliación</w:t>
            </w:r>
          </w:p>
        </w:tc>
        <w:tc>
          <w:tcPr>
            <w:tcW w:w="2894" w:type="dxa"/>
          </w:tcPr>
          <w:p>
            <w:pPr>
              <w:pStyle w:val="CeldaAPA"/>
              <w:jc w:val="left"/>
            </w:pPr>
            <w:r>
              <w:rPr/>
              <w:t xml:space="preserve">Horas del encargado de calidad, del Capataz y del Almacenero</w:t>
            </w:r>
            <w:r>
              <w:rPr/>
              <w:t xml:space="preserve"> </w:t>
            </w:r>
            <m:oMath>
              <m:r>
                <m:rPr>
                  <m:sty m:val="p"/>
                </m:rPr>
                <m:t>×</m:t>
              </m:r>
            </m:oMath>
            <w:r>
              <w:rPr/>
              <w:t xml:space="preserve"> </w:t>
            </w:r>
            <w:r>
              <w:rPr/>
              <w:t xml:space="preserve">costo horario</w:t>
            </w:r>
          </w:p>
        </w:tc>
        <w:tc>
          <w:tcPr>
            <w:tcW w:w="1773" w:type="dxa"/>
          </w:tcPr>
          <w:p>
            <w:pPr>
              <w:pStyle w:val="CeldaAPA"/>
              <w:jc w:val="left"/>
            </w:pPr>
            <w:r>
              <w:rPr/>
              <w:t xml:space="preserve">Fichas C.2 a C.4</w:t>
            </w:r>
          </w:p>
        </w:tc>
      </w:tr>
      <w:tr>
        <w:tc>
          <w:tcPr>
            <w:tcW w:w="1475" w:type="dxa"/>
          </w:tcPr>
          <w:p>
            <w:pPr>
              <w:pStyle w:val="CeldaAPA"/>
              <w:jc w:val="left"/>
            </w:pPr>
            <w:r>
              <w:rPr/>
              <w:t xml:space="preserve">Fallas internas (</w:t>
            </w:r>
            <m:oMath>
              <m:sSub>
                <m:e>
                  <m:r>
                    <m:t>C</m:t>
                  </m:r>
                </m:e>
                <m:sub>
                  <m:r>
                    <m:t>F</m:t>
                  </m:r>
                  <m:r>
                    <m:t>I</m:t>
                  </m:r>
                </m:sub>
              </m:sSub>
            </m:oMath>
            <w:r>
              <w:rPr/>
              <w:t xml:space="preserve">)</w:t>
            </w:r>
          </w:p>
        </w:tc>
        <w:tc>
          <w:tcPr>
            <w:tcW w:w="3218" w:type="dxa"/>
          </w:tcPr>
          <w:p>
            <w:pPr>
              <w:pStyle w:val="CeldaAPA"/>
              <w:jc w:val="left"/>
            </w:pPr>
            <w:r>
              <w:rPr/>
              <w:t xml:space="preserve">Desperdicio de materiales sobre lo teórico</w:t>
            </w:r>
          </w:p>
        </w:tc>
        <w:tc>
          <w:tcPr>
            <w:tcW w:w="2894" w:type="dxa"/>
          </w:tcPr>
          <w:p>
            <w:pPr>
              <w:pStyle w:val="CeldaAPA"/>
              <w:jc w:val="left"/>
            </w:pPr>
            <w:r>
              <w:rPr/>
              <w:t xml:space="preserve">Ecuación (15), a precios del contrato</w:t>
            </w:r>
          </w:p>
        </w:tc>
        <w:tc>
          <w:tcPr>
            <w:tcW w:w="1773" w:type="dxa"/>
          </w:tcPr>
          <w:p>
            <w:pPr>
              <w:pStyle w:val="CeldaAPA"/>
              <w:jc w:val="left"/>
            </w:pPr>
            <w:r>
              <w:rPr/>
              <w:t xml:space="preserve">Ficha C.4</w:t>
            </w:r>
          </w:p>
        </w:tc>
      </w:tr>
      <w:tr>
        <w:tc>
          <w:tcPr>
            <w:tcW w:w="1475" w:type="dxa"/>
          </w:tcPr>
          <w:p>
            <w:pPr>
              <w:pStyle w:val="CeldaAPA"/>
            </w:pPr>
          </w:p>
        </w:tc>
        <w:tc>
          <w:tcPr>
            <w:tcW w:w="3218" w:type="dxa"/>
          </w:tcPr>
          <w:p>
            <w:pPr>
              <w:pStyle w:val="CeldaAPA"/>
              <w:jc w:val="left"/>
            </w:pPr>
            <w:r>
              <w:rPr/>
              <w:t xml:space="preserve">Retrabajos, reparaciones y material no conforme repuesto (nidos de grava, armadura repuesta, viguetas rotas, EPS dañado)</w:t>
            </w:r>
          </w:p>
        </w:tc>
        <w:tc>
          <w:tcPr>
            <w:tcW w:w="2894" w:type="dxa"/>
          </w:tcPr>
          <w:p>
            <w:pPr>
              <w:pStyle w:val="CeldaAPA"/>
              <w:jc w:val="left"/>
            </w:pPr>
            <w:r>
              <w:rPr/>
              <w:t xml:space="preserve">Horas-hombre, materiales y equipo a precios del APU</w:t>
            </w:r>
          </w:p>
        </w:tc>
        <w:tc>
          <w:tcPr>
            <w:tcW w:w="1773" w:type="dxa"/>
          </w:tcPr>
          <w:p>
            <w:pPr>
              <w:pStyle w:val="CeldaAPA"/>
              <w:jc w:val="left"/>
            </w:pPr>
            <w:r>
              <w:rPr/>
              <w:t xml:space="preserve">Registro C.5</w:t>
            </w:r>
          </w:p>
        </w:tc>
      </w:tr>
      <w:tr>
        <w:tc>
          <w:tcPr>
            <w:tcW w:w="1475" w:type="dxa"/>
          </w:tcPr>
          <w:p>
            <w:pPr>
              <w:pStyle w:val="CeldaAPA"/>
            </w:pPr>
          </w:p>
        </w:tc>
        <w:tc>
          <w:tcPr>
            <w:tcW w:w="3218" w:type="dxa"/>
          </w:tcPr>
          <w:p>
            <w:pPr>
              <w:pStyle w:val="CeldaAPA"/>
              <w:jc w:val="left"/>
            </w:pPr>
            <w:r>
              <w:rPr/>
              <w:t xml:space="preserve">Esperas por material faltante o no conforme</w:t>
            </w:r>
          </w:p>
        </w:tc>
        <w:tc>
          <w:tcPr>
            <w:tcW w:w="2894" w:type="dxa"/>
          </w:tcPr>
          <w:p>
            <w:pPr>
              <w:pStyle w:val="CeldaAPA"/>
              <w:jc w:val="left"/>
            </w:pPr>
            <w:r>
              <w:rPr/>
              <w:t xml:space="preserve">Horas improductivas de la cuadrilla</w:t>
            </w:r>
            <w:r>
              <w:rPr/>
              <w:t xml:space="preserve"> </w:t>
            </w:r>
            <m:oMath>
              <m:r>
                <m:rPr>
                  <m:sty m:val="p"/>
                </m:rPr>
                <m:t>×</m:t>
              </m:r>
            </m:oMath>
            <w:r>
              <w:rPr/>
              <w:t xml:space="preserve"> </w:t>
            </w:r>
            <w:r>
              <w:rPr/>
              <w:t xml:space="preserve">costo horario</w:t>
            </w:r>
          </w:p>
        </w:tc>
        <w:tc>
          <w:tcPr>
            <w:tcW w:w="1773" w:type="dxa"/>
          </w:tcPr>
          <w:p>
            <w:pPr>
              <w:pStyle w:val="CeldaAPA"/>
              <w:jc w:val="left"/>
            </w:pPr>
            <w:r>
              <w:rPr/>
              <w:t xml:space="preserve">Parte diario</w:t>
            </w:r>
          </w:p>
        </w:tc>
      </w:tr>
      <w:tr>
        <w:tc>
          <w:tcPr>
            <w:tcW w:w="1475" w:type="dxa"/>
          </w:tcPr>
          <w:p>
            <w:pPr>
              <w:pStyle w:val="CeldaAPA"/>
            </w:pPr>
          </w:p>
        </w:tc>
        <w:tc>
          <w:tcPr>
            <w:tcW w:w="3218" w:type="dxa"/>
          </w:tcPr>
          <w:p>
            <w:pPr>
              <w:pStyle w:val="CeldaAPA"/>
              <w:jc w:val="left"/>
            </w:pPr>
            <w:r>
              <w:rPr/>
              <w:t xml:space="preserve">Investigación de resistencias bajas</w:t>
            </w:r>
          </w:p>
        </w:tc>
        <w:tc>
          <w:tcPr>
            <w:tcW w:w="2894" w:type="dxa"/>
          </w:tcPr>
          <w:p>
            <w:pPr>
              <w:pStyle w:val="CeldaAPA"/>
              <w:jc w:val="left"/>
            </w:pPr>
            <w:r>
              <w:rPr/>
              <w:t xml:space="preserve">Núcleos</w:t>
            </w:r>
            <w:r>
              <w:rPr/>
              <w:t xml:space="preserve"> </w:t>
            </w:r>
            <m:oMath>
              <m:r>
                <m:rPr>
                  <m:sty m:val="p"/>
                </m:rPr>
                <m:t>×</m:t>
              </m:r>
            </m:oMath>
            <w:r>
              <w:rPr/>
              <w:t xml:space="preserve"> </w:t>
            </w:r>
            <w:r>
              <w:rPr/>
              <w:t xml:space="preserve">precio del laboratorio</w:t>
            </w:r>
          </w:p>
        </w:tc>
        <w:tc>
          <w:tcPr>
            <w:tcW w:w="1773" w:type="dxa"/>
          </w:tcPr>
          <w:p>
            <w:pPr>
              <w:pStyle w:val="CeldaAPA"/>
              <w:jc w:val="left"/>
            </w:pPr>
            <w:r>
              <w:rPr/>
              <w:t xml:space="preserve">Informe del laboratorio</w:t>
            </w:r>
          </w:p>
        </w:tc>
      </w:tr>
      <w:tr>
        <w:tc>
          <w:tcPr>
            <w:tcW w:w="1475" w:type="dxa"/>
          </w:tcPr>
          <w:p>
            <w:pPr>
              <w:pStyle w:val="CeldaAPA"/>
              <w:jc w:val="left"/>
            </w:pPr>
            <w:r>
              <w:rPr/>
              <w:t xml:space="preserve">Fallas externas (</w:t>
            </w:r>
            <m:oMath>
              <m:sSub>
                <m:e>
                  <m:r>
                    <m:t>C</m:t>
                  </m:r>
                </m:e>
                <m:sub>
                  <m:r>
                    <m:t>F</m:t>
                  </m:r>
                  <m:r>
                    <m:t>E</m:t>
                  </m:r>
                </m:sub>
              </m:sSub>
            </m:oMath>
            <w:r>
              <w:rPr/>
              <w:t xml:space="preserve">)</w:t>
            </w:r>
          </w:p>
        </w:tc>
        <w:tc>
          <w:tcPr>
            <w:tcW w:w="3218" w:type="dxa"/>
          </w:tcPr>
          <w:p>
            <w:pPr>
              <w:pStyle w:val="CeldaAPA"/>
              <w:jc w:val="left"/>
            </w:pPr>
            <w:r>
              <w:rPr/>
              <w:t xml:space="preserve">Sobremediciones detectadas y corregidas después de pagadas</w:t>
            </w:r>
          </w:p>
        </w:tc>
        <w:tc>
          <w:tcPr>
            <w:tcW w:w="2894" w:type="dxa"/>
          </w:tcPr>
          <w:p>
            <w:pPr>
              <w:pStyle w:val="CeldaAPA"/>
              <w:jc w:val="left"/>
            </w:pPr>
            <w:r>
              <w:rPr/>
              <w:t xml:space="preserve">Monto descontado en la planilla</w:t>
            </w:r>
          </w:p>
        </w:tc>
        <w:tc>
          <w:tcPr>
            <w:tcW w:w="1773" w:type="dxa"/>
          </w:tcPr>
          <w:p>
            <w:pPr>
              <w:pStyle w:val="CeldaAPA"/>
              <w:jc w:val="left"/>
            </w:pPr>
            <w:r>
              <w:rPr/>
              <w:t xml:space="preserve">Planillas de avance</w:t>
            </w:r>
          </w:p>
        </w:tc>
      </w:tr>
      <w:tr>
        <w:tc>
          <w:tcPr>
            <w:tcW w:w="1475" w:type="dxa"/>
            <w:tcBorders>
              <w:bottom w:val="single" w:sz="8" w:space="0" w:color="000000"/>
            </w:tcBorders>
          </w:tcPr>
          <w:p>
            <w:pPr>
              <w:pStyle w:val="CeldaAPA"/>
            </w:pPr>
          </w:p>
        </w:tc>
        <w:tc>
          <w:tcPr>
            <w:tcW w:w="3218" w:type="dxa"/>
            <w:tcBorders>
              <w:bottom w:val="single" w:sz="8" w:space="0" w:color="000000"/>
            </w:tcBorders>
          </w:tcPr>
          <w:p>
            <w:pPr>
              <w:pStyle w:val="CeldaAPA"/>
              <w:jc w:val="left"/>
            </w:pPr>
            <w:r>
              <w:rPr/>
              <w:t xml:space="preserve">Reparaciones después de la recepción provisional; multas y plazo adicional atribuibles a fallas</w:t>
            </w:r>
          </w:p>
        </w:tc>
        <w:tc>
          <w:tcPr>
            <w:tcW w:w="2894" w:type="dxa"/>
            <w:tcBorders>
              <w:bottom w:val="single" w:sz="8" w:space="0" w:color="000000"/>
            </w:tcBorders>
          </w:tcPr>
          <w:p>
            <w:pPr>
              <w:pStyle w:val="CeldaAPA"/>
              <w:jc w:val="left"/>
            </w:pPr>
            <w:r>
              <w:rPr/>
              <w:t xml:space="preserve">Costos a precios del APU; montos de multas y gastos generales</w:t>
            </w:r>
          </w:p>
        </w:tc>
        <w:tc>
          <w:tcPr>
            <w:tcW w:w="1773" w:type="dxa"/>
            <w:tcBorders>
              <w:bottom w:val="single" w:sz="8" w:space="0" w:color="000000"/>
            </w:tcBorders>
          </w:tcPr>
          <w:p>
            <w:pPr>
              <w:pStyle w:val="CeldaAPA"/>
              <w:jc w:val="left"/>
            </w:pPr>
            <w:r>
              <w:rPr/>
              <w:t xml:space="preserve">Libro de Órdenes; C.5</w:t>
            </w:r>
          </w:p>
        </w:tc>
      </w:tr>
    </w:tbl>
    <w:p>
      <w:pPr>
        <w:pStyle w:val="NotaAPA"/>
      </w:pPr>
      <w:r>
        <w:rPr>
          <w:iCs/>
          <w:i/>
        </w:rPr>
        <w:t xml:space="preserve">Nota.</w:t>
      </w:r>
      <w:r>
        <w:t xml:space="preserve"> </w:t>
      </w:r>
      <w:r>
        <w:t xml:space="preserve">Elaboración propia con base en</w:t>
      </w:r>
      <w:r>
        <w:t xml:space="preserve"> </w:t>
      </w:r>
      <w:r>
        <w:t xml:space="preserve">Gracia Villar y Dzul López (2007, pp. 48–49)</w:t>
      </w:r>
      <w:r>
        <w:t xml:space="preserve"> </w:t>
      </w:r>
      <w:r>
        <w:t xml:space="preserve">y</w:t>
      </w:r>
      <w:r>
        <w:t xml:space="preserve"> </w:t>
      </w:r>
      <w:r>
        <w:t xml:space="preserve">Khadim et al. (2023, pp. 5409–5410)</w:t>
      </w:r>
      <w:r>
        <w:t xml:space="preserve">. Precios y costos horarios del análisis de precios unitarios (APU) del contrato, a precios constantes. En la línea base, el descuento de 1.915,16 kg de acero (Bs 32.090,11) en la planilla de cierre</w:t>
      </w:r>
      <w:r>
        <w:t xml:space="preserve"> </w:t>
      </w:r>
      <w:r>
        <w:t xml:space="preserve">(UATF, s. f.-c)</w:t>
      </w:r>
      <w:r>
        <w:t xml:space="preserve"> </w:t>
      </w:r>
      <w:r>
        <w:t xml:space="preserve">es un ejemplo de sobremedición corregida.</w:t>
      </w:r>
    </w:p>
    <w:p>
      <w:pPr>
        <w:pStyle w:val="BodyText"/>
      </w:pPr>
      <w:r>
        <w:rPr>
          <w:bCs/>
          <w:b/>
        </w:rPr>
        <w:t xml:space="preserve">Reglas de valoración.</w:t>
      </w:r>
      <w:r>
        <w:t xml:space="preserve"> </w:t>
      </w:r>
      <w:r>
        <w:t xml:space="preserve">(1) Todo costo se valora a precios constantes del contrato, como el costo unitario de la ecuación (9), para aislar el efecto de la inflación. (2) Las horas se valoran con el costo horario de la categoría en el APU. (3) Cada boliviano se registra una sola vez y en una sola categoría: el desperdicio de materiales se obtiene solo de la conciliación (PCM-04) y no se repite como retrabajo. (4) Los costos de prevención y de evaluación se registran por semana, las fallas internas por paño y las externas por planilla, y todos se consolidan por mes y por losa en la planilla C.6. (5) Los costos ocultos, que la contabilidad tradicional no capta</w:t>
      </w:r>
      <w:r>
        <w:t xml:space="preserve"> </w:t>
      </w:r>
      <w:r>
        <w:t xml:space="preserve">(Khadim et al., 2023, p. 5403)</w:t>
      </w:r>
      <w:r>
        <w:t xml:space="preserve">, como la pérdida de productividad o de reputación, se anotan de forma cualitativa.</w:t>
      </w:r>
    </w:p>
    <w:p>
      <w:pPr>
        <w:pStyle w:val="BodyText"/>
      </w:pPr>
      <w:r>
        <w:rPr>
          <w:bCs/>
          <w:b/>
        </w:rPr>
        <w:t xml:space="preserve">Relación con el costo unitario y el costo de no calidad.</w:t>
      </w:r>
      <w:r>
        <w:t xml:space="preserve"> </w:t>
      </w:r>
      <w:r>
        <w:t xml:space="preserve">El costo de las pérdidas de materiales es la diferencia entre el consumo real y el teórico multiplicada por el costo unitario</w:t>
      </w:r>
      <w:r>
        <w:t xml:space="preserve"> </w:t>
      </w:r>
      <w:r>
        <w:t xml:space="preserve">(Rossi et al., 2001, tabla 2)</w:t>
      </w:r>
      <w:r>
        <w:t xml:space="preserve">. Con las cantidades colocadas de la ecuación (12):</w:t>
      </w:r>
    </w:p>
    <w:tbl>
      <w:tblPr>
        <w:tblW w:w="9360" w:type="dxa"/>
        <w:tblLayout w:type="fixed"/>
        <w:tblCellMar>
          <w:left w:w="0" w:type="dxa"/>
          <w:right w:w="0" w:type="dxa"/>
        </w:tblCellMar>
        <w:tblLook w:val="0000" w:firstRow="0" w:lastRow="0" w:firstColumn="0" w:lastColumn="0" w:noHBand="1" w:noVBand="1"/>
        <w:tblCaption w:val="Ecuación"/>
      </w:tblPr>
      <w:tblGrid>
        <w:gridCol w:w="1134"/>
        <w:gridCol w:w="7092"/>
        <w:gridCol w:w="1134"/>
      </w:tblGrid>
      <w:tr>
        <w:trPr>
          <w:cantSplit/>
        </w:trPr>
        <w:tc>
          <w:tcPr>
            <w:tcW w:w="1134" w:type="dxa"/>
            <w:vAlign w:val="center"/>
          </w:tcPr>
          <w:p>
            <w:pPr>
              <w:pStyle w:val="EcuacionAPA"/>
            </w:pPr>
          </w:p>
        </w:tc>
        <w:tc>
          <w:tcPr>
            <w:tcW w:w="7092" w:type="dxa"/>
            <w:vAlign w:val="center"/>
          </w:tcPr>
          <w:p>
            <w:pPr>
              <w:pStyle w:val="EcuacionAPA"/>
            </w:pPr>
            <m:oMathPara>
              <m:oMathParaPr>
                <m:jc m:val="center"/>
              </m:oMathParaPr>
              <m:oMath>
                <m:sSubSup>
                  <m:e>
                    <m:r>
                      <m:t>C</m:t>
                    </m:r>
                  </m:e>
                  <m:sub>
                    <m:r>
                      <m:t>F</m:t>
                    </m:r>
                    <m:r>
                      <m:t>I</m:t>
                    </m:r>
                  </m:sub>
                  <m:sup>
                    <m:r>
                      <m:t> </m:t>
                    </m:r>
                    <m:r>
                      <m:t>m</m:t>
                    </m:r>
                    <m:r>
                      <m:t>a</m:t>
                    </m:r>
                    <m:r>
                      <m:t>t</m:t>
                    </m:r>
                  </m:sup>
                </m:sSubSup>
                <m:r>
                  <m:rPr>
                    <m:sty m:val="p"/>
                  </m:rPr>
                  <m:t>=</m:t>
                </m:r>
                <m:nary>
                  <m:naryPr>
                    <m:chr m:val="∑"/>
                    <m:limLoc m:val="undOvr"/>
                    <m:subHide m:val="off"/>
                    <m:supHide m:val="on"/>
                  </m:naryPr>
                  <m:sub>
                    <m:r>
                      <m:t>j</m:t>
                    </m:r>
                  </m:sub>
                  <m:sup>
                    <m:r>
                      <m:t>​</m:t>
                    </m:r>
                  </m:sup>
                  <m:e>
                    <m:d>
                      <m:dPr>
                        <m:begChr m:val="("/>
                        <m:endChr m:val=")"/>
                        <m:sepChr m:val=""/>
                        <m:grow/>
                      </m:dPr>
                      <m:e>
                        <m:sSub>
                          <m:e>
                            <m:r>
                              <m:t>Q</m:t>
                            </m:r>
                          </m:e>
                          <m:sub>
                            <m:r>
                              <m:t>C</m:t>
                            </m:r>
                            <m:r>
                              <m:rPr>
                                <m:sty m:val="p"/>
                              </m:rPr>
                              <m:t>,</m:t>
                            </m:r>
                            <m:r>
                              <m:t>j</m:t>
                            </m:r>
                          </m:sub>
                        </m:sSub>
                        <m:r>
                          <m:rPr>
                            <m:sty m:val="p"/>
                          </m:rPr>
                          <m:t>−</m:t>
                        </m:r>
                        <m:sSub>
                          <m:e>
                            <m:r>
                              <m:t>Q</m:t>
                            </m:r>
                          </m:e>
                          <m:sub>
                            <m:r>
                              <m:t>T</m:t>
                            </m:r>
                            <m:r>
                              <m:rPr>
                                <m:sty m:val="p"/>
                              </m:rPr>
                              <m:t>,</m:t>
                            </m:r>
                            <m:r>
                              <m:t>j</m:t>
                            </m:r>
                          </m:sub>
                        </m:sSub>
                      </m:e>
                    </m:d>
                  </m:e>
                </m:nary>
                <m:sSub>
                  <m:e>
                    <m:r>
                      <m:t>p</m:t>
                    </m:r>
                  </m:e>
                  <m:sub>
                    <m:r>
                      <m:t>j</m:t>
                    </m:r>
                  </m:sub>
                </m:sSub>
                <m:r>
                  <m:rPr>
                    <m:sty m:val="p"/>
                  </m:rPr>
                  <m:t>=</m:t>
                </m:r>
                <m:nary>
                  <m:naryPr>
                    <m:chr m:val="∑"/>
                    <m:limLoc m:val="undOvr"/>
                    <m:subHide m:val="off"/>
                    <m:supHide m:val="on"/>
                  </m:naryPr>
                  <m:sub>
                    <m:r>
                      <m:t>j</m:t>
                    </m:r>
                  </m:sub>
                  <m:sup>
                    <m:r>
                      <m:t>​</m:t>
                    </m:r>
                  </m:sup>
                  <m:e>
                    <m:f>
                      <m:fPr>
                        <m:type m:val="bar"/>
                      </m:fPr>
                      <m:num>
                        <m:r>
                          <m:t>I</m:t>
                        </m:r>
                        <m:r>
                          <m:t>D</m:t>
                        </m:r>
                        <m:sSub>
                          <m:e>
                            <m:r>
                              <m:t>M</m:t>
                            </m:r>
                          </m:e>
                          <m:sub>
                            <m:r>
                              <m:t>j</m:t>
                            </m:r>
                          </m:sub>
                        </m:sSub>
                      </m:num>
                      <m:den>
                        <m:r>
                          <m:t>100</m:t>
                        </m:r>
                      </m:den>
                    </m:f>
                  </m:e>
                </m:nary>
                <m:r>
                  <m:t> </m:t>
                </m:r>
                <m:sSub>
                  <m:e>
                    <m:r>
                      <m:t>Q</m:t>
                    </m:r>
                  </m:e>
                  <m:sub>
                    <m:r>
                      <m:t>T</m:t>
                    </m:r>
                    <m:r>
                      <m:rPr>
                        <m:sty m:val="p"/>
                      </m:rPr>
                      <m:t>,</m:t>
                    </m:r>
                    <m:r>
                      <m:t>j</m:t>
                    </m:r>
                  </m:sub>
                </m:sSub>
                <m:r>
                  <m:t> </m:t>
                </m:r>
                <m:sSub>
                  <m:e>
                    <m:r>
                      <m:t>p</m:t>
                    </m:r>
                  </m:e>
                  <m:sub>
                    <m:r>
                      <m:t>j</m:t>
                    </m:r>
                  </m:sub>
                </m:sSub>
              </m:oMath>
            </m:oMathPara>
          </w:p>
        </w:tc>
        <w:tc>
          <w:tcPr>
            <w:tcW w:w="1134" w:type="dxa"/>
            <w:vAlign w:val="center"/>
          </w:tcPr>
          <w:p>
            <w:pPr>
              <w:pStyle w:val="EcuacionAPA"/>
              <w:jc w:val="right"/>
            </w:pPr>
            <w:r>
              <w:t>(15)</w:t>
            </w:r>
          </w:p>
        </w:tc>
      </w:tr>
    </w:tbl>
    <w:p>
      <w:pPr>
        <w:pStyle w:val="FirstParagraph"/>
        <w:ind w:firstLine="0"/>
      </w:pPr>
      <w:r>
        <w:t xml:space="preserve"/>
      </w:r>
      <w:r>
        <w:t xml:space="preserve"/>
      </w:r>
      <w:r>
        <w:t xml:space="preserve">Como en la ecuación (9) la cantidad real de cada insumo es la teórica más su pérdida, el costo unitario puede descomponerse según el modelo PAF:</w:t>
      </w:r>
    </w:p>
    <w:tbl>
      <w:tblPr>
        <w:tblW w:w="9360" w:type="dxa"/>
        <w:tblLayout w:type="fixed"/>
        <w:tblCellMar>
          <w:left w:w="0" w:type="dxa"/>
          <w:right w:w="0" w:type="dxa"/>
        </w:tblCellMar>
        <w:tblLook w:val="0000" w:firstRow="0" w:lastRow="0" w:firstColumn="0" w:lastColumn="0" w:noHBand="1" w:noVBand="1"/>
        <w:tblCaption w:val="Ecuación"/>
      </w:tblPr>
      <w:tblGrid>
        <w:gridCol w:w="1134"/>
        <w:gridCol w:w="7092"/>
        <w:gridCol w:w="1134"/>
      </w:tblGrid>
      <w:tr>
        <w:trPr>
          <w:cantSplit/>
        </w:trPr>
        <w:tc>
          <w:tcPr>
            <w:tcW w:w="1134" w:type="dxa"/>
            <w:vAlign w:val="center"/>
          </w:tcPr>
          <w:p>
            <w:pPr>
              <w:pStyle w:val="EcuacionAPA"/>
            </w:pPr>
          </w:p>
        </w:tc>
        <w:tc>
          <w:tcPr>
            <w:tcW w:w="7092" w:type="dxa"/>
            <w:vAlign w:val="center"/>
          </w:tcPr>
          <w:p>
            <w:pPr>
              <w:pStyle w:val="EcuacionAPA"/>
            </w:pPr>
            <m:oMathPara>
              <m:oMathParaPr>
                <m:jc m:val="center"/>
              </m:oMathParaPr>
              <m:oMath>
                <m:r>
                  <m:t>C</m:t>
                </m:r>
                <m:r>
                  <m:t>U</m:t>
                </m:r>
                <m:r>
                  <m:rPr>
                    <m:sty m:val="p"/>
                  </m:rPr>
                  <m:t>=</m:t>
                </m:r>
                <m:limLow>
                  <m:e>
                    <m:limLow>
                      <m:e>
                        <m:f>
                          <m:fPr>
                            <m:type m:val="bar"/>
                          </m:fPr>
                          <m:num>
                            <m:nary>
                              <m:naryPr>
                                <m:chr m:val="∑"/>
                                <m:limLoc m:val="undOvr"/>
                                <m:subHide m:val="off"/>
                                <m:supHide m:val="on"/>
                              </m:naryPr>
                              <m:sub>
                                <m:r>
                                  <m:t>j</m:t>
                                </m:r>
                              </m:sub>
                              <m:sup>
                                <m:r>
                                  <m:t>​</m:t>
                                </m:r>
                              </m:sup>
                              <m:e>
                                <m:sSub>
                                  <m:e>
                                    <m:r>
                                      <m:t>Q</m:t>
                                    </m:r>
                                  </m:e>
                                  <m:sub>
                                    <m:r>
                                      <m:t>T</m:t>
                                    </m:r>
                                    <m:r>
                                      <m:rPr>
                                        <m:sty m:val="p"/>
                                      </m:rPr>
                                      <m:t>,</m:t>
                                    </m:r>
                                    <m:r>
                                      <m:t>j</m:t>
                                    </m:r>
                                  </m:sub>
                                </m:sSub>
                              </m:e>
                            </m:nary>
                            <m:r>
                              <m:t> </m:t>
                            </m:r>
                            <m:sSub>
                              <m:e>
                                <m:r>
                                  <m:t>p</m:t>
                                </m:r>
                              </m:e>
                              <m:sub>
                                <m:r>
                                  <m:t>j</m:t>
                                </m:r>
                              </m:sub>
                            </m:sSub>
                            <m:r>
                              <m:rPr>
                                <m:sty m:val="p"/>
                              </m:rPr>
                              <m:t>+</m:t>
                            </m:r>
                            <m:sSub>
                              <m:e>
                                <m:r>
                                  <m:t>C</m:t>
                                </m:r>
                              </m:e>
                              <m:sub>
                                <m:r>
                                  <m:t>M</m:t>
                                </m:r>
                                <m:r>
                                  <m:t>O</m:t>
                                </m:r>
                              </m:sub>
                            </m:sSub>
                            <m:r>
                              <m:rPr>
                                <m:sty m:val="p"/>
                              </m:rPr>
                              <m:t>+</m:t>
                            </m:r>
                            <m:sSub>
                              <m:e>
                                <m:r>
                                  <m:t>C</m:t>
                                </m:r>
                              </m:e>
                              <m:sub>
                                <m:r>
                                  <m:t>E</m:t>
                                </m:r>
                                <m:r>
                                  <m:t>Q</m:t>
                                </m:r>
                              </m:sub>
                            </m:sSub>
                          </m:num>
                          <m:den>
                            <m:r>
                              <m:t>A</m:t>
                            </m:r>
                          </m:den>
                        </m:f>
                      </m:e>
                      <m:lim>
                        <m:r>
                          <m:rPr>
                            <m:sty m:val="p"/>
                          </m:rPr>
                          <m:t>⏟</m:t>
                        </m:r>
                      </m:lim>
                    </m:limLow>
                  </m:e>
                  <m:lim>
                    <m:r>
                      <m:t>C</m:t>
                    </m:r>
                    <m:sSub>
                      <m:e>
                        <m:r>
                          <m:t>U</m:t>
                        </m:r>
                      </m:e>
                      <m:sub>
                        <m:r>
                          <m:t>T</m:t>
                        </m:r>
                      </m:sub>
                    </m:sSub>
                  </m:lim>
                </m:limLow>
                <m:r>
                  <m:rPr>
                    <m:sty m:val="p"/>
                  </m:rPr>
                  <m:t>+</m:t>
                </m:r>
                <m:f>
                  <m:fPr>
                    <m:type m:val="bar"/>
                  </m:fPr>
                  <m:num>
                    <m:sSub>
                      <m:e>
                        <m:r>
                          <m:t>C</m:t>
                        </m:r>
                      </m:e>
                      <m:sub>
                        <m:r>
                          <m:t>F</m:t>
                        </m:r>
                        <m:r>
                          <m:t>I</m:t>
                        </m:r>
                      </m:sub>
                    </m:sSub>
                  </m:num>
                  <m:den>
                    <m:r>
                      <m:t>A</m:t>
                    </m:r>
                  </m:den>
                </m:f>
                <m:r>
                  <m:rPr>
                    <m:sty m:val="p"/>
                  </m:rPr>
                  <m:t>+</m:t>
                </m:r>
                <m:f>
                  <m:fPr>
                    <m:type m:val="bar"/>
                  </m:fPr>
                  <m:num>
                    <m:sSub>
                      <m:e>
                        <m:r>
                          <m:t>C</m:t>
                        </m:r>
                      </m:e>
                      <m:sub>
                        <m:r>
                          <m:t>P</m:t>
                        </m:r>
                      </m:sub>
                    </m:sSub>
                    <m:r>
                      <m:rPr>
                        <m:sty m:val="p"/>
                      </m:rPr>
                      <m:t>+</m:t>
                    </m:r>
                    <m:sSub>
                      <m:e>
                        <m:r>
                          <m:t>C</m:t>
                        </m:r>
                      </m:e>
                      <m:sub>
                        <m:r>
                          <m:t>E</m:t>
                        </m:r>
                      </m:sub>
                    </m:sSub>
                  </m:num>
                  <m:den>
                    <m:r>
                      <m:t>A</m:t>
                    </m:r>
                  </m:den>
                </m:f>
              </m:oMath>
            </m:oMathPara>
          </w:p>
        </w:tc>
        <w:tc>
          <w:tcPr>
            <w:tcW w:w="1134" w:type="dxa"/>
            <w:vAlign w:val="center"/>
          </w:tcPr>
          <w:p>
            <w:pPr>
              <w:pStyle w:val="EcuacionAPA"/>
              <w:jc w:val="right"/>
            </w:pPr>
            <w:r>
              <w:t>(16)</w:t>
            </w:r>
          </w:p>
        </w:tc>
      </w:tr>
    </w:tbl>
    <w:p>
      <w:pPr>
        <w:pStyle w:val="FirstParagraph"/>
        <w:ind w:firstLine="0"/>
      </w:pPr>
      <w:r>
        <w:t xml:space="preserve"/>
      </w:r>
      <w:r>
        <w:t xml:space="preserve"/>
      </w:r>
      <w:r>
        <w:t xml:space="preserve">donde</w:t>
      </w:r>
      <w:r>
        <w:t xml:space="preserve"> </w:t>
      </w:r>
      <m:oMath>
        <m:r>
          <m:t>C</m:t>
        </m:r>
        <m:sSub>
          <m:e>
            <m:r>
              <m:t>U</m:t>
            </m:r>
          </m:e>
          <m:sub>
            <m:r>
              <m:t>T</m:t>
            </m:r>
          </m:sub>
        </m:sSub>
      </m:oMath>
      <w:r>
        <w:t xml:space="preserve"> </w:t>
      </w:r>
      <w:r>
        <w:t xml:space="preserve">es el costo unitario con cantidades teóricas y con la mano de obra y el equipo productivos,</w:t>
      </w:r>
      <w:r>
        <w:t xml:space="preserve"> </w:t>
      </w:r>
      <m:oMath>
        <m:sSub>
          <m:e>
            <m:r>
              <m:t>C</m:t>
            </m:r>
          </m:e>
          <m:sub>
            <m:r>
              <m:t>F</m:t>
            </m:r>
            <m:r>
              <m:t>I</m:t>
            </m:r>
          </m:sub>
        </m:sSub>
      </m:oMath>
      <w:r>
        <w:t xml:space="preserve"> </w:t>
      </w:r>
      <w:r>
        <w:t xml:space="preserve">incluye las pérdidas de materiales (ecuación 15) y los retrabajos, y</w:t>
      </w:r>
      <w:r>
        <w:t xml:space="preserve"> </w:t>
      </w:r>
      <m:oMath>
        <m:sSub>
          <m:e>
            <m:r>
              <m:t>C</m:t>
            </m:r>
          </m:e>
          <m:sub>
            <m:r>
              <m:t>P</m:t>
            </m:r>
          </m:sub>
        </m:sSub>
        <m:r>
          <m:rPr>
            <m:sty m:val="p"/>
          </m:rPr>
          <m:t>+</m:t>
        </m:r>
        <m:sSub>
          <m:e>
            <m:r>
              <m:t>C</m:t>
            </m:r>
          </m:e>
          <m:sub>
            <m:r>
              <m:t>E</m:t>
            </m:r>
          </m:sub>
        </m:sSub>
      </m:oMath>
      <w:r>
        <w:t xml:space="preserve"> </w:t>
      </w:r>
      <w:r>
        <w:t xml:space="preserve">es el costo de la calidad</w:t>
      </w:r>
      <w:r>
        <w:t xml:space="preserve"> </w:t>
      </w:r>
      <m:oMath>
        <m:r>
          <m:t>C</m:t>
        </m:r>
        <m:r>
          <m:t>C</m:t>
        </m:r>
      </m:oMath>
      <w:r>
        <w:t xml:space="preserve"> </w:t>
      </w:r>
      <w:r>
        <w:t xml:space="preserve">de la ecuación (10). El SGC reduce el costo unitario si la disminución de</w:t>
      </w:r>
      <w:r>
        <w:t xml:space="preserve"> </w:t>
      </w:r>
      <m:oMath>
        <m:sSub>
          <m:e>
            <m:r>
              <m:t>C</m:t>
            </m:r>
          </m:e>
          <m:sub>
            <m:r>
              <m:t>F</m:t>
            </m:r>
            <m:r>
              <m:t>I</m:t>
            </m:r>
          </m:sub>
        </m:sSub>
      </m:oMath>
      <w:r>
        <w:t xml:space="preserve"> </w:t>
      </w:r>
      <w:r>
        <w:t xml:space="preserve">supera el aumento de</w:t>
      </w:r>
      <w:r>
        <w:t xml:space="preserve"> </w:t>
      </w:r>
      <m:oMath>
        <m:sSub>
          <m:e>
            <m:r>
              <m:t>C</m:t>
            </m:r>
          </m:e>
          <m:sub>
            <m:r>
              <m:t>P</m:t>
            </m:r>
          </m:sub>
        </m:sSub>
        <m:r>
          <m:rPr>
            <m:sty m:val="p"/>
          </m:rPr>
          <m:t>+</m:t>
        </m:r>
        <m:sSub>
          <m:e>
            <m:r>
              <m:t>C</m:t>
            </m:r>
          </m:e>
          <m:sub>
            <m:r>
              <m:t>E</m:t>
            </m:r>
          </m:sub>
        </m:sSub>
      </m:oMath>
      <w:r>
        <w:t xml:space="preserve">; esa es la condición que evalúa la hipótesis mediante la reducción</w:t>
      </w:r>
      <w:r>
        <w:t xml:space="preserve"> </w:t>
      </w:r>
      <m:oMath>
        <m:r>
          <m:t>r</m:t>
        </m:r>
      </m:oMath>
      <w:r>
        <w:t xml:space="preserve"> </w:t>
      </w:r>
      <w:r>
        <w:t xml:space="preserve">de la ecuación (11), con el modelo de la Sección 2.7.2. Las fallas externas no forman parte del costo de ejecutar la losa, pero se suman al</w:t>
      </w:r>
      <w:r>
        <w:t xml:space="preserve"> </w:t>
      </w:r>
      <m:oMath>
        <m:r>
          <m:t>C</m:t>
        </m:r>
        <m:r>
          <m:t>N</m:t>
        </m:r>
        <m:r>
          <m:t>C</m:t>
        </m:r>
        <m:r>
          <m:rPr>
            <m:sty m:val="p"/>
          </m:rPr>
          <m:t>=</m:t>
        </m:r>
        <m:sSub>
          <m:e>
            <m:r>
              <m:t>C</m:t>
            </m:r>
          </m:e>
          <m:sub>
            <m:r>
              <m:t>F</m:t>
            </m:r>
            <m:r>
              <m:t>I</m:t>
            </m:r>
          </m:sub>
        </m:sSub>
        <m:r>
          <m:rPr>
            <m:sty m:val="p"/>
          </m:rPr>
          <m:t>+</m:t>
        </m:r>
        <m:sSub>
          <m:e>
            <m:r>
              <m:t>C</m:t>
            </m:r>
          </m:e>
          <m:sub>
            <m:r>
              <m:t>F</m:t>
            </m:r>
            <m:r>
              <m:t>E</m:t>
            </m:r>
          </m:sub>
        </m:sSub>
      </m:oMath>
      <w:r>
        <w:t xml:space="preserve"> </w:t>
      </w:r>
      <w:r>
        <w:t xml:space="preserve">y al</w:t>
      </w:r>
      <w:r>
        <w:t xml:space="preserve"> </w:t>
      </w:r>
      <m:oMath>
        <m:r>
          <m:rPr>
            <m:sty m:val="p"/>
          </m:rPr>
          <m:t>%</m:t>
        </m:r>
        <m:r>
          <m:t>C</m:t>
        </m:r>
        <m:r>
          <m:t>N</m:t>
        </m:r>
        <m:r>
          <m:t>C</m:t>
        </m:r>
      </m:oMath>
      <w:r>
        <w:t xml:space="preserve"> </w:t>
      </w:r>
      <w:r>
        <w:t xml:space="preserve">de la ecuación (10). Según el contrato, los ensayos corren por cuenta de la contratista y los precios unitarios incluyen las reparaciones por trabajos defectuosos</w:t>
      </w:r>
      <w:r>
        <w:t xml:space="preserve"> </w:t>
      </w:r>
      <w:r>
        <w:t xml:space="preserve">(UATF, 2025, pp. 92, 102)</w:t>
      </w:r>
      <w:r>
        <w:t xml:space="preserve">; por ello,</w:t>
      </w:r>
      <w:r>
        <w:t xml:space="preserve"> </w:t>
      </w:r>
      <m:oMath>
        <m:sSub>
          <m:e>
            <m:r>
              <m:t>C</m:t>
            </m:r>
          </m:e>
          <m:sub>
            <m:r>
              <m:t>E</m:t>
            </m:r>
          </m:sub>
        </m:sSub>
      </m:oMath>
      <w:r>
        <w:t xml:space="preserve"> </w:t>
      </w:r>
      <w:r>
        <w:t xml:space="preserve">y</w:t>
      </w:r>
      <w:r>
        <w:t xml:space="preserve"> </w:t>
      </w:r>
      <m:oMath>
        <m:sSub>
          <m:e>
            <m:r>
              <m:t>C</m:t>
            </m:r>
          </m:e>
          <m:sub>
            <m:r>
              <m:t>F</m:t>
            </m:r>
            <m:r>
              <m:t>I</m:t>
            </m:r>
          </m:sub>
        </m:sSub>
      </m:oMath>
      <w:r>
        <w:t xml:space="preserve"> </w:t>
      </w:r>
      <w:r>
        <w:t xml:space="preserve">recaen en la contratista, que es también la principal beneficiaria económica de reducir las fallas, mientras que la UATF se beneficia de la conformidad de la losa y del pago correcto de las cantidades.</w:t>
      </w:r>
    </w:p>
    <w:p>
      <w:pPr>
        <w:pStyle w:val="Heading3"/>
      </w:pPr>
      <w:bookmarkStart w:id="181" w:name="tit128"/>
      <w:r>
        <w:t xml:space="preserve">2.6.10. Matriz de trazabilidad entre brechas, requisitos, componentes e indicadores</w:t>
      </w:r>
      <w:bookmarkEnd w:id="181"/>
    </w:p>
    <w:p>
      <w:pPr>
        <w:pStyle w:val="FirstParagraph"/>
      </w:pPr>
      <w:r>
        <w:t xml:space="preserve">La Tabla 43 cierra el diseño: muestra que cada brecha de la línea base tiene un requisito de la norma que la respalda, al menos un componente del SGC que la atiende y un indicador que permite verificar si se cerró. Los números de cláusula corresponden a la estructura común de las ediciones 2015 y 2026 de la norma ISO 9001 (Sección 2.6.1).</w:t>
      </w:r>
    </w:p>
    <w:p>
      <w:pPr>
        <w:pStyle w:val="Caption"/>
      </w:pPr>
      <w:bookmarkStart w:id="1458" w:name="tab43"/>
      <w:r>
        <w:t xml:space="preserve"/>
      </w:r>
      <w:r>
        <w:rPr>
          <w:bCs/>
          <w:b/>
        </w:rPr>
        <w:t xml:space="preserve">Tabla 43</w:t>
      </w:r>
      <w:r>
        <w:br/>
      </w:r>
      <w:r>
        <w:rPr>
          <w:iCs/>
          <w:i/>
        </w:rPr>
        <w:t xml:space="preserve">Matriz de trazabilidad: brecha, requisito ISO 9001, componente del SGC e indicador</w:t>
      </w:r>
      <w:bookmarkEnd w:id="1458"/>
    </w:p>
    <w:tbl>
      <w:tblPr>
        <w:tblStyle w:val="Table"/>
        <w:tblW w:w="9533" w:type="dxa"/>
        <w:jc w:val="left"/>
        <w:tblLayout w:type="fixed"/>
        <w:tblCellMar>
          <w:top w:w="0" w:type="dxa"/>
          <w:left w:w="85" w:type="dxa"/>
          <w:bottom w:w="0" w:type="dxa"/>
          <w:right w:w="85" w:type="dxa"/>
        </w:tblCellMar>
        <w:tblLook w:firstRow="1" w:lastRow="0" w:firstColumn="0" w:lastColumn="0" w:noHBand="0" w:noVBand="0" w:val="0020"/>
      </w:tblPr>
      <w:tblGrid>
        <w:gridCol w:w="571"/>
        <w:gridCol w:w="1907"/>
        <w:gridCol w:w="1073"/>
        <w:gridCol w:w="1752"/>
        <w:gridCol w:w="2540"/>
        <w:gridCol w:w="1690"/>
      </w:tblGrid>
      <w:tr>
        <w:trPr>
          <w:cantSplit/>
          <w:tblHeader w:val="true"/>
        </w:trPr>
        <w:tc>
          <w:tcPr>
            <w:tcW w:w="571" w:type="dxa"/>
            <w:tcBorders>
              <w:top w:val="single" w:sz="8" w:space="0" w:color="000000"/>
              <w:bottom w:val="single" w:sz="4" w:space="0" w:color="000000"/>
            </w:tcBorders>
          </w:tcPr>
          <w:p>
            <w:pPr>
              <w:pStyle w:val="CeldaAPA"/>
              <w:jc w:val="center"/>
            </w:pPr>
            <w:r>
              <w:rPr>
                <w:bCs/>
                <w:b/>
              </w:rPr>
              <w:t xml:space="preserve">B</w:t>
            </w:r>
          </w:p>
        </w:tc>
        <w:tc>
          <w:tcPr>
            <w:tcW w:w="1907" w:type="dxa"/>
            <w:tcBorders>
              <w:top w:val="single" w:sz="8" w:space="0" w:color="000000"/>
              <w:bottom w:val="single" w:sz="4" w:space="0" w:color="000000"/>
            </w:tcBorders>
          </w:tcPr>
          <w:p>
            <w:pPr>
              <w:pStyle w:val="CeldaAPA"/>
              <w:jc w:val="center"/>
            </w:pPr>
            <w:r>
              <w:rPr>
                <w:bCs/>
                <w:b/>
              </w:rPr>
              <w:t xml:space="preserve">Brecha de la línea base</w:t>
            </w:r>
          </w:p>
        </w:tc>
        <w:tc>
          <w:tcPr>
            <w:tcW w:w="1073" w:type="dxa"/>
            <w:tcBorders>
              <w:top w:val="single" w:sz="8" w:space="0" w:color="000000"/>
              <w:bottom w:val="single" w:sz="4" w:space="0" w:color="000000"/>
            </w:tcBorders>
          </w:tcPr>
          <w:p>
            <w:pPr>
              <w:pStyle w:val="CeldaAPA"/>
              <w:jc w:val="center"/>
            </w:pPr>
            <w:r>
              <w:rPr>
                <w:bCs/>
                <w:b/>
              </w:rPr>
              <w:t xml:space="preserve">NC</w:t>
            </w:r>
          </w:p>
        </w:tc>
        <w:tc>
          <w:tcPr>
            <w:tcW w:w="1752" w:type="dxa"/>
            <w:tcBorders>
              <w:top w:val="single" w:sz="8" w:space="0" w:color="000000"/>
              <w:bottom w:val="single" w:sz="4" w:space="0" w:color="000000"/>
            </w:tcBorders>
          </w:tcPr>
          <w:p>
            <w:pPr>
              <w:pStyle w:val="CeldaAPA"/>
              <w:jc w:val="center"/>
            </w:pPr>
            <w:r>
              <w:rPr>
                <w:bCs/>
                <w:b/>
              </w:rPr>
              <w:t xml:space="preserve">Requisito ISO 9001 (cláusula)</w:t>
            </w:r>
          </w:p>
        </w:tc>
        <w:tc>
          <w:tcPr>
            <w:tcW w:w="2540" w:type="dxa"/>
            <w:tcBorders>
              <w:top w:val="single" w:sz="8" w:space="0" w:color="000000"/>
              <w:bottom w:val="single" w:sz="4" w:space="0" w:color="000000"/>
            </w:tcBorders>
          </w:tcPr>
          <w:p>
            <w:pPr>
              <w:pStyle w:val="CeldaAPA"/>
              <w:jc w:val="center"/>
            </w:pPr>
            <w:r>
              <w:rPr>
                <w:bCs/>
                <w:b/>
              </w:rPr>
              <w:t xml:space="preserve">Componente del SGC</w:t>
            </w:r>
          </w:p>
        </w:tc>
        <w:tc>
          <w:tcPr>
            <w:tcW w:w="1690" w:type="dxa"/>
            <w:tcBorders>
              <w:top w:val="single" w:sz="8" w:space="0" w:color="000000"/>
              <w:bottom w:val="single" w:sz="4" w:space="0" w:color="000000"/>
            </w:tcBorders>
          </w:tcPr>
          <w:p>
            <w:pPr>
              <w:pStyle w:val="CeldaAPA"/>
              <w:jc w:val="center"/>
            </w:pPr>
            <w:r>
              <w:rPr>
                <w:bCs/>
                <w:b/>
              </w:rPr>
              <w:t xml:space="preserve">Indicador</w:t>
            </w:r>
          </w:p>
        </w:tc>
      </w:tr>
      <w:tr>
        <w:tc>
          <w:tcPr>
            <w:tcW w:w="571" w:type="dxa"/>
          </w:tcPr>
          <w:p>
            <w:pPr>
              <w:pStyle w:val="CeldaAPA"/>
              <w:jc w:val="left"/>
            </w:pPr>
            <w:r>
              <w:rPr/>
              <w:t xml:space="preserve">B1</w:t>
            </w:r>
          </w:p>
        </w:tc>
        <w:tc>
          <w:tcPr>
            <w:tcW w:w="1907" w:type="dxa"/>
          </w:tcPr>
          <w:p>
            <w:pPr>
              <w:pStyle w:val="CeldaAPA"/>
              <w:jc w:val="left"/>
            </w:pPr>
            <w:r>
              <w:rPr/>
              <w:t xml:space="preserve">Hormigón de la losa sin probetas; ensayos tardíos y no independientes; losa pagada sin resultados</w:t>
            </w:r>
          </w:p>
        </w:tc>
        <w:tc>
          <w:tcPr>
            <w:tcW w:w="1073" w:type="dxa"/>
          </w:tcPr>
          <w:p>
            <w:pPr>
              <w:pStyle w:val="CeldaAPA"/>
              <w:jc w:val="left"/>
            </w:pPr>
            <w:r>
              <w:rPr/>
              <w:t xml:space="preserve">NC-01 a NC-03</w:t>
            </w:r>
          </w:p>
        </w:tc>
        <w:tc>
          <w:tcPr>
            <w:tcW w:w="1752" w:type="dxa"/>
          </w:tcPr>
          <w:p>
            <w:pPr>
              <w:pStyle w:val="CeldaAPA"/>
              <w:jc w:val="left"/>
            </w:pPr>
            <w:r>
              <w:rPr/>
              <w:t xml:space="preserve">Control de la producción (8.5.1); liberación (8.6); seguimiento y medición (9.1)</w:t>
            </w:r>
          </w:p>
        </w:tc>
        <w:tc>
          <w:tcPr>
            <w:tcW w:w="2540" w:type="dxa"/>
          </w:tcPr>
          <w:p>
            <w:pPr>
              <w:pStyle w:val="CeldaAPA"/>
              <w:jc w:val="left"/>
            </w:pPr>
            <w:r>
              <w:rPr/>
              <w:t xml:space="preserve">Control del hormigón según ACI 318-25; plan de muestreo (Tabla 40); PPI, puntos 8 a 12; aceptación para pago condicionada a los ensayos</w:t>
            </w:r>
          </w:p>
        </w:tc>
        <w:tc>
          <w:tcPr>
            <w:tcW w:w="1690" w:type="dxa"/>
          </w:tcPr>
          <w:p>
            <w:pPr>
              <w:pStyle w:val="CeldaAPA"/>
              <w:jc w:val="left"/>
            </w:pPr>
            <w:r>
              <w:rPr/>
              <w:t xml:space="preserve">OC7; OC8</w:t>
            </w:r>
          </w:p>
        </w:tc>
      </w:tr>
      <w:tr>
        <w:tc>
          <w:tcPr>
            <w:tcW w:w="571" w:type="dxa"/>
          </w:tcPr>
          <w:p>
            <w:pPr>
              <w:pStyle w:val="CeldaAPA"/>
              <w:jc w:val="left"/>
            </w:pPr>
            <w:r>
              <w:rPr/>
              <w:t xml:space="preserve">B2</w:t>
            </w:r>
          </w:p>
        </w:tc>
        <w:tc>
          <w:tcPr>
            <w:tcW w:w="1907" w:type="dxa"/>
          </w:tcPr>
          <w:p>
            <w:pPr>
              <w:pStyle w:val="CeldaAPA"/>
              <w:jc w:val="left"/>
            </w:pPr>
            <w:r>
              <w:rPr/>
              <w:t xml:space="preserve">Garantías, dosificaciones y ensayos pedidos por la Supervisión; certificados sin firma, sin lote y posteriores a la colocación; sin certificado del acero</w:t>
            </w:r>
            <w:r>
              <w:rPr/>
              <w:t xml:space="preserve"> </w:t>
            </w:r>
            <m:oMath>
              <m:r>
                <m:t>ϕ</m:t>
              </m:r>
            </m:oMath>
            <w:r>
              <w:rPr/>
              <w:t xml:space="preserve">6 y</w:t>
            </w:r>
            <w:r>
              <w:rPr/>
              <w:t xml:space="preserve"> </w:t>
            </w:r>
            <m:oMath>
              <m:r>
                <m:t>ϕ</m:t>
              </m:r>
            </m:oMath>
            <w:r>
              <w:rPr/>
              <w:t xml:space="preserve">10</w:t>
            </w:r>
          </w:p>
        </w:tc>
        <w:tc>
          <w:tcPr>
            <w:tcW w:w="1073" w:type="dxa"/>
          </w:tcPr>
          <w:p>
            <w:pPr>
              <w:pStyle w:val="CeldaAPA"/>
              <w:jc w:val="left"/>
            </w:pPr>
            <w:r>
              <w:rPr/>
              <w:t xml:space="preserve">NC-04, NC-05</w:t>
            </w:r>
          </w:p>
        </w:tc>
        <w:tc>
          <w:tcPr>
            <w:tcW w:w="1752" w:type="dxa"/>
          </w:tcPr>
          <w:p>
            <w:pPr>
              <w:pStyle w:val="CeldaAPA"/>
              <w:jc w:val="left"/>
            </w:pPr>
            <w:r>
              <w:rPr/>
              <w:t xml:space="preserve">Control de los productos suministrados externamente (8.4); información documentada (7.5)</w:t>
            </w:r>
          </w:p>
        </w:tc>
        <w:tc>
          <w:tcPr>
            <w:tcW w:w="2540" w:type="dxa"/>
          </w:tcPr>
          <w:p>
            <w:pPr>
              <w:pStyle w:val="CeldaAPA"/>
              <w:jc w:val="left"/>
            </w:pPr>
            <w:r>
              <w:rPr/>
              <w:t xml:space="preserve">PCM-01 con recepción antes de colocar (Tabla 37); ficha C.3; dosificación aprobada antes del primer vaciado</w:t>
            </w:r>
          </w:p>
        </w:tc>
        <w:tc>
          <w:tcPr>
            <w:tcW w:w="1690" w:type="dxa"/>
          </w:tcPr>
          <w:p>
            <w:pPr>
              <w:pStyle w:val="CeldaAPA"/>
              <w:jc w:val="left"/>
            </w:pPr>
            <w:r>
              <w:rPr/>
              <w:t xml:space="preserve">OC5</w:t>
            </w:r>
          </w:p>
        </w:tc>
      </w:tr>
      <w:tr>
        <w:tc>
          <w:tcPr>
            <w:tcW w:w="571" w:type="dxa"/>
          </w:tcPr>
          <w:p>
            <w:pPr>
              <w:pStyle w:val="CeldaAPA"/>
              <w:jc w:val="left"/>
            </w:pPr>
            <w:r>
              <w:rPr/>
              <w:t xml:space="preserve">B3</w:t>
            </w:r>
          </w:p>
        </w:tc>
        <w:tc>
          <w:tcPr>
            <w:tcW w:w="1907" w:type="dxa"/>
          </w:tcPr>
          <w:p>
            <w:pPr>
              <w:pStyle w:val="CeldaAPA"/>
              <w:jc w:val="left"/>
            </w:pPr>
            <w:r>
              <w:rPr/>
              <w:t xml:space="preserve">Tres geometrías del complemento EPS; ET con normas desactualizadas</w:t>
            </w:r>
          </w:p>
        </w:tc>
        <w:tc>
          <w:tcPr>
            <w:tcW w:w="1073" w:type="dxa"/>
          </w:tcPr>
          <w:p>
            <w:pPr>
              <w:pStyle w:val="CeldaAPA"/>
              <w:jc w:val="left"/>
            </w:pPr>
            <w:r>
              <w:rPr/>
              <w:t xml:space="preserve">NC-06, NC-07</w:t>
            </w:r>
          </w:p>
        </w:tc>
        <w:tc>
          <w:tcPr>
            <w:tcW w:w="1752" w:type="dxa"/>
          </w:tcPr>
          <w:p>
            <w:pPr>
              <w:pStyle w:val="CeldaAPA"/>
              <w:jc w:val="left"/>
            </w:pPr>
            <w:r>
              <w:rPr/>
              <w:t xml:space="preserve">Control de la información documentada (7.5); planificación y control de los cambios (6.3; 8.5.6)</w:t>
            </w:r>
          </w:p>
        </w:tc>
        <w:tc>
          <w:tcPr>
            <w:tcW w:w="2540" w:type="dxa"/>
          </w:tcPr>
          <w:p>
            <w:pPr>
              <w:pStyle w:val="CeldaAPA"/>
              <w:jc w:val="left"/>
            </w:pPr>
            <w:r>
              <w:rPr/>
              <w:t xml:space="preserve">Lista maestra (Tabla 34); consulta técnica del EPS antes de la compra; actualización de la ET; gestión de cambios</w:t>
            </w:r>
          </w:p>
        </w:tc>
        <w:tc>
          <w:tcPr>
            <w:tcW w:w="1690" w:type="dxa"/>
          </w:tcPr>
          <w:p>
            <w:pPr>
              <w:pStyle w:val="CeldaAPA"/>
              <w:jc w:val="left"/>
            </w:pPr>
            <w:r>
              <w:rPr/>
              <w:t xml:space="preserve">OC9 (NC documentales cerradas)</w:t>
            </w:r>
          </w:p>
        </w:tc>
      </w:tr>
      <w:tr>
        <w:tc>
          <w:tcPr>
            <w:tcW w:w="571" w:type="dxa"/>
          </w:tcPr>
          <w:p>
            <w:pPr>
              <w:pStyle w:val="CeldaAPA"/>
              <w:jc w:val="left"/>
            </w:pPr>
            <w:r>
              <w:rPr/>
              <w:t xml:space="preserve">B4</w:t>
            </w:r>
          </w:p>
        </w:tc>
        <w:tc>
          <w:tcPr>
            <w:tcW w:w="1907" w:type="dxa"/>
          </w:tcPr>
          <w:p>
            <w:pPr>
              <w:pStyle w:val="CeldaAPA"/>
              <w:jc w:val="left"/>
            </w:pPr>
            <w:r>
              <w:rPr/>
              <w:t xml:space="preserve">Descuento de 3,65 % del acero al cierre; factor 3 en la losa; posible doble cómputo; cantidades distintas entre documentos</w:t>
            </w:r>
          </w:p>
        </w:tc>
        <w:tc>
          <w:tcPr>
            <w:tcW w:w="1073" w:type="dxa"/>
          </w:tcPr>
          <w:p>
            <w:pPr>
              <w:pStyle w:val="CeldaAPA"/>
              <w:jc w:val="left"/>
            </w:pPr>
            <w:r>
              <w:rPr/>
              <w:t xml:space="preserve">NC-13 a NC-15</w:t>
            </w:r>
          </w:p>
        </w:tc>
        <w:tc>
          <w:tcPr>
            <w:tcW w:w="1752" w:type="dxa"/>
          </w:tcPr>
          <w:p>
            <w:pPr>
              <w:pStyle w:val="CeldaAPA"/>
              <w:jc w:val="left"/>
            </w:pPr>
            <w:r>
              <w:rPr/>
              <w:t xml:space="preserve">Seguimiento y medición en la producción (8.5.1); análisis y evaluación (9.1.3); trazabilidad (8.5.2)</w:t>
            </w:r>
          </w:p>
        </w:tc>
        <w:tc>
          <w:tcPr>
            <w:tcW w:w="2540" w:type="dxa"/>
          </w:tcPr>
          <w:p>
            <w:pPr>
              <w:pStyle w:val="CeldaAPA"/>
              <w:jc w:val="left"/>
            </w:pPr>
            <w:r>
              <w:rPr/>
              <w:t xml:space="preserve">PCM-04 con umbrales de alerta (Tablas 38 y 39); registro único de cantidades; conciliación mensual con la planilla</w:t>
            </w:r>
          </w:p>
        </w:tc>
        <w:tc>
          <w:tcPr>
            <w:tcW w:w="1690" w:type="dxa"/>
          </w:tcPr>
          <w:p>
            <w:pPr>
              <w:pStyle w:val="CeldaAPA"/>
              <w:jc w:val="left"/>
            </w:pPr>
            <w:r>
              <w:rPr/>
              <w:t xml:space="preserve">OC10; OC12</w:t>
            </w:r>
          </w:p>
        </w:tc>
      </w:tr>
      <w:tr>
        <w:tc>
          <w:tcPr>
            <w:tcW w:w="571" w:type="dxa"/>
          </w:tcPr>
          <w:p>
            <w:pPr>
              <w:pStyle w:val="CeldaAPA"/>
              <w:jc w:val="left"/>
            </w:pPr>
            <w:r>
              <w:rPr/>
              <w:t xml:space="preserve">B5</w:t>
            </w:r>
          </w:p>
        </w:tc>
        <w:tc>
          <w:tcPr>
            <w:tcW w:w="1907" w:type="dxa"/>
          </w:tcPr>
          <w:p>
            <w:pPr>
              <w:pStyle w:val="CeldaAPA"/>
              <w:jc w:val="left"/>
            </w:pPr>
            <w:r>
              <w:rPr/>
              <w:t xml:space="preserve">Sin kardex, vales ni remisiones; exceso preliminar de EPS</w:t>
            </w:r>
          </w:p>
        </w:tc>
        <w:tc>
          <w:tcPr>
            <w:tcW w:w="1073" w:type="dxa"/>
          </w:tcPr>
          <w:p>
            <w:pPr>
              <w:pStyle w:val="CeldaAPA"/>
              <w:jc w:val="left"/>
            </w:pPr>
            <w:r>
              <w:rPr/>
              <w:t xml:space="preserve">NC-16, NC-17</w:t>
            </w:r>
          </w:p>
        </w:tc>
        <w:tc>
          <w:tcPr>
            <w:tcW w:w="1752" w:type="dxa"/>
          </w:tcPr>
          <w:p>
            <w:pPr>
              <w:pStyle w:val="CeldaAPA"/>
              <w:jc w:val="left"/>
            </w:pPr>
            <w:r>
              <w:rPr/>
              <w:t xml:space="preserve">Identificación y trazabilidad (8.5.2); preservación (8.5.4)</w:t>
            </w:r>
          </w:p>
        </w:tc>
        <w:tc>
          <w:tcPr>
            <w:tcW w:w="2540" w:type="dxa"/>
          </w:tcPr>
          <w:p>
            <w:pPr>
              <w:pStyle w:val="CeldaAPA"/>
              <w:jc w:val="left"/>
            </w:pPr>
            <w:r>
              <w:rPr/>
              <w:t xml:space="preserve">PCM-02 y PCM-03: vales por paño, devoluciones, kardex e inventarios; ficha C.4</w:t>
            </w:r>
          </w:p>
        </w:tc>
        <w:tc>
          <w:tcPr>
            <w:tcW w:w="1690" w:type="dxa"/>
          </w:tcPr>
          <w:p>
            <w:pPr>
              <w:pStyle w:val="CeldaAPA"/>
              <w:jc w:val="left"/>
            </w:pPr>
            <w:r>
              <w:rPr/>
              <w:t xml:space="preserve">OC1 a OC4</w:t>
            </w:r>
          </w:p>
        </w:tc>
      </w:tr>
      <w:tr>
        <w:tc>
          <w:tcPr>
            <w:tcW w:w="571" w:type="dxa"/>
          </w:tcPr>
          <w:p>
            <w:pPr>
              <w:pStyle w:val="CeldaAPA"/>
              <w:jc w:val="left"/>
            </w:pPr>
            <w:r>
              <w:rPr/>
              <w:t xml:space="preserve">B6</w:t>
            </w:r>
          </w:p>
        </w:tc>
        <w:tc>
          <w:tcPr>
            <w:tcW w:w="1907" w:type="dxa"/>
          </w:tcPr>
          <w:p>
            <w:pPr>
              <w:pStyle w:val="CeldaAPA"/>
              <w:jc w:val="left"/>
            </w:pPr>
            <w:r>
              <w:rPr/>
              <w:t xml:space="preserve">Sin PPI ni registros de liberación; autorización genérica del vaciado; parrilla pisada y sin separadores visibles</w:t>
            </w:r>
          </w:p>
        </w:tc>
        <w:tc>
          <w:tcPr>
            <w:tcW w:w="1073" w:type="dxa"/>
          </w:tcPr>
          <w:p>
            <w:pPr>
              <w:pStyle w:val="CeldaAPA"/>
              <w:jc w:val="left"/>
            </w:pPr>
            <w:r>
              <w:rPr/>
              <w:t xml:space="preserve">NC-10, NC-18, NC-19</w:t>
            </w:r>
          </w:p>
        </w:tc>
        <w:tc>
          <w:tcPr>
            <w:tcW w:w="1752" w:type="dxa"/>
          </w:tcPr>
          <w:p>
            <w:pPr>
              <w:pStyle w:val="CeldaAPA"/>
              <w:jc w:val="left"/>
            </w:pPr>
            <w:r>
              <w:rPr/>
              <w:t xml:space="preserve">Planificación y control operacional (8.1); control de la producción (8.5.1); liberación (8.6)</w:t>
            </w:r>
          </w:p>
        </w:tc>
        <w:tc>
          <w:tcPr>
            <w:tcW w:w="2540" w:type="dxa"/>
          </w:tcPr>
          <w:p>
            <w:pPr>
              <w:pStyle w:val="CeldaAPA"/>
              <w:jc w:val="left"/>
            </w:pPr>
            <w:r>
              <w:rPr/>
              <w:t xml:space="preserve">PPI con puntos de espera (Tabla 36); ficha C.2; liberación en tres niveles; pasarelas y separadores</w:t>
            </w:r>
          </w:p>
        </w:tc>
        <w:tc>
          <w:tcPr>
            <w:tcW w:w="1690" w:type="dxa"/>
          </w:tcPr>
          <w:p>
            <w:pPr>
              <w:pStyle w:val="CeldaAPA"/>
              <w:jc w:val="left"/>
            </w:pPr>
            <w:r>
              <w:rPr/>
              <w:t xml:space="preserve">OC6</w:t>
            </w:r>
          </w:p>
        </w:tc>
      </w:tr>
      <w:tr>
        <w:tc>
          <w:tcPr>
            <w:tcW w:w="571" w:type="dxa"/>
          </w:tcPr>
          <w:p>
            <w:pPr>
              <w:pStyle w:val="CeldaAPA"/>
              <w:jc w:val="left"/>
            </w:pPr>
            <w:r>
              <w:rPr/>
              <w:t xml:space="preserve">B7</w:t>
            </w:r>
          </w:p>
        </w:tc>
        <w:tc>
          <w:tcPr>
            <w:tcW w:w="1907" w:type="dxa"/>
          </w:tcPr>
          <w:p>
            <w:pPr>
              <w:pStyle w:val="CeldaAPA"/>
              <w:jc w:val="left"/>
            </w:pPr>
            <w:r>
              <w:rPr/>
              <w:t xml:space="preserve">Ningún registro de no conformidades, retrabajos ni costos de la calidad</w:t>
            </w:r>
          </w:p>
        </w:tc>
        <w:tc>
          <w:tcPr>
            <w:tcW w:w="1073" w:type="dxa"/>
          </w:tcPr>
          <w:p>
            <w:pPr>
              <w:pStyle w:val="CeldaAPA"/>
              <w:jc w:val="left"/>
            </w:pPr>
            <w:r>
              <w:rPr/>
              <w:t xml:space="preserve">NC-09, NC-11, NC-12</w:t>
            </w:r>
          </w:p>
        </w:tc>
        <w:tc>
          <w:tcPr>
            <w:tcW w:w="1752" w:type="dxa"/>
          </w:tcPr>
          <w:p>
            <w:pPr>
              <w:pStyle w:val="CeldaAPA"/>
              <w:jc w:val="left"/>
            </w:pPr>
            <w:r>
              <w:rPr/>
              <w:t xml:space="preserve">Control de las salidas no conformes (8.7); no conformidad y acción correctiva (10.2); mejora (10.3)</w:t>
            </w:r>
          </w:p>
        </w:tc>
        <w:tc>
          <w:tcPr>
            <w:tcW w:w="2540" w:type="dxa"/>
          </w:tcPr>
          <w:p>
            <w:pPr>
              <w:pStyle w:val="CeldaAPA"/>
              <w:jc w:val="left"/>
            </w:pPr>
            <w:r>
              <w:rPr/>
              <w:t xml:space="preserve">Procedimiento de NC (Figura 12); PCM-05; registro C.5; planilla PAF C.6</w:t>
            </w:r>
          </w:p>
        </w:tc>
        <w:tc>
          <w:tcPr>
            <w:tcW w:w="1690" w:type="dxa"/>
          </w:tcPr>
          <w:p>
            <w:pPr>
              <w:pStyle w:val="CeldaAPA"/>
              <w:jc w:val="left"/>
            </w:pPr>
            <w:r>
              <w:rPr/>
              <w:t xml:space="preserve">OC9; OC11</w:t>
            </w:r>
          </w:p>
        </w:tc>
      </w:tr>
      <w:tr>
        <w:tc>
          <w:tcPr>
            <w:tcW w:w="571" w:type="dxa"/>
          </w:tcPr>
          <w:p>
            <w:pPr>
              <w:pStyle w:val="CeldaAPA"/>
              <w:jc w:val="left"/>
            </w:pPr>
            <w:r>
              <w:rPr/>
              <w:t xml:space="preserve">B8</w:t>
            </w:r>
          </w:p>
        </w:tc>
        <w:tc>
          <w:tcPr>
            <w:tcW w:w="1907" w:type="dxa"/>
          </w:tcPr>
          <w:p>
            <w:pPr>
              <w:pStyle w:val="CeldaAPA"/>
              <w:jc w:val="left"/>
            </w:pPr>
            <w:r>
              <w:rPr/>
              <w:t xml:space="preserve">Escasez de combustible y cemento; acero entregado parcialmente; falta de viguetas; alza de precios</w:t>
            </w:r>
          </w:p>
        </w:tc>
        <w:tc>
          <w:tcPr>
            <w:tcW w:w="1073" w:type="dxa"/>
          </w:tcPr>
          <w:p>
            <w:pPr>
              <w:pStyle w:val="CeldaAPA"/>
              <w:jc w:val="left"/>
            </w:pPr>
            <w:r>
              <w:rPr/>
              <w:t xml:space="preserve">NC-08, NC-20, NC-21</w:t>
            </w:r>
          </w:p>
        </w:tc>
        <w:tc>
          <w:tcPr>
            <w:tcW w:w="1752" w:type="dxa"/>
          </w:tcPr>
          <w:p>
            <w:pPr>
              <w:pStyle w:val="CeldaAPA"/>
              <w:jc w:val="left"/>
            </w:pPr>
            <w:r>
              <w:rPr/>
              <w:t xml:space="preserve">Contexto (4.1); riesgos y oportunidades (6.1); proveedores externos (8.4)</w:t>
            </w:r>
          </w:p>
        </w:tc>
        <w:tc>
          <w:tcPr>
            <w:tcW w:w="2540" w:type="dxa"/>
          </w:tcPr>
          <w:p>
            <w:pPr>
              <w:pStyle w:val="CeldaAPA"/>
              <w:jc w:val="left"/>
            </w:pPr>
            <w:r>
              <w:rPr/>
              <w:t xml:space="preserve">Matriz de riesgos (R9 y R14); plan de compras anticipado; existencia mínima como condición de liberación; proveedores alternos</w:t>
            </w:r>
          </w:p>
        </w:tc>
        <w:tc>
          <w:tcPr>
            <w:tcW w:w="1690" w:type="dxa"/>
          </w:tcPr>
          <w:p>
            <w:pPr>
              <w:pStyle w:val="CeldaAPA"/>
              <w:jc w:val="left"/>
            </w:pPr>
            <w:r>
              <w:rPr/>
              <w:t xml:space="preserve">OC5; OC6</w:t>
            </w:r>
          </w:p>
        </w:tc>
      </w:tr>
      <w:tr>
        <w:tc>
          <w:tcPr>
            <w:tcW w:w="571" w:type="dxa"/>
            <w:tcBorders>
              <w:bottom w:val="single" w:sz="8" w:space="0" w:color="000000"/>
            </w:tcBorders>
          </w:tcPr>
          <w:p>
            <w:pPr>
              <w:pStyle w:val="CeldaAPA"/>
              <w:jc w:val="left"/>
            </w:pPr>
            <w:r>
              <w:rPr/>
              <w:t xml:space="preserve">B9</w:t>
            </w:r>
          </w:p>
        </w:tc>
        <w:tc>
          <w:tcPr>
            <w:tcW w:w="1907" w:type="dxa"/>
            <w:tcBorders>
              <w:bottom w:val="single" w:sz="8" w:space="0" w:color="000000"/>
            </w:tcBorders>
          </w:tcPr>
          <w:p>
            <w:pPr>
              <w:pStyle w:val="CeldaAPA"/>
              <w:jc w:val="left"/>
            </w:pPr>
            <w:r>
              <w:rPr/>
              <w:t xml:space="preserve">Lluvias y heladas a 3.650 m s. n. m.</w:t>
            </w:r>
          </w:p>
        </w:tc>
        <w:tc>
          <w:tcPr>
            <w:tcW w:w="1073" w:type="dxa"/>
            <w:tcBorders>
              <w:bottom w:val="single" w:sz="8" w:space="0" w:color="000000"/>
            </w:tcBorders>
          </w:tcPr>
          <w:p>
            <w:pPr>
              <w:pStyle w:val="CeldaAPA"/>
              <w:jc w:val="left"/>
            </w:pPr>
            <w:r>
              <w:rPr/>
              <w:t xml:space="preserve">NC-22</w:t>
            </w:r>
          </w:p>
        </w:tc>
        <w:tc>
          <w:tcPr>
            <w:tcW w:w="1752" w:type="dxa"/>
            <w:tcBorders>
              <w:bottom w:val="single" w:sz="8" w:space="0" w:color="000000"/>
            </w:tcBorders>
          </w:tcPr>
          <w:p>
            <w:pPr>
              <w:pStyle w:val="CeldaAPA"/>
              <w:jc w:val="left"/>
            </w:pPr>
            <w:r>
              <w:rPr/>
              <w:t xml:space="preserve">Contexto (4.1); riesgos (6.1); control de la producción (8.5.1)</w:t>
            </w:r>
          </w:p>
        </w:tc>
        <w:tc>
          <w:tcPr>
            <w:tcW w:w="2540" w:type="dxa"/>
            <w:tcBorders>
              <w:bottom w:val="single" w:sz="8" w:space="0" w:color="000000"/>
            </w:tcBorders>
          </w:tcPr>
          <w:p>
            <w:pPr>
              <w:pStyle w:val="CeldaAPA"/>
              <w:jc w:val="left"/>
            </w:pPr>
            <w:r>
              <w:rPr/>
              <w:t xml:space="preserve">Plan de hormigonado en tiempo frío; pronóstico del SENAMHI; registro de temperaturas y de curado (PPI, puntos 8 y 11)</w:t>
            </w:r>
          </w:p>
        </w:tc>
        <w:tc>
          <w:tcPr>
            <w:tcW w:w="1690" w:type="dxa"/>
            <w:tcBorders>
              <w:bottom w:val="single" w:sz="8" w:space="0" w:color="000000"/>
            </w:tcBorders>
          </w:tcPr>
          <w:p>
            <w:pPr>
              <w:pStyle w:val="CeldaAPA"/>
              <w:jc w:val="left"/>
            </w:pPr>
            <w:r>
              <w:rPr/>
              <w:t xml:space="preserve">OC6; OC7</w:t>
            </w:r>
          </w:p>
        </w:tc>
      </w:tr>
    </w:tbl>
    <w:p>
      <w:pPr>
        <w:pStyle w:val="NotaAPA"/>
      </w:pPr>
      <w:r>
        <w:rPr>
          <w:iCs/>
          <w:i/>
        </w:rPr>
        <w:t xml:space="preserve">Nota.</w:t>
      </w:r>
      <w:r>
        <w:t xml:space="preserve"> </w:t>
      </w:r>
      <w:r>
        <w:t xml:space="preserve">Elaboración propia. B: brecha de la línea base (Sección 2.6); NC: no conformidad del diagnóstico (Tabla 26); OC: objetivo de la calidad (Tabla 33). Las cláusulas se citan por su número, sin reproducir el texto de la norma.</w:t>
      </w:r>
    </w:p>
    <w:p>
      <w:pPr>
        <w:pStyle w:val="BodyText"/>
      </w:pPr>
      <w:r>
        <w:t xml:space="preserve">En síntesis, el SGC propuesto convierte cada brecha de la primera losa en un control concreto, con responsable, criterio de aceptación, registro e indicador. Sus metas y sus costos de prevención y evaluación son los insumos del escenario «con SGC» de la evaluación</w:t>
      </w:r>
      <w:r>
        <w:t xml:space="preserve"> </w:t>
      </w:r>
      <w:r>
        <w:rPr>
          <w:iCs/>
          <w:i/>
        </w:rPr>
        <w:t xml:space="preserve">ex ante</w:t>
      </w:r>
      <w:r>
        <w:t xml:space="preserve"> </w:t>
      </w:r>
      <w:r>
        <w:t xml:space="preserve">(Sección 2.7.2), y su pertinencia, claridad, suficiencia y aplicabilidad se validarán por juicio de expertos con el formato C.8 del Anexo C.</w:t>
      </w:r>
    </w:p>
    <w:p>
      <w:pPr>
        <w:pStyle w:val="Heading2"/>
      </w:pPr>
      <w:bookmarkStart w:id="185" w:name="tit129"/>
      <w:r>
        <w:t xml:space="preserve">2.7. Procedimiento de implementación y toma de observaciones</w:t>
      </w:r>
      <w:bookmarkEnd w:id="185"/>
    </w:p>
    <w:p>
      <w:pPr>
        <w:pStyle w:val="Heading3"/>
      </w:pPr>
      <w:bookmarkStart w:id="183" w:name="tit130"/>
      <w:r>
        <w:t xml:space="preserve">2.7.1. Implementación prevista en la segunda y tercera losa</w:t>
      </w:r>
      <w:bookmarkEnd w:id="183"/>
    </w:p>
    <w:p>
      <w:pPr>
        <w:pStyle w:val="FirstParagraph"/>
      </w:pPr>
      <w:r>
        <w:t xml:space="preserve">El SGC se concibió para aplicarse en la ejecución de la segunda y tercera losa del edificio, cuyos paños son homólogos a los de la primera (Sección 2.4). La Tabla 44 resume la secuencia de implementación: cada actividad se apoya en un componente del sistema descrito en la Sección 2.6 y deja un registro verificable.</w:t>
      </w:r>
    </w:p>
    <w:p>
      <w:pPr>
        <w:pStyle w:val="Caption"/>
      </w:pPr>
      <w:bookmarkStart w:id="1459" w:name="tab44"/>
      <w:r>
        <w:t xml:space="preserve"/>
      </w:r>
      <w:r>
        <w:rPr>
          <w:bCs/>
          <w:b/>
        </w:rPr>
        <w:t xml:space="preserve">Tabla 44</w:t>
      </w:r>
      <w:r>
        <w:br/>
      </w:r>
      <w:r>
        <w:rPr>
          <w:iCs/>
          <w:i/>
        </w:rPr>
        <w:t xml:space="preserve">Secuencia de implementación del SGC en una losa</w:t>
      </w:r>
      <w:bookmarkEnd w:id="1459"/>
    </w:p>
    <w:tbl>
      <w:tblPr>
        <w:tblStyle w:val="Table"/>
        <w:tblW w:w="9361" w:type="dxa"/>
        <w:jc w:val="left"/>
        <w:tblLayout w:type="fixed"/>
        <w:tblCellMar>
          <w:top w:w="0" w:type="dxa"/>
          <w:left w:w="85" w:type="dxa"/>
          <w:bottom w:w="0" w:type="dxa"/>
          <w:right w:w="85" w:type="dxa"/>
        </w:tblCellMar>
        <w:tblLook w:firstRow="1" w:lastRow="0" w:firstColumn="0" w:lastColumn="0" w:noHBand="0" w:noVBand="0" w:val="0020"/>
      </w:tblPr>
      <w:tblGrid>
        <w:gridCol w:w="1895"/>
        <w:gridCol w:w="3612"/>
        <w:gridCol w:w="2170"/>
        <w:gridCol w:w="1684"/>
      </w:tblGrid>
      <w:tr>
        <w:trPr>
          <w:cantSplit/>
          <w:tblHeader w:val="true"/>
        </w:trPr>
        <w:tc>
          <w:tcPr>
            <w:tcW w:w="1895" w:type="dxa"/>
            <w:tcBorders>
              <w:top w:val="single" w:sz="8" w:space="0" w:color="000000"/>
              <w:bottom w:val="single" w:sz="4" w:space="0" w:color="000000"/>
            </w:tcBorders>
          </w:tcPr>
          <w:p>
            <w:pPr>
              <w:pStyle w:val="CeldaAPA"/>
              <w:jc w:val="center"/>
            </w:pPr>
            <w:r>
              <w:rPr>
                <w:bCs/>
                <w:b/>
              </w:rPr>
              <w:t xml:space="preserve">Etapa</w:t>
            </w:r>
          </w:p>
        </w:tc>
        <w:tc>
          <w:tcPr>
            <w:tcW w:w="3612" w:type="dxa"/>
            <w:tcBorders>
              <w:top w:val="single" w:sz="8" w:space="0" w:color="000000"/>
              <w:bottom w:val="single" w:sz="4" w:space="0" w:color="000000"/>
            </w:tcBorders>
          </w:tcPr>
          <w:p>
            <w:pPr>
              <w:pStyle w:val="CeldaAPA"/>
              <w:jc w:val="center"/>
            </w:pPr>
            <w:r>
              <w:rPr>
                <w:bCs/>
                <w:b/>
              </w:rPr>
              <w:t xml:space="preserve">Actividades</w:t>
            </w:r>
          </w:p>
        </w:tc>
        <w:tc>
          <w:tcPr>
            <w:tcW w:w="2170" w:type="dxa"/>
            <w:tcBorders>
              <w:top w:val="single" w:sz="8" w:space="0" w:color="000000"/>
              <w:bottom w:val="single" w:sz="4" w:space="0" w:color="000000"/>
            </w:tcBorders>
          </w:tcPr>
          <w:p>
            <w:pPr>
              <w:pStyle w:val="CeldaAPA"/>
              <w:jc w:val="center"/>
            </w:pPr>
            <w:r>
              <w:rPr>
                <w:bCs/>
                <w:b/>
              </w:rPr>
              <w:t xml:space="preserve">Registro</w:t>
            </w:r>
          </w:p>
        </w:tc>
        <w:tc>
          <w:tcPr>
            <w:tcW w:w="1684" w:type="dxa"/>
            <w:tcBorders>
              <w:top w:val="single" w:sz="8" w:space="0" w:color="000000"/>
              <w:bottom w:val="single" w:sz="4" w:space="0" w:color="000000"/>
            </w:tcBorders>
          </w:tcPr>
          <w:p>
            <w:pPr>
              <w:pStyle w:val="CeldaAPA"/>
              <w:jc w:val="center"/>
            </w:pPr>
            <w:r>
              <w:rPr>
                <w:bCs/>
                <w:b/>
              </w:rPr>
              <w:t xml:space="preserve">Responsable</w:t>
            </w:r>
          </w:p>
        </w:tc>
      </w:tr>
      <w:tr>
        <w:tc>
          <w:tcPr>
            <w:tcW w:w="1895" w:type="dxa"/>
          </w:tcPr>
          <w:p>
            <w:pPr>
              <w:pStyle w:val="CeldaAPA"/>
              <w:jc w:val="left"/>
            </w:pPr>
            <w:r>
              <w:rPr/>
              <w:t xml:space="preserve">0. Preparación</w:t>
            </w:r>
          </w:p>
        </w:tc>
        <w:tc>
          <w:tcPr>
            <w:tcW w:w="3612" w:type="dxa"/>
          </w:tcPr>
          <w:p>
            <w:pPr>
              <w:pStyle w:val="CeldaAPA"/>
              <w:jc w:val="left"/>
            </w:pPr>
            <w:r>
              <w:rPr/>
              <w:t xml:space="preserve">Aprobación del plan de la calidad por la Supervisión; lista maestra de documentos; resolución de discrepancias (complemento EPS, normas citadas en la ET); capacitación del personal</w:t>
            </w:r>
          </w:p>
        </w:tc>
        <w:tc>
          <w:tcPr>
            <w:tcW w:w="2170" w:type="dxa"/>
          </w:tcPr>
          <w:p>
            <w:pPr>
              <w:pStyle w:val="CeldaAPA"/>
              <w:jc w:val="left"/>
            </w:pPr>
            <w:r>
              <w:rPr/>
              <w:t xml:space="preserve">Acta de aprobación; lista de asistencia</w:t>
            </w:r>
          </w:p>
        </w:tc>
        <w:tc>
          <w:tcPr>
            <w:tcW w:w="1684" w:type="dxa"/>
          </w:tcPr>
          <w:p>
            <w:pPr>
              <w:pStyle w:val="CeldaAPA"/>
              <w:jc w:val="left"/>
            </w:pPr>
            <w:r>
              <w:rPr/>
              <w:t xml:space="preserve">Director de obra; Supervisor</w:t>
            </w:r>
          </w:p>
        </w:tc>
      </w:tr>
      <w:tr>
        <w:tc>
          <w:tcPr>
            <w:tcW w:w="1895" w:type="dxa"/>
          </w:tcPr>
          <w:p>
            <w:pPr>
              <w:pStyle w:val="CeldaAPA"/>
              <w:jc w:val="left"/>
            </w:pPr>
            <w:r>
              <w:rPr/>
              <w:t xml:space="preserve">1. Abastecimiento</w:t>
            </w:r>
          </w:p>
        </w:tc>
        <w:tc>
          <w:tcPr>
            <w:tcW w:w="3612" w:type="dxa"/>
          </w:tcPr>
          <w:p>
            <w:pPr>
              <w:pStyle w:val="CeldaAPA"/>
              <w:jc w:val="left"/>
            </w:pPr>
            <w:r>
              <w:rPr/>
              <w:t xml:space="preserve">Pedido por paño con base en las cantidades teóricas; recepción y aceptación de viguetas, complementos, acero, cemento y áridos</w:t>
            </w:r>
          </w:p>
        </w:tc>
        <w:tc>
          <w:tcPr>
            <w:tcW w:w="2170" w:type="dxa"/>
          </w:tcPr>
          <w:p>
            <w:pPr>
              <w:pStyle w:val="CeldaAPA"/>
              <w:jc w:val="left"/>
            </w:pPr>
            <w:r>
              <w:rPr/>
              <w:t xml:space="preserve">Ficha de recepción (C.3); kardex</w:t>
            </w:r>
          </w:p>
        </w:tc>
        <w:tc>
          <w:tcPr>
            <w:tcW w:w="1684" w:type="dxa"/>
          </w:tcPr>
          <w:p>
            <w:pPr>
              <w:pStyle w:val="CeldaAPA"/>
              <w:jc w:val="left"/>
            </w:pPr>
            <w:r>
              <w:rPr/>
              <w:t xml:space="preserve">Almacenero; encargado de calidad</w:t>
            </w:r>
          </w:p>
        </w:tc>
      </w:tr>
      <w:tr>
        <w:tc>
          <w:tcPr>
            <w:tcW w:w="1895" w:type="dxa"/>
          </w:tcPr>
          <w:p>
            <w:pPr>
              <w:pStyle w:val="CeldaAPA"/>
              <w:jc w:val="left"/>
            </w:pPr>
            <w:r>
              <w:rPr/>
              <w:t xml:space="preserve">2. Ejecución por paño</w:t>
            </w:r>
          </w:p>
        </w:tc>
        <w:tc>
          <w:tcPr>
            <w:tcW w:w="3612" w:type="dxa"/>
          </w:tcPr>
          <w:p>
            <w:pPr>
              <w:pStyle w:val="CeldaAPA"/>
              <w:jc w:val="left"/>
            </w:pPr>
            <w:r>
              <w:rPr/>
              <w:t xml:space="preserve">Apuntalamiento, colocación de viguetas y complementos, armado, instalaciones; liberación en los puntos de espera del PPI</w:t>
            </w:r>
          </w:p>
        </w:tc>
        <w:tc>
          <w:tcPr>
            <w:tcW w:w="2170" w:type="dxa"/>
          </w:tcPr>
          <w:p>
            <w:pPr>
              <w:pStyle w:val="CeldaAPA"/>
              <w:jc w:val="left"/>
            </w:pPr>
            <w:r>
              <w:rPr/>
              <w:t xml:space="preserve">Fichas PPI (C.2)</w:t>
            </w:r>
          </w:p>
        </w:tc>
        <w:tc>
          <w:tcPr>
            <w:tcW w:w="1684" w:type="dxa"/>
          </w:tcPr>
          <w:p>
            <w:pPr>
              <w:pStyle w:val="CeldaAPA"/>
              <w:jc w:val="left"/>
            </w:pPr>
            <w:r>
              <w:rPr/>
              <w:t xml:space="preserve">Residente; Supervisor</w:t>
            </w:r>
          </w:p>
        </w:tc>
      </w:tr>
      <w:tr>
        <w:tc>
          <w:tcPr>
            <w:tcW w:w="1895" w:type="dxa"/>
          </w:tcPr>
          <w:p>
            <w:pPr>
              <w:pStyle w:val="CeldaAPA"/>
              <w:jc w:val="left"/>
            </w:pPr>
            <w:r>
              <w:rPr/>
              <w:t xml:space="preserve">3. Hormigonado</w:t>
            </w:r>
          </w:p>
        </w:tc>
        <w:tc>
          <w:tcPr>
            <w:tcW w:w="3612" w:type="dxa"/>
          </w:tcPr>
          <w:p>
            <w:pPr>
              <w:pStyle w:val="CeldaAPA"/>
              <w:jc w:val="left"/>
            </w:pPr>
            <w:r>
              <w:rPr/>
              <w:t xml:space="preserve">Verificación de dosificación, asentamiento, vaciado por franjas, muestreo de probetas, curado y protección en tiempo frío</w:t>
            </w:r>
          </w:p>
        </w:tc>
        <w:tc>
          <w:tcPr>
            <w:tcW w:w="2170" w:type="dxa"/>
          </w:tcPr>
          <w:p>
            <w:pPr>
              <w:pStyle w:val="CeldaAPA"/>
              <w:jc w:val="left"/>
            </w:pPr>
            <w:r>
              <w:rPr/>
              <w:t xml:space="preserve">Planilla de hormigonado; planilla de muestreo</w:t>
            </w:r>
          </w:p>
        </w:tc>
        <w:tc>
          <w:tcPr>
            <w:tcW w:w="1684" w:type="dxa"/>
          </w:tcPr>
          <w:p>
            <w:pPr>
              <w:pStyle w:val="CeldaAPA"/>
              <w:jc w:val="left"/>
            </w:pPr>
            <w:r>
              <w:rPr/>
              <w:t xml:space="preserve">Residente; laboratorio</w:t>
            </w:r>
          </w:p>
        </w:tc>
      </w:tr>
      <w:tr>
        <w:tc>
          <w:tcPr>
            <w:tcW w:w="1895" w:type="dxa"/>
          </w:tcPr>
          <w:p>
            <w:pPr>
              <w:pStyle w:val="CeldaAPA"/>
              <w:jc w:val="left"/>
            </w:pPr>
            <w:r>
              <w:rPr/>
              <w:t xml:space="preserve">4. Control de consumos</w:t>
            </w:r>
          </w:p>
        </w:tc>
        <w:tc>
          <w:tcPr>
            <w:tcW w:w="3612" w:type="dxa"/>
          </w:tcPr>
          <w:p>
            <w:pPr>
              <w:pStyle w:val="CeldaAPA"/>
              <w:jc w:val="left"/>
            </w:pPr>
            <w:r>
              <w:rPr/>
              <w:t xml:space="preserve">Registro de entregas, colocación y sobrantes; conciliación de cantidades teóricas, entregadas, colocadas, medidas y pagadas</w:t>
            </w:r>
          </w:p>
        </w:tc>
        <w:tc>
          <w:tcPr>
            <w:tcW w:w="2170" w:type="dxa"/>
          </w:tcPr>
          <w:p>
            <w:pPr>
              <w:pStyle w:val="CeldaAPA"/>
              <w:jc w:val="left"/>
            </w:pPr>
            <w:r>
              <w:rPr/>
              <w:t xml:space="preserve">Ficha de control de materiales (C.4)</w:t>
            </w:r>
          </w:p>
        </w:tc>
        <w:tc>
          <w:tcPr>
            <w:tcW w:w="1684" w:type="dxa"/>
          </w:tcPr>
          <w:p>
            <w:pPr>
              <w:pStyle w:val="CeldaAPA"/>
              <w:jc w:val="left"/>
            </w:pPr>
            <w:r>
              <w:rPr/>
              <w:t xml:space="preserve">Almacenero; encargado de calidad</w:t>
            </w:r>
          </w:p>
        </w:tc>
      </w:tr>
      <w:tr>
        <w:tc>
          <w:tcPr>
            <w:tcW w:w="1895" w:type="dxa"/>
          </w:tcPr>
          <w:p>
            <w:pPr>
              <w:pStyle w:val="CeldaAPA"/>
              <w:jc w:val="left"/>
            </w:pPr>
            <w:r>
              <w:rPr/>
              <w:t xml:space="preserve">5. Verificación</w:t>
            </w:r>
          </w:p>
        </w:tc>
        <w:tc>
          <w:tcPr>
            <w:tcW w:w="3612" w:type="dxa"/>
          </w:tcPr>
          <w:p>
            <w:pPr>
              <w:pStyle w:val="CeldaAPA"/>
              <w:jc w:val="left"/>
            </w:pPr>
            <w:r>
              <w:rPr/>
              <w:t xml:space="preserve">Ensayos a 28 días y aceptación del hormigón; no conformidades y acciones correctivas</w:t>
            </w:r>
          </w:p>
        </w:tc>
        <w:tc>
          <w:tcPr>
            <w:tcW w:w="2170" w:type="dxa"/>
          </w:tcPr>
          <w:p>
            <w:pPr>
              <w:pStyle w:val="CeldaAPA"/>
              <w:jc w:val="left"/>
            </w:pPr>
            <w:r>
              <w:rPr/>
              <w:t xml:space="preserve">Certificados de laboratorio; registro de NC (C.5)</w:t>
            </w:r>
          </w:p>
        </w:tc>
        <w:tc>
          <w:tcPr>
            <w:tcW w:w="1684" w:type="dxa"/>
          </w:tcPr>
          <w:p>
            <w:pPr>
              <w:pStyle w:val="CeldaAPA"/>
              <w:jc w:val="left"/>
            </w:pPr>
            <w:r>
              <w:rPr/>
              <w:t xml:space="preserve">Encargado de calidad; Supervisor</w:t>
            </w:r>
          </w:p>
        </w:tc>
      </w:tr>
      <w:tr>
        <w:tc>
          <w:tcPr>
            <w:tcW w:w="1895" w:type="dxa"/>
            <w:tcBorders>
              <w:bottom w:val="single" w:sz="8" w:space="0" w:color="000000"/>
            </w:tcBorders>
          </w:tcPr>
          <w:p>
            <w:pPr>
              <w:pStyle w:val="CeldaAPA"/>
              <w:jc w:val="left"/>
            </w:pPr>
            <w:r>
              <w:rPr/>
              <w:t xml:space="preserve">6. Revisión</w:t>
            </w:r>
          </w:p>
        </w:tc>
        <w:tc>
          <w:tcPr>
            <w:tcW w:w="3612" w:type="dxa"/>
            <w:tcBorders>
              <w:bottom w:val="single" w:sz="8" w:space="0" w:color="000000"/>
            </w:tcBorders>
          </w:tcPr>
          <w:p>
            <w:pPr>
              <w:pStyle w:val="CeldaAPA"/>
              <w:jc w:val="left"/>
            </w:pPr>
            <w:r>
              <w:rPr/>
              <w:t xml:space="preserve">Reunión semanal de indicadores; registro de costos de la calidad; ajustes del plan</w:t>
            </w:r>
          </w:p>
        </w:tc>
        <w:tc>
          <w:tcPr>
            <w:tcW w:w="2170" w:type="dxa"/>
            <w:tcBorders>
              <w:bottom w:val="single" w:sz="8" w:space="0" w:color="000000"/>
            </w:tcBorders>
          </w:tcPr>
          <w:p>
            <w:pPr>
              <w:pStyle w:val="CeldaAPA"/>
              <w:jc w:val="left"/>
            </w:pPr>
            <w:r>
              <w:rPr/>
              <w:t xml:space="preserve">Planilla de costos de la calidad (C.6); acta</w:t>
            </w:r>
          </w:p>
        </w:tc>
        <w:tc>
          <w:tcPr>
            <w:tcW w:w="1684" w:type="dxa"/>
            <w:tcBorders>
              <w:bottom w:val="single" w:sz="8" w:space="0" w:color="000000"/>
            </w:tcBorders>
          </w:tcPr>
          <w:p>
            <w:pPr>
              <w:pStyle w:val="CeldaAPA"/>
              <w:jc w:val="left"/>
            </w:pPr>
            <w:r>
              <w:rPr/>
              <w:t xml:space="preserve">Director de obra</w:t>
            </w:r>
          </w:p>
        </w:tc>
      </w:tr>
    </w:tbl>
    <w:p>
      <w:pPr>
        <w:pStyle w:val="NotaAPA"/>
      </w:pPr>
      <w:r>
        <w:rPr>
          <w:iCs/>
          <w:i/>
        </w:rPr>
        <w:t xml:space="preserve">Nota.</w:t>
      </w:r>
      <w:r>
        <w:t xml:space="preserve"> </w:t>
      </w:r>
      <w:r>
        <w:t xml:space="preserve">Elaboración propia con base en la estructura del plan de la calidad (Sección 2.6).</w:t>
      </w:r>
    </w:p>
    <w:p>
      <w:pPr>
        <w:pStyle w:val="BodyText"/>
      </w:pPr>
      <w:r>
        <w:t xml:space="preserve">Esta secuencia no pudo aplicarse en obra durante la investigación. El 5 de enero de 2026 la empresa contratista solicitó la paralización de la obra y la resolución concertada del contrato, y la UATF respondió favorablemente el 10 de febrero de 2026</w:t>
      </w:r>
      <w:r>
        <w:t xml:space="preserve"> </w:t>
      </w:r>
      <w:r>
        <w:t xml:space="preserve">(UATF, s. f.-b)</w:t>
      </w:r>
      <w:r>
        <w:t xml:space="preserve">. Hasta la conclusión de este trabajo no se había contratado la ejecución del saldo de la obra, por lo que no existió una segunda losa sobre la cual medir la posprueba (</w:t>
      </w:r>
      <m:oMath>
        <m:sSub>
          <m:e>
            <m:r>
              <m:t>O</m:t>
            </m:r>
          </m:e>
          <m:sub>
            <m:r>
              <m:t>2</m:t>
            </m:r>
          </m:sub>
        </m:sSub>
      </m:oMath>
      <w:r>
        <w:t xml:space="preserve">). Por ello, conforme a la alternativa prevista en el diseño de la investigación, el efecto del SGC se evaluó</w:t>
      </w:r>
      <w:r>
        <w:t xml:space="preserve"> </w:t>
      </w:r>
      <w:r>
        <w:rPr>
          <w:iCs/>
          <w:i/>
        </w:rPr>
        <w:t xml:space="preserve">ex ante</w:t>
      </w:r>
      <w:r>
        <w:t xml:space="preserve"> </w:t>
      </w:r>
      <w:r>
        <w:t xml:space="preserve">mediante un modelo de costos y una simulación, y el procedimiento de la Tabla 44 se conserva como protocolo de implementación y de verificación futura (Sección 2.9.1).</w:t>
      </w:r>
    </w:p>
    <w:p>
      <w:pPr>
        <w:pStyle w:val="Heading3"/>
      </w:pPr>
      <w:bookmarkStart w:id="184" w:name="tit131"/>
      <w:r>
        <w:t xml:space="preserve">2.7.2. Evaluación ex ante mediante modelación y simulación</w:t>
      </w:r>
      <w:bookmarkEnd w:id="184"/>
    </w:p>
    <w:p>
      <w:pPr>
        <w:pStyle w:val="FirstParagraph"/>
      </w:pPr>
      <w:r>
        <w:t xml:space="preserve">La guía del Seminario de Grado reconoce la</w:t>
      </w:r>
      <w:r>
        <w:t xml:space="preserve"> </w:t>
      </w:r>
      <w:r>
        <w:rPr>
          <w:iCs/>
          <w:i/>
        </w:rPr>
        <w:t xml:space="preserve">modelación de simulación teórica</w:t>
      </w:r>
      <w:r>
        <w:t xml:space="preserve"> </w:t>
      </w:r>
      <w:r>
        <w:t xml:space="preserve">como un tipo de modelo de investigación. Según esa guía, el modelo debe incluir un tratamiento de control (sin tratamiento) que sirva de comparación y debe permitir calcular el grado de incertidumbre de los resultados</w:t>
      </w:r>
      <w:r>
        <w:t xml:space="preserve"> </w:t>
      </w:r>
      <w:r>
        <w:t xml:space="preserve">(Barrios C., 2021c)</w:t>
      </w:r>
      <w:r>
        <w:t xml:space="preserve">. El modelo de esta tesis cumple ambas condiciones: compara el costo de ejecutar los 2.234,60 m</w:t>
      </w:r>
      <w:r>
        <w:rPr>
          <w:vertAlign w:val="superscript"/>
        </w:rPr>
        <w:t xml:space="preserve">2</w:t>
      </w:r>
      <w:r>
        <w:t xml:space="preserve"> </w:t>
      </w:r>
      <w:r>
        <w:t xml:space="preserve">restantes</w:t>
      </w:r>
      <w:r>
        <w:t xml:space="preserve"> </w:t>
      </w:r>
      <w:r>
        <w:rPr>
          <w:bCs/>
          <w:b/>
        </w:rPr>
        <w:t xml:space="preserve">sin SGC</w:t>
      </w:r>
      <w:r>
        <w:t xml:space="preserve"> </w:t>
      </w:r>
      <w:r>
        <w:t xml:space="preserve">(control, con el desempeño de la línea base) y</w:t>
      </w:r>
      <w:r>
        <w:t xml:space="preserve"> </w:t>
      </w:r>
      <w:r>
        <w:rPr>
          <w:bCs/>
          <w:b/>
        </w:rPr>
        <w:t xml:space="preserve">con SGC</w:t>
      </w:r>
      <w:r>
        <w:t xml:space="preserve"> </w:t>
      </w:r>
      <w:r>
        <w:t xml:space="preserve">(tratamiento), y expresa el resultado como una distribución de probabilidad.</w:t>
      </w:r>
    </w:p>
    <w:p>
      <w:pPr>
        <w:pStyle w:val="BodyText"/>
      </w:pPr>
      <w:r>
        <w:rPr>
          <w:bCs/>
          <w:b/>
        </w:rPr>
        <w:t xml:space="preserve">Estructura del modelo.</w:t>
      </w:r>
      <w:r>
        <w:t xml:space="preserve"> </w:t>
      </w:r>
      <w:r>
        <w:t xml:space="preserve">Para cada escenario</w:t>
      </w:r>
      <w:r>
        <w:t xml:space="preserve"> </w:t>
      </w:r>
      <m:oMath>
        <m:r>
          <m:t>s</m:t>
        </m:r>
        <m:r>
          <m:rPr>
            <m:sty m:val="p"/>
          </m:rPr>
          <m:t>∈</m:t>
        </m:r>
        <m:r>
          <m:rPr>
            <m:sty m:val="p"/>
          </m:rPr>
          <m:t>{</m:t>
        </m:r>
        <m:r>
          <m:rPr>
            <m:nor/>
            <m:sty m:val="p"/>
          </m:rPr>
          <m:t>sin</m:t>
        </m:r>
        <m:r>
          <m:rPr>
            <m:sty m:val="p"/>
          </m:rPr>
          <m:t>,</m:t>
        </m:r>
        <m:r>
          <m:rPr>
            <m:nor/>
            <m:sty m:val="p"/>
          </m:rPr>
          <m:t>con</m:t>
        </m:r>
        <m:r>
          <m:rPr>
            <m:sty m:val="p"/>
          </m:rPr>
          <m:t>}</m:t>
        </m:r>
      </m:oMath>
      <w:r>
        <w:t xml:space="preserve">, el costo unitario de ejecución a precios constantes del contrato se descompone en el costo directo teórico, el costo de no calidad y el costo de la calidad:</w:t>
      </w:r>
    </w:p>
    <w:tbl>
      <w:tblPr>
        <w:tblW w:w="9360" w:type="dxa"/>
        <w:tblLayout w:type="fixed"/>
        <w:tblCellMar>
          <w:left w:w="0" w:type="dxa"/>
          <w:right w:w="0" w:type="dxa"/>
        </w:tblCellMar>
        <w:tblLook w:val="0000" w:firstRow="0" w:lastRow="0" w:firstColumn="0" w:lastColumn="0" w:noHBand="1" w:noVBand="1"/>
        <w:tblCaption w:val="Ecuación"/>
      </w:tblPr>
      <w:tblGrid>
        <w:gridCol w:w="1134"/>
        <w:gridCol w:w="7092"/>
        <w:gridCol w:w="1134"/>
      </w:tblGrid>
      <w:tr>
        <w:trPr>
          <w:cantSplit/>
        </w:trPr>
        <w:tc>
          <w:tcPr>
            <w:tcW w:w="1134" w:type="dxa"/>
            <w:vAlign w:val="center"/>
          </w:tcPr>
          <w:p>
            <w:pPr>
              <w:pStyle w:val="EcuacionAPA"/>
            </w:pPr>
          </w:p>
        </w:tc>
        <w:tc>
          <w:tcPr>
            <w:tcW w:w="7092" w:type="dxa"/>
            <w:vAlign w:val="center"/>
          </w:tcPr>
          <w:p>
            <w:pPr>
              <w:pStyle w:val="EcuacionAPA"/>
            </w:pPr>
            <m:oMathPara>
              <m:oMathParaPr>
                <m:jc m:val="center"/>
              </m:oMathParaPr>
              <m:oMath>
                <m:r>
                  <m:t>C</m:t>
                </m:r>
                <m:sSub>
                  <m:e>
                    <m:r>
                      <m:t>U</m:t>
                    </m:r>
                  </m:e>
                  <m:sub>
                    <m:r>
                      <m:t>s</m:t>
                    </m:r>
                  </m:sub>
                </m:sSub>
                <m:r>
                  <m:rPr>
                    <m:sty m:val="p"/>
                  </m:rPr>
                  <m:t>=</m:t>
                </m:r>
                <m:r>
                  <m:t>C</m:t>
                </m:r>
                <m:sSub>
                  <m:e>
                    <m:r>
                      <m:t>D</m:t>
                    </m:r>
                  </m:e>
                  <m:sub>
                    <m:r>
                      <m:t>t</m:t>
                    </m:r>
                    <m:r>
                      <m:t>e</m:t>
                    </m:r>
                    <m:r>
                      <m:t>o</m:t>
                    </m:r>
                  </m:sub>
                </m:sSub>
                <m:r>
                  <m:rPr>
                    <m:sty m:val="p"/>
                  </m:rPr>
                  <m:t>+</m:t>
                </m:r>
                <m:r>
                  <m:t>C</m:t>
                </m:r>
                <m:r>
                  <m:t>N</m:t>
                </m:r>
                <m:sSub>
                  <m:e>
                    <m:r>
                      <m:t>C</m:t>
                    </m:r>
                  </m:e>
                  <m:sub>
                    <m:r>
                      <m:t>s</m:t>
                    </m:r>
                  </m:sub>
                </m:sSub>
                <m:r>
                  <m:rPr>
                    <m:sty m:val="p"/>
                  </m:rPr>
                  <m:t>+</m:t>
                </m:r>
                <m:r>
                  <m:t>C</m:t>
                </m:r>
                <m:sSub>
                  <m:e>
                    <m:r>
                      <m:t>C</m:t>
                    </m:r>
                  </m:e>
                  <m:sub>
                    <m:r>
                      <m:t>s</m:t>
                    </m:r>
                  </m:sub>
                </m:sSub>
              </m:oMath>
            </m:oMathPara>
          </w:p>
        </w:tc>
        <w:tc>
          <w:tcPr>
            <w:tcW w:w="1134" w:type="dxa"/>
            <w:vAlign w:val="center"/>
          </w:tcPr>
          <w:p>
            <w:pPr>
              <w:pStyle w:val="EcuacionAPA"/>
              <w:jc w:val="right"/>
            </w:pPr>
            <w:r>
              <w:t>(17)</w:t>
            </w:r>
          </w:p>
        </w:tc>
      </w:tr>
      <w:tr>
        <w:trPr>
          <w:cantSplit/>
        </w:trPr>
        <w:tc>
          <w:tcPr>
            <w:tcW w:w="1134" w:type="dxa"/>
            <w:vAlign w:val="center"/>
          </w:tcPr>
          <w:p>
            <w:pPr>
              <w:pStyle w:val="EcuacionAPA"/>
            </w:pPr>
          </w:p>
        </w:tc>
        <w:tc>
          <w:tcPr>
            <w:tcW w:w="7092" w:type="dxa"/>
            <w:vAlign w:val="center"/>
          </w:tcPr>
          <w:p>
            <w:pPr>
              <w:pStyle w:val="EcuacionAPA"/>
            </w:pPr>
            <m:oMathPara>
              <m:oMathParaPr>
                <m:jc m:val="center"/>
              </m:oMathParaPr>
              <m:oMath>
                <m:r>
                  <m:t>C</m:t>
                </m:r>
                <m:r>
                  <m:t>N</m:t>
                </m:r>
                <m:sSub>
                  <m:e>
                    <m:r>
                      <m:t>C</m:t>
                    </m:r>
                  </m:e>
                  <m:sub>
                    <m:r>
                      <m:t>s</m:t>
                    </m:r>
                  </m:sub>
                </m:sSub>
                <m:r>
                  <m:rPr>
                    <m:sty m:val="p"/>
                  </m:rPr>
                  <m:t>=</m:t>
                </m:r>
                <m:nary>
                  <m:naryPr>
                    <m:chr m:val="∑"/>
                    <m:limLoc m:val="undOvr"/>
                    <m:subHide m:val="off"/>
                    <m:supHide m:val="on"/>
                  </m:naryPr>
                  <m:sub>
                    <m:r>
                      <m:t>i</m:t>
                    </m:r>
                  </m:sub>
                  <m:sup>
                    <m:r>
                      <m:t>​</m:t>
                    </m:r>
                  </m:sup>
                  <m:e>
                    <m:sSub>
                      <m:e>
                        <m:r>
                          <m:t>q</m:t>
                        </m:r>
                      </m:e>
                      <m:sub>
                        <m:r>
                          <m:t>t</m:t>
                        </m:r>
                        <m:r>
                          <m:t>e</m:t>
                        </m:r>
                        <m:r>
                          <m:t>o</m:t>
                        </m:r>
                        <m:r>
                          <m:rPr>
                            <m:sty m:val="p"/>
                          </m:rPr>
                          <m:t>,</m:t>
                        </m:r>
                        <m:r>
                          <m:t>i</m:t>
                        </m:r>
                      </m:sub>
                    </m:sSub>
                  </m:e>
                </m:nary>
                <m:r>
                  <m:t> </m:t>
                </m:r>
                <m:sSub>
                  <m:e>
                    <m:r>
                      <m:t>p</m:t>
                    </m:r>
                  </m:e>
                  <m:sub>
                    <m:r>
                      <m:t>i</m:t>
                    </m:r>
                  </m:sub>
                </m:sSub>
                <m:r>
                  <m:t> </m:t>
                </m:r>
                <m:r>
                  <m:t>I</m:t>
                </m:r>
                <m:r>
                  <m:t>D</m:t>
                </m:r>
                <m:sSub>
                  <m:e>
                    <m:r>
                      <m:t>M</m:t>
                    </m:r>
                  </m:e>
                  <m:sub>
                    <m:r>
                      <m:t>i</m:t>
                    </m:r>
                    <m:r>
                      <m:rPr>
                        <m:sty m:val="p"/>
                      </m:rPr>
                      <m:t>,</m:t>
                    </m:r>
                    <m:r>
                      <m:t>s</m:t>
                    </m:r>
                  </m:sub>
                </m:sSub>
                <m:r>
                  <m:t> </m:t>
                </m:r>
                <m:r>
                  <m:rPr>
                    <m:sty m:val="p"/>
                  </m:rPr>
                  <m:t>+</m:t>
                </m:r>
                <m:r>
                  <m:t> </m:t>
                </m:r>
                <m:sSub>
                  <m:e>
                    <m:r>
                      <m:t>ρ</m:t>
                    </m:r>
                  </m:e>
                  <m:sub>
                    <m:r>
                      <m:t>s</m:t>
                    </m:r>
                  </m:sub>
                </m:sSub>
                <m:r>
                  <m:t> </m:t>
                </m:r>
                <m:r>
                  <m:t>C</m:t>
                </m:r>
                <m:sSub>
                  <m:e>
                    <m:r>
                      <m:t>D</m:t>
                    </m:r>
                  </m:e>
                  <m:sub>
                    <m:r>
                      <m:t>t</m:t>
                    </m:r>
                    <m:r>
                      <m:t>e</m:t>
                    </m:r>
                    <m:r>
                      <m:t>o</m:t>
                    </m:r>
                  </m:sub>
                </m:sSub>
              </m:oMath>
            </m:oMathPara>
          </w:p>
        </w:tc>
        <w:tc>
          <w:tcPr>
            <w:tcW w:w="1134" w:type="dxa"/>
            <w:vAlign w:val="center"/>
          </w:tcPr>
          <w:p>
            <w:pPr>
              <w:pStyle w:val="EcuacionAPA"/>
              <w:jc w:val="right"/>
            </w:pPr>
            <w:r>
              <w:t>(18)</w:t>
            </w:r>
          </w:p>
        </w:tc>
      </w:tr>
    </w:tbl>
    <w:p>
      <w:pPr>
        <w:pStyle w:val="FirstParagraph"/>
        <w:ind w:firstLine="0"/>
      </w:pPr>
      <w:r>
        <w:t xml:space="preserve"/>
      </w:r>
      <w:r>
        <w:t xml:space="preserve"/>
      </w:r>
      <w:r>
        <w:t xml:space="preserve">donde</w:t>
      </w:r>
      <w:r>
        <w:t xml:space="preserve"> </w:t>
      </w:r>
      <m:oMath>
        <m:r>
          <m:t>C</m:t>
        </m:r>
        <m:sSub>
          <m:e>
            <m:r>
              <m:t>D</m:t>
            </m:r>
          </m:e>
          <m:sub>
            <m:r>
              <m:t>t</m:t>
            </m:r>
            <m:r>
              <m:t>e</m:t>
            </m:r>
            <m:r>
              <m:t>o</m:t>
            </m:r>
          </m:sub>
        </m:sSub>
      </m:oMath>
      <w:r>
        <w:t xml:space="preserve"> </w:t>
      </w:r>
      <w:r>
        <w:t xml:space="preserve">es el costo directo de la losa con las cantidades teóricas (sin pérdidas),</w:t>
      </w:r>
      <w:r>
        <w:t xml:space="preserve"> </w:t>
      </w:r>
      <m:oMath>
        <m:sSub>
          <m:e>
            <m:r>
              <m:t>q</m:t>
            </m:r>
          </m:e>
          <m:sub>
            <m:r>
              <m:t>t</m:t>
            </m:r>
            <m:r>
              <m:t>e</m:t>
            </m:r>
            <m:r>
              <m:t>o</m:t>
            </m:r>
            <m:r>
              <m:rPr>
                <m:sty m:val="p"/>
              </m:rPr>
              <m:t>,</m:t>
            </m:r>
            <m:r>
              <m:t>i</m:t>
            </m:r>
          </m:sub>
        </m:sSub>
      </m:oMath>
      <w:r>
        <w:t xml:space="preserve"> </w:t>
      </w:r>
      <w:r>
        <w:t xml:space="preserve">la cantidad teórica del material</w:t>
      </w:r>
      <w:r>
        <w:t xml:space="preserve"> </w:t>
      </w:r>
      <m:oMath>
        <m:r>
          <m:t>i</m:t>
        </m:r>
      </m:oMath>
      <w:r>
        <w:t xml:space="preserve"> </w:t>
      </w:r>
      <w:r>
        <w:t xml:space="preserve">por m</w:t>
      </w:r>
      <w:r>
        <w:rPr>
          <w:vertAlign w:val="superscript"/>
        </w:rPr>
        <w:t xml:space="preserve">2</w:t>
      </w:r>
      <w:r>
        <w:t xml:space="preserve"> </w:t>
      </w:r>
      <w:r>
        <w:t xml:space="preserve">(viguetas, complementos de EPS, hormigón y acero),</w:t>
      </w:r>
      <w:r>
        <w:t xml:space="preserve"> </w:t>
      </w:r>
      <m:oMath>
        <m:sSub>
          <m:e>
            <m:r>
              <m:t>p</m:t>
            </m:r>
          </m:e>
          <m:sub>
            <m:r>
              <m:t>i</m:t>
            </m:r>
          </m:sub>
        </m:sSub>
      </m:oMath>
      <w:r>
        <w:t xml:space="preserve"> </w:t>
      </w:r>
      <w:r>
        <w:t xml:space="preserve">su precio de valoración a precios del contrato,</w:t>
      </w:r>
      <w:r>
        <w:t xml:space="preserve"> </w:t>
      </w:r>
      <m:oMath>
        <m:r>
          <m:t>I</m:t>
        </m:r>
        <m:r>
          <m:t>D</m:t>
        </m:r>
        <m:sSub>
          <m:e>
            <m:r>
              <m:t>M</m:t>
            </m:r>
          </m:e>
          <m:sub>
            <m:r>
              <m:t>i</m:t>
            </m:r>
            <m:r>
              <m:rPr>
                <m:sty m:val="p"/>
              </m:rPr>
              <m:t>,</m:t>
            </m:r>
            <m:r>
              <m:t>s</m:t>
            </m:r>
          </m:sub>
        </m:sSub>
      </m:oMath>
      <w:r>
        <w:t xml:space="preserve"> </w:t>
      </w:r>
      <w:r>
        <w:t xml:space="preserve">su índice de desperdicio (ecuación 8),</w:t>
      </w:r>
      <w:r>
        <w:t xml:space="preserve"> </w:t>
      </w:r>
      <m:oMath>
        <m:sSub>
          <m:e>
            <m:r>
              <m:t>ρ</m:t>
            </m:r>
          </m:e>
          <m:sub>
            <m:r>
              <m:t>s</m:t>
            </m:r>
          </m:sub>
        </m:sSub>
      </m:oMath>
      <w:r>
        <w:t xml:space="preserve"> </w:t>
      </w:r>
      <w:r>
        <w:t xml:space="preserve">la fracción del costo directo que se pierde en retrabajos y reparaciones, y</w:t>
      </w:r>
      <w:r>
        <w:t xml:space="preserve"> </w:t>
      </w:r>
      <m:oMath>
        <m:r>
          <m:t>C</m:t>
        </m:r>
        <m:sSub>
          <m:e>
            <m:r>
              <m:t>C</m:t>
            </m:r>
          </m:e>
          <m:sub>
            <m:r>
              <m:t>s</m:t>
            </m:r>
          </m:sub>
        </m:sSub>
      </m:oMath>
      <w:r>
        <w:t xml:space="preserve"> </w:t>
      </w:r>
      <w:r>
        <w:t xml:space="preserve">el costo de prevención y evaluación por m</w:t>
      </w:r>
      <w:r>
        <w:rPr>
          <w:vertAlign w:val="superscript"/>
        </w:rPr>
        <w:t xml:space="preserve">2</w:t>
      </w:r>
      <w:r>
        <w:t xml:space="preserve"> </w:t>
      </w:r>
      <w:r>
        <w:t xml:space="preserve">(modelo PAF, ecuación 10). El primer término de la ecuación (18) corresponde al costo de las pérdidas de materiales definido por</w:t>
      </w:r>
      <w:r>
        <w:t xml:space="preserve"> </w:t>
      </w:r>
      <w:r>
        <w:t xml:space="preserve">Rossi et al. (2001)</w:t>
      </w:r>
      <w:r>
        <w:t xml:space="preserve">: diferencia entre el consumo real y el teórico multiplicada por el costo unitario.</w:t>
      </w:r>
    </w:p>
    <w:p>
      <w:pPr>
        <w:pStyle w:val="BodyText"/>
      </w:pPr>
      <w:r>
        <w:rPr>
          <w:bCs/>
          <w:b/>
        </w:rPr>
        <w:t xml:space="preserve">Efecto del SGC.</w:t>
      </w:r>
      <w:r>
        <w:t xml:space="preserve"> </w:t>
      </w:r>
      <w:r>
        <w:t xml:space="preserve">El tratamiento actúa reduciendo las pérdidas y los retrabajos en una proporción</w:t>
      </w:r>
      <w:r>
        <w:t xml:space="preserve"> </w:t>
      </w:r>
      <m:oMath>
        <m:r>
          <m:t>e</m:t>
        </m:r>
      </m:oMath>
      <w:r>
        <w:t xml:space="preserve"> </w:t>
      </w:r>
      <w:r>
        <w:t xml:space="preserve">(eficacia), y añade su propio costo de la calidad:</w:t>
      </w:r>
    </w:p>
    <w:tbl>
      <w:tblPr>
        <w:tblW w:w="9360" w:type="dxa"/>
        <w:tblLayout w:type="fixed"/>
        <w:tblCellMar>
          <w:left w:w="0" w:type="dxa"/>
          <w:right w:w="0" w:type="dxa"/>
        </w:tblCellMar>
        <w:tblLook w:val="0000" w:firstRow="0" w:lastRow="0" w:firstColumn="0" w:lastColumn="0" w:noHBand="1" w:noVBand="1"/>
        <w:tblCaption w:val="Ecuación"/>
      </w:tblPr>
      <w:tblGrid>
        <w:gridCol w:w="1134"/>
        <w:gridCol w:w="7092"/>
        <w:gridCol w:w="1134"/>
      </w:tblGrid>
      <w:tr>
        <w:trPr>
          <w:cantSplit/>
        </w:trPr>
        <w:tc>
          <w:tcPr>
            <w:tcW w:w="1134" w:type="dxa"/>
            <w:vAlign w:val="center"/>
          </w:tcPr>
          <w:p>
            <w:pPr>
              <w:pStyle w:val="EcuacionAPA"/>
            </w:pPr>
          </w:p>
        </w:tc>
        <w:tc>
          <w:tcPr>
            <w:tcW w:w="7092" w:type="dxa"/>
            <w:vAlign w:val="center"/>
          </w:tcPr>
          <w:p>
            <w:pPr>
              <w:pStyle w:val="EcuacionAPA"/>
            </w:pPr>
            <m:oMathPara>
              <m:oMathParaPr>
                <m:jc m:val="center"/>
              </m:oMathParaPr>
              <m:oMath>
                <m:r>
                  <m:t>I</m:t>
                </m:r>
                <m:r>
                  <m:t>D</m:t>
                </m:r>
                <m:sSub>
                  <m:e>
                    <m:r>
                      <m:t>M</m:t>
                    </m:r>
                  </m:e>
                  <m:sub>
                    <m:r>
                      <m:t>i</m:t>
                    </m:r>
                    <m:r>
                      <m:rPr>
                        <m:sty m:val="p"/>
                      </m:rPr>
                      <m:t>,</m:t>
                    </m:r>
                    <m:r>
                      <m:rPr>
                        <m:nor/>
                        <m:sty m:val="p"/>
                      </m:rPr>
                      <m:t>con</m:t>
                    </m:r>
                  </m:sub>
                </m:sSub>
                <m:r>
                  <m:rPr>
                    <m:sty m:val="p"/>
                  </m:rPr>
                  <m:t>=</m:t>
                </m:r>
                <m:r>
                  <m:t>I</m:t>
                </m:r>
                <m:r>
                  <m:t>D</m:t>
                </m:r>
                <m:sSub>
                  <m:e>
                    <m:r>
                      <m:t>M</m:t>
                    </m:r>
                  </m:e>
                  <m:sub>
                    <m:r>
                      <m:t>i</m:t>
                    </m:r>
                    <m:r>
                      <m:rPr>
                        <m:sty m:val="p"/>
                      </m:rPr>
                      <m:t>,</m:t>
                    </m:r>
                    <m:r>
                      <m:rPr>
                        <m:nor/>
                        <m:sty m:val="p"/>
                      </m:rPr>
                      <m:t>sin</m:t>
                    </m:r>
                  </m:sub>
                </m:sSub>
                <m:r>
                  <m:t> </m:t>
                </m:r>
                <m:d>
                  <m:dPr>
                    <m:begChr m:val="("/>
                    <m:endChr m:val=")"/>
                    <m:sepChr m:val=""/>
                    <m:grow/>
                  </m:dPr>
                  <m:e>
                    <m:r>
                      <m:t>1</m:t>
                    </m:r>
                    <m:r>
                      <m:rPr>
                        <m:sty m:val="p"/>
                      </m:rPr>
                      <m:t>−</m:t>
                    </m:r>
                    <m:sSub>
                      <m:e>
                        <m:r>
                          <m:t>e</m:t>
                        </m:r>
                      </m:e>
                      <m:sub>
                        <m:r>
                          <m:t>i</m:t>
                        </m:r>
                      </m:sub>
                    </m:sSub>
                  </m:e>
                </m:d>
                <m:r>
                  <m:rPr>
                    <m:sty m:val="p"/>
                  </m:rPr>
                  <m:t>,</m:t>
                </m:r>
                <m:r>
                  <m:t>  </m:t>
                </m:r>
                <m:sSub>
                  <m:e>
                    <m:r>
                      <m:t>ρ</m:t>
                    </m:r>
                  </m:e>
                  <m:sub>
                    <m:r>
                      <m:rPr>
                        <m:nor/>
                        <m:sty m:val="p"/>
                      </m:rPr>
                      <m:t>con</m:t>
                    </m:r>
                  </m:sub>
                </m:sSub>
                <m:r>
                  <m:rPr>
                    <m:sty m:val="p"/>
                  </m:rPr>
                  <m:t>=</m:t>
                </m:r>
                <m:sSub>
                  <m:e>
                    <m:r>
                      <m:t>ρ</m:t>
                    </m:r>
                  </m:e>
                  <m:sub>
                    <m:r>
                      <m:rPr>
                        <m:nor/>
                        <m:sty m:val="p"/>
                      </m:rPr>
                      <m:t>sin</m:t>
                    </m:r>
                  </m:sub>
                </m:sSub>
                <m:r>
                  <m:t> </m:t>
                </m:r>
                <m:d>
                  <m:dPr>
                    <m:begChr m:val="("/>
                    <m:endChr m:val=")"/>
                    <m:sepChr m:val=""/>
                    <m:grow/>
                  </m:dPr>
                  <m:e>
                    <m:r>
                      <m:t>1</m:t>
                    </m:r>
                    <m:r>
                      <m:rPr>
                        <m:sty m:val="p"/>
                      </m:rPr>
                      <m:t>−</m:t>
                    </m:r>
                    <m:sSub>
                      <m:e>
                        <m:r>
                          <m:t>e</m:t>
                        </m:r>
                      </m:e>
                      <m:sub>
                        <m:r>
                          <m:t>R</m:t>
                        </m:r>
                      </m:sub>
                    </m:sSub>
                  </m:e>
                </m:d>
                <m:r>
                  <m:rPr>
                    <m:sty m:val="p"/>
                  </m:rPr>
                  <m:t>,</m:t>
                </m:r>
                <m:r>
                  <m:t>  </m:t>
                </m:r>
                <m:r>
                  <m:t>C</m:t>
                </m:r>
                <m:sSub>
                  <m:e>
                    <m:r>
                      <m:t>C</m:t>
                    </m:r>
                  </m:e>
                  <m:sub>
                    <m:r>
                      <m:rPr>
                        <m:nor/>
                        <m:sty m:val="p"/>
                      </m:rPr>
                      <m:t>con</m:t>
                    </m:r>
                  </m:sub>
                </m:sSub>
                <m:r>
                  <m:rPr>
                    <m:sty m:val="p"/>
                  </m:rPr>
                  <m:t>=</m:t>
                </m:r>
                <m:f>
                  <m:fPr>
                    <m:type m:val="bar"/>
                  </m:fPr>
                  <m:num>
                    <m:sSub>
                      <m:e>
                        <m:r>
                          <m:t>C</m:t>
                        </m:r>
                      </m:e>
                      <m:sub>
                        <m:r>
                          <m:t>P</m:t>
                        </m:r>
                      </m:sub>
                    </m:sSub>
                    <m:r>
                      <m:rPr>
                        <m:sty m:val="p"/>
                      </m:rPr>
                      <m:t>+</m:t>
                    </m:r>
                    <m:sSub>
                      <m:e>
                        <m:r>
                          <m:t>C</m:t>
                        </m:r>
                      </m:e>
                      <m:sub>
                        <m:r>
                          <m:t>E</m:t>
                        </m:r>
                      </m:sub>
                    </m:sSub>
                  </m:num>
                  <m:den>
                    <m:sSub>
                      <m:e>
                        <m:r>
                          <m:t>A</m:t>
                        </m:r>
                      </m:e>
                      <m:sub>
                        <m:r>
                          <m:t>s</m:t>
                        </m:r>
                        <m:r>
                          <m:t>a</m:t>
                        </m:r>
                        <m:r>
                          <m:t>l</m:t>
                        </m:r>
                        <m:r>
                          <m:t>d</m:t>
                        </m:r>
                        <m:r>
                          <m:t>o</m:t>
                        </m:r>
                      </m:sub>
                    </m:sSub>
                  </m:den>
                </m:f>
              </m:oMath>
            </m:oMathPara>
          </w:p>
        </w:tc>
        <w:tc>
          <w:tcPr>
            <w:tcW w:w="1134" w:type="dxa"/>
            <w:vAlign w:val="center"/>
          </w:tcPr>
          <w:p>
            <w:pPr>
              <w:pStyle w:val="EcuacionAPA"/>
              <w:jc w:val="right"/>
            </w:pPr>
            <w:r>
              <w:t>(19)</w:t>
            </w:r>
          </w:p>
        </w:tc>
      </w:tr>
    </w:tbl>
    <w:p>
      <w:pPr>
        <w:pStyle w:val="FirstParagraph"/>
        <w:ind w:firstLine="0"/>
      </w:pPr>
      <w:r>
        <w:t xml:space="preserve"/>
      </w:r>
      <w:r>
        <w:t xml:space="preserve"/>
      </w:r>
      <w:r>
        <w:t xml:space="preserve">donde</w:t>
      </w:r>
      <w:r>
        <w:t xml:space="preserve"> </w:t>
      </w:r>
      <m:oMath>
        <m:sSub>
          <m:e>
            <m:r>
              <m:t>e</m:t>
            </m:r>
          </m:e>
          <m:sub>
            <m:r>
              <m:t>i</m:t>
            </m:r>
          </m:sub>
        </m:sSub>
      </m:oMath>
      <w:r>
        <w:t xml:space="preserve"> </w:t>
      </w:r>
      <w:r>
        <w:t xml:space="preserve">y</w:t>
      </w:r>
      <w:r>
        <w:t xml:space="preserve"> </w:t>
      </w:r>
      <m:oMath>
        <m:sSub>
          <m:e>
            <m:r>
              <m:t>e</m:t>
            </m:r>
          </m:e>
          <m:sub>
            <m:r>
              <m:t>R</m:t>
            </m:r>
          </m:sub>
        </m:sSub>
      </m:oMath>
      <w:r>
        <w:t xml:space="preserve"> </w:t>
      </w:r>
      <w:r>
        <w:t xml:space="preserve">son las eficacias del SGC sobre el desperdicio del material</w:t>
      </w:r>
      <w:r>
        <w:t xml:space="preserve"> </w:t>
      </w:r>
      <m:oMath>
        <m:r>
          <m:t>i</m:t>
        </m:r>
      </m:oMath>
      <w:r>
        <w:t xml:space="preserve"> </w:t>
      </w:r>
      <w:r>
        <w:t xml:space="preserve">y sobre los retrabajos,</w:t>
      </w:r>
      <w:r>
        <w:t xml:space="preserve"> </w:t>
      </w:r>
      <m:oMath>
        <m:sSub>
          <m:e>
            <m:r>
              <m:t>C</m:t>
            </m:r>
          </m:e>
          <m:sub>
            <m:r>
              <m:t>P</m:t>
            </m:r>
          </m:sub>
        </m:sSub>
      </m:oMath>
      <w:r>
        <w:t xml:space="preserve"> </w:t>
      </w:r>
      <w:r>
        <w:t xml:space="preserve">y</w:t>
      </w:r>
      <w:r>
        <w:t xml:space="preserve"> </w:t>
      </w:r>
      <m:oMath>
        <m:sSub>
          <m:e>
            <m:r>
              <m:t>C</m:t>
            </m:r>
          </m:e>
          <m:sub>
            <m:r>
              <m:t>E</m:t>
            </m:r>
          </m:sub>
        </m:sSub>
      </m:oMath>
      <w:r>
        <w:t xml:space="preserve"> </w:t>
      </w:r>
      <w:r>
        <w:t xml:space="preserve">los costos totales de prevención y de evaluación del sistema y</w:t>
      </w:r>
      <w:r>
        <w:t xml:space="preserve"> </w:t>
      </w:r>
      <m:oMath>
        <m:sSub>
          <m:e>
            <m:r>
              <m:t>A</m:t>
            </m:r>
          </m:e>
          <m:sub>
            <m:r>
              <m:t>s</m:t>
            </m:r>
            <m:r>
              <m:t>a</m:t>
            </m:r>
            <m:r>
              <m:t>l</m:t>
            </m:r>
            <m:r>
              <m:t>d</m:t>
            </m:r>
            <m:r>
              <m:t>o</m:t>
            </m:r>
          </m:sub>
        </m:sSub>
        <m:r>
          <m:rPr>
            <m:sty m:val="p"/>
          </m:rPr>
          <m:t>=</m:t>
        </m:r>
        <m:r>
          <m:t>2.234</m:t>
        </m:r>
        <m:r>
          <m:rPr>
            <m:sty m:val="p"/>
          </m:rPr>
          <m:t>,</m:t>
        </m:r>
        <m:r>
          <m:t>60</m:t>
        </m:r>
      </m:oMath>
      <w:r>
        <w:t xml:space="preserve"> m</w:t>
      </w:r>
      <w:r>
        <w:rPr>
          <w:vertAlign w:val="superscript"/>
        </w:rPr>
        <w:t xml:space="preserve">2</w:t>
      </w:r>
      <w:r>
        <w:t xml:space="preserve">. La reducción relativa del costo unitario es:</w:t>
      </w:r>
    </w:p>
    <w:tbl>
      <w:tblPr>
        <w:tblW w:w="9360" w:type="dxa"/>
        <w:tblLayout w:type="fixed"/>
        <w:tblCellMar>
          <w:left w:w="0" w:type="dxa"/>
          <w:right w:w="0" w:type="dxa"/>
        </w:tblCellMar>
        <w:tblLook w:val="0000" w:firstRow="0" w:lastRow="0" w:firstColumn="0" w:lastColumn="0" w:noHBand="1" w:noVBand="1"/>
        <w:tblCaption w:val="Ecuación"/>
      </w:tblPr>
      <w:tblGrid>
        <w:gridCol w:w="1134"/>
        <w:gridCol w:w="7092"/>
        <w:gridCol w:w="1134"/>
      </w:tblGrid>
      <w:tr>
        <w:trPr>
          <w:cantSplit/>
        </w:trPr>
        <w:tc>
          <w:tcPr>
            <w:tcW w:w="1134" w:type="dxa"/>
            <w:vAlign w:val="center"/>
          </w:tcPr>
          <w:p>
            <w:pPr>
              <w:pStyle w:val="EcuacionAPA"/>
            </w:pPr>
          </w:p>
        </w:tc>
        <w:tc>
          <w:tcPr>
            <w:tcW w:w="7092" w:type="dxa"/>
            <w:vAlign w:val="center"/>
          </w:tcPr>
          <w:p>
            <w:pPr>
              <w:pStyle w:val="EcuacionAPA"/>
            </w:pPr>
            <m:oMathPara>
              <m:oMathParaPr>
                <m:jc m:val="center"/>
              </m:oMathParaPr>
              <m:oMath>
                <m:r>
                  <m:t>r</m:t>
                </m:r>
                <m:r>
                  <m:rPr>
                    <m:sty m:val="p"/>
                  </m:rPr>
                  <m:t>=</m:t>
                </m:r>
                <m:f>
                  <m:fPr>
                    <m:type m:val="bar"/>
                  </m:fPr>
                  <m:num>
                    <m:r>
                      <m:t>C</m:t>
                    </m:r>
                    <m:sSub>
                      <m:e>
                        <m:r>
                          <m:t>U</m:t>
                        </m:r>
                      </m:e>
                      <m:sub>
                        <m:r>
                          <m:rPr>
                            <m:nor/>
                            <m:sty m:val="p"/>
                          </m:rPr>
                          <m:t>sin</m:t>
                        </m:r>
                      </m:sub>
                    </m:sSub>
                    <m:r>
                      <m:rPr>
                        <m:sty m:val="p"/>
                      </m:rPr>
                      <m:t>−</m:t>
                    </m:r>
                    <m:r>
                      <m:t>C</m:t>
                    </m:r>
                    <m:sSub>
                      <m:e>
                        <m:r>
                          <m:t>U</m:t>
                        </m:r>
                      </m:e>
                      <m:sub>
                        <m:r>
                          <m:rPr>
                            <m:nor/>
                            <m:sty m:val="p"/>
                          </m:rPr>
                          <m:t>con</m:t>
                        </m:r>
                      </m:sub>
                    </m:sSub>
                  </m:num>
                  <m:den>
                    <m:r>
                      <m:t>C</m:t>
                    </m:r>
                    <m:sSub>
                      <m:e>
                        <m:r>
                          <m:t>U</m:t>
                        </m:r>
                      </m:e>
                      <m:sub>
                        <m:r>
                          <m:rPr>
                            <m:nor/>
                            <m:sty m:val="p"/>
                          </m:rPr>
                          <m:t>sin</m:t>
                        </m:r>
                      </m:sub>
                    </m:sSub>
                  </m:den>
                </m:f>
              </m:oMath>
            </m:oMathPara>
          </w:p>
        </w:tc>
        <w:tc>
          <w:tcPr>
            <w:tcW w:w="1134" w:type="dxa"/>
            <w:vAlign w:val="center"/>
          </w:tcPr>
          <w:p>
            <w:pPr>
              <w:pStyle w:val="EcuacionAPA"/>
              <w:jc w:val="right"/>
            </w:pPr>
            <w:r>
              <w:t>(20)</w:t>
            </w:r>
          </w:p>
        </w:tc>
      </w:tr>
    </w:tbl>
    <w:p>
      <w:pPr>
        <w:pStyle w:val="FirstParagraph"/>
      </w:pPr>
      <w:r>
        <w:rPr>
          <w:bCs/>
          <w:b/>
        </w:rPr>
        <w:t xml:space="preserve">Calibración.</w:t>
      </w:r>
      <w:r>
        <w:t xml:space="preserve"> </w:t>
      </w:r>
      <w:r>
        <w:t xml:space="preserve">El costo directo teórico se calibró para que el costo esperado de la línea base coincida con el precio contractual de la losa, que incluye el ítem 13 (Bs 215,68/m</w:t>
      </w:r>
      <w:r>
        <w:rPr>
          <w:vertAlign w:val="superscript"/>
        </w:rPr>
        <w:t xml:space="preserve">2</w:t>
      </w:r>
      <w:r>
        <w:t xml:space="preserve">) y el acero de la losa medido en el ítem 8 (Bs 62,98/m</w:t>
      </w:r>
      <w:r>
        <w:rPr>
          <w:vertAlign w:val="superscript"/>
        </w:rPr>
        <w:t xml:space="preserve">2</w:t>
      </w:r>
      <w:r>
        <w:t xml:space="preserve">), es decir, Bs 278,65/m</w:t>
      </w:r>
      <w:r>
        <w:rPr>
          <w:vertAlign w:val="superscript"/>
        </w:rPr>
        <w:t xml:space="preserve">2</w:t>
      </w:r>
      <w:r>
        <w:t xml:space="preserve">. Así, el modelo parte del supuesto de que el precio adjudicado refleja el costo de ejecutar la losa con la práctica habitual, incluidos sus desperdicios; con ese supuesto,</w:t>
      </w:r>
      <w:r>
        <w:t xml:space="preserve"> </w:t>
      </w:r>
      <m:oMath>
        <m:r>
          <m:t>C</m:t>
        </m:r>
        <m:sSub>
          <m:e>
            <m:r>
              <m:t>D</m:t>
            </m:r>
          </m:e>
          <m:sub>
            <m:r>
              <m:t>t</m:t>
            </m:r>
            <m:r>
              <m:t>e</m:t>
            </m:r>
            <m:r>
              <m:t>o</m:t>
            </m:r>
          </m:sub>
        </m:sSub>
        <m:r>
          <m:rPr>
            <m:sty m:val="p"/>
          </m:rPr>
          <m:t>=</m:t>
        </m:r>
      </m:oMath>
      <w:r>
        <w:t xml:space="preserve"> Bs 255,78/m</w:t>
      </w:r>
      <w:r>
        <w:rPr>
          <w:vertAlign w:val="superscript"/>
        </w:rPr>
        <w:t xml:space="preserve">2</w:t>
      </w:r>
      <w:r>
        <w:t xml:space="preserve">. Los precios de valoración</w:t>
      </w:r>
      <w:r>
        <w:t xml:space="preserve"> </w:t>
      </w:r>
      <m:oMath>
        <m:sSub>
          <m:e>
            <m:r>
              <m:t>p</m:t>
            </m:r>
          </m:e>
          <m:sub>
            <m:r>
              <m:t>i</m:t>
            </m:r>
          </m:sub>
        </m:sSub>
      </m:oMath>
      <w:r>
        <w:t xml:space="preserve"> </w:t>
      </w:r>
      <w:r>
        <w:t xml:space="preserve">provienen del análisis de precios unitarios de referencia reconstruido en el Anexo I.</w:t>
      </w:r>
    </w:p>
    <w:p>
      <w:pPr>
        <w:pStyle w:val="BodyText"/>
      </w:pPr>
      <w:r>
        <w:rPr>
          <w:bCs/>
          <w:b/>
        </w:rPr>
        <w:t xml:space="preserve">Parámetros inciertos.</w:t>
      </w:r>
      <w:r>
        <w:t xml:space="preserve"> </w:t>
      </w:r>
      <w:r>
        <w:t xml:space="preserve">Los índices de desperdicio de la línea base, las eficacias del SGC, la fracción de retrabajo y los costos del sistema se representaron con distribuciones triangulares (mínimo, moda y máximo). Esta distribución es adecuada cuando solo se conocen el rango plausible y el valor más probable de una variable, como ocurre con los datos documentales de una sola obra y con los rangos que reporta la literatura. Cada parámetro, su distribución y su fuente se detallan en la Sección 2.5.4 y en el Anexo K.</w:t>
      </w:r>
    </w:p>
    <w:p>
      <w:pPr>
        <w:pStyle w:val="BodyText"/>
      </w:pPr>
      <w:r>
        <w:rPr>
          <w:bCs/>
          <w:b/>
        </w:rPr>
        <w:t xml:space="preserve">Simulación.</w:t>
      </w:r>
      <w:r>
        <w:t xml:space="preserve"> </w:t>
      </w:r>
      <w:r>
        <w:t xml:space="preserve">Se generaron 20.000 escenarios independientes con una semilla fija (2026) para que los resultados sean reproducibles. En cada escenario se muestrearon todos los parámetros inciertos y se calcularon</w:t>
      </w:r>
      <w:r>
        <w:t xml:space="preserve"> </w:t>
      </w:r>
      <m:oMath>
        <m:r>
          <m:t>C</m:t>
        </m:r>
        <m:sSub>
          <m:e>
            <m:r>
              <m:t>U</m:t>
            </m:r>
          </m:e>
          <m:sub>
            <m:r>
              <m:rPr>
                <m:nor/>
                <m:sty m:val="p"/>
              </m:rPr>
              <m:t>sin</m:t>
            </m:r>
          </m:sub>
        </m:sSub>
      </m:oMath>
      <w:r>
        <w:t xml:space="preserve">,</w:t>
      </w:r>
      <w:r>
        <w:t xml:space="preserve"> </w:t>
      </w:r>
      <m:oMath>
        <m:r>
          <m:t>C</m:t>
        </m:r>
        <m:sSub>
          <m:e>
            <m:r>
              <m:t>U</m:t>
            </m:r>
          </m:e>
          <m:sub>
            <m:r>
              <m:rPr>
                <m:nor/>
                <m:sty m:val="p"/>
              </m:rPr>
              <m:t>con</m:t>
            </m:r>
          </m:sub>
        </m:sSub>
      </m:oMath>
      <w:r>
        <w:t xml:space="preserve">,</w:t>
      </w:r>
      <w:r>
        <w:t xml:space="preserve"> </w:t>
      </w:r>
      <m:oMath>
        <m:r>
          <m:t>C</m:t>
        </m:r>
        <m:r>
          <m:t>N</m:t>
        </m:r>
        <m:r>
          <m:t>C</m:t>
        </m:r>
      </m:oMath>
      <w:r>
        <w:t xml:space="preserve">,</w:t>
      </w:r>
      <w:r>
        <w:t xml:space="preserve"> </w:t>
      </w:r>
      <m:oMath>
        <m:r>
          <m:t>I</m:t>
        </m:r>
        <m:r>
          <m:t>D</m:t>
        </m:r>
        <m:r>
          <m:t>M</m:t>
        </m:r>
      </m:oMath>
      <w:r>
        <w:t xml:space="preserve"> </w:t>
      </w:r>
      <w:r>
        <w:t xml:space="preserve">y</w:t>
      </w:r>
      <w:r>
        <w:t xml:space="preserve"> </w:t>
      </w:r>
      <m:oMath>
        <m:r>
          <m:t>r</m:t>
        </m:r>
      </m:oMath>
      <w:r>
        <w:t xml:space="preserve"> </w:t>
      </w:r>
      <w:r>
        <w:t xml:space="preserve">con las ecuaciones (17) a (20). El cálculo se programó en Python con las bibliotecas NumPy y SciPy; el código y los parámetros se presentan en el Anexo K y en la carpeta</w:t>
      </w:r>
      <w:r>
        <w:t xml:space="preserve"> </w:t>
      </w:r>
      <w:r>
        <w:rPr>
          <w:rStyle w:val="VerbatimChar"/>
        </w:rPr>
        <w:t xml:space="preserve">06_Modelo_de_Costos_y_Simulacion</w:t>
      </w:r>
      <w:r>
        <w:t xml:space="preserve"> </w:t>
      </w:r>
      <w:r>
        <w:t xml:space="preserve">del repositorio de la tesis.</w:t>
      </w:r>
    </w:p>
    <w:p>
      <w:pPr>
        <w:pStyle w:val="BodyText"/>
      </w:pPr>
      <w:r>
        <w:rPr>
          <w:bCs/>
          <w:b/>
        </w:rPr>
        <w:t xml:space="preserve">Escenario de SGC no aplicado.</w:t>
      </w:r>
      <w:r>
        <w:t xml:space="preserve"> </w:t>
      </w:r>
      <w:r>
        <w:t xml:space="preserve">Romero y Serpell (2007)</w:t>
      </w:r>
      <w:r>
        <w:t xml:space="preserve"> </w:t>
      </w:r>
      <w:r>
        <w:t xml:space="preserve">advierten que la certificación no garantiza que los principios de la gestión de la calidad se cumplan en la obra. Para representar ese riesgo, se simuló un escenario adicional en el que, con una probabilidad del 15 %, el SGC se paga pero no se aplica en obra (eficacia nula).</w:t>
      </w:r>
    </w:p>
    <w:p>
      <w:pPr>
        <w:pStyle w:val="Heading2"/>
      </w:pPr>
      <w:bookmarkStart w:id="186" w:name="tit132"/>
      <w:r>
        <w:t xml:space="preserve">2.8. Validación de las observaciones, del modelo y de los instrumentos</w:t>
      </w:r>
      <w:bookmarkEnd w:id="186"/>
    </w:p>
    <w:p>
      <w:pPr>
        <w:pStyle w:val="FirstParagraph"/>
      </w:pPr>
      <w:r>
        <w:rPr>
          <w:bCs/>
          <w:b/>
        </w:rPr>
        <w:t xml:space="preserve">Validación de los datos documentales.</w:t>
      </w:r>
      <w:r>
        <w:t xml:space="preserve"> </w:t>
      </w:r>
      <w:r>
        <w:t xml:space="preserve">Los datos de la línea base se validaron por triangulación: cada cantidad se contrastó en al menos dos fuentes independientes (plano, cómputo métrico, planilla de avance, certificado del proveedor o Libro de Órdenes). Las coincidencias confirmaron el dato y las diferencias se registraron como hallazgos del diagnóstico (Sección 2.5.2).</w:t>
      </w:r>
    </w:p>
    <w:p>
      <w:pPr>
        <w:pStyle w:val="BodyText"/>
      </w:pPr>
      <w:r>
        <w:rPr>
          <w:bCs/>
          <w:b/>
        </w:rPr>
        <w:t xml:space="preserve">Verificación del modelo.</w:t>
      </w:r>
      <w:r>
        <w:t xml:space="preserve"> </w:t>
      </w:r>
      <w:r>
        <w:t xml:space="preserve">Se comprobó que el modelo reproduce, con los valores más probables de los parámetros, el cálculo manual del caso determinista (Tabla 48), que todas las magnitudes tienen unidades coherentes (Bs/m</w:t>
      </w:r>
      <w:r>
        <w:rPr>
          <w:vertAlign w:val="superscript"/>
        </w:rPr>
        <w:t xml:space="preserve">2</w:t>
      </w:r>
      <w:r>
        <w:t xml:space="preserve">) y que el costo esperado de la línea base coincide con el precio contractual usado en la calibración.</w:t>
      </w:r>
    </w:p>
    <w:p>
      <w:pPr>
        <w:pStyle w:val="BodyText"/>
      </w:pPr>
      <w:r>
        <w:rPr>
          <w:bCs/>
          <w:b/>
        </w:rPr>
        <w:t xml:space="preserve">Convergencia.</w:t>
      </w:r>
      <w:r>
        <w:t xml:space="preserve"> </w:t>
      </w:r>
      <w:r>
        <w:t xml:space="preserve">La estabilidad de la simulación se verificó con la media acumulada de</w:t>
      </w:r>
      <w:r>
        <w:t xml:space="preserve"> </w:t>
      </w:r>
      <m:oMath>
        <m:r>
          <m:t>r</m:t>
        </m:r>
      </m:oMath>
      <w:r>
        <w:t xml:space="preserve"> </w:t>
      </w:r>
      <w:r>
        <w:t xml:space="preserve">y con su error estándar, que al final de las 20.000 iteraciones fue de 0,0070 %, valor despreciable frente al umbral de la hipótesis.</w:t>
      </w:r>
    </w:p>
    <w:p>
      <w:pPr>
        <w:pStyle w:val="BodyText"/>
      </w:pPr>
      <w:r>
        <w:rPr>
          <w:bCs/>
          <w:b/>
        </w:rPr>
        <w:t xml:space="preserve">Sensibilidad.</w:t>
      </w:r>
      <w:r>
        <w:t xml:space="preserve"> </w:t>
      </w:r>
      <w:r>
        <w:t xml:space="preserve">Se identificaron los parámetros que más influyen en el resultado con dos técnicas: la variación de un factor a la vez entre su mínimo y su máximo (diagrama de tornado) y la correlación de rangos de Spearman entre cada parámetro muestreado y</w:t>
      </w:r>
      <w:r>
        <w:t xml:space="preserve"> </w:t>
      </w:r>
      <m:oMath>
        <m:r>
          <m:t>r</m:t>
        </m:r>
      </m:oMath>
      <w:r>
        <w:t xml:space="preserve">.</w:t>
      </w:r>
    </w:p>
    <w:p>
      <w:pPr>
        <w:pStyle w:val="BodyText"/>
      </w:pPr>
      <w:r>
        <w:rPr>
          <w:bCs/>
          <w:b/>
        </w:rPr>
        <w:t xml:space="preserve">Validación de los instrumentos y del SGC por juicio de expertos.</w:t>
      </w:r>
      <w:r>
        <w:t xml:space="preserve"> </w:t>
      </w:r>
      <w:r>
        <w:t xml:space="preserve">La validez de contenido de los instrumentos (Anexo C) y del SGC se evaluará con el juicio de al menos tres expertos</w:t>
      </w:r>
      <w:r>
        <w:t xml:space="preserve"> </w:t>
      </w:r>
      <w:r>
        <w:t xml:space="preserve">(Hernández-Sampieri y Mendoza Torres, 2018, pp. 230, 235)</w:t>
      </w:r>
      <w:r>
        <w:t xml:space="preserve">, ingenieros civiles con experiencia en supervisión, control de calidad del hormigón o gestión de la calidad. Cada experto calificará los criterios de pertinencia, claridad, suficiencia y aplicabilidad con una escala de 1 a 4 en el formato C.8, y se calculará para cada ítem el coeficiente V de Aiken:</w:t>
      </w:r>
    </w:p>
    <w:tbl>
      <w:tblPr>
        <w:tblW w:w="9360" w:type="dxa"/>
        <w:tblLayout w:type="fixed"/>
        <w:tblCellMar>
          <w:left w:w="0" w:type="dxa"/>
          <w:right w:w="0" w:type="dxa"/>
        </w:tblCellMar>
        <w:tblLook w:val="0000" w:firstRow="0" w:lastRow="0" w:firstColumn="0" w:lastColumn="0" w:noHBand="1" w:noVBand="1"/>
        <w:tblCaption w:val="Ecuación"/>
      </w:tblPr>
      <w:tblGrid>
        <w:gridCol w:w="1134"/>
        <w:gridCol w:w="7092"/>
        <w:gridCol w:w="1134"/>
      </w:tblGrid>
      <w:tr>
        <w:trPr>
          <w:cantSplit/>
        </w:trPr>
        <w:tc>
          <w:tcPr>
            <w:tcW w:w="1134" w:type="dxa"/>
            <w:vAlign w:val="center"/>
          </w:tcPr>
          <w:p>
            <w:pPr>
              <w:pStyle w:val="EcuacionAPA"/>
            </w:pPr>
          </w:p>
        </w:tc>
        <w:tc>
          <w:tcPr>
            <w:tcW w:w="7092" w:type="dxa"/>
            <w:vAlign w:val="center"/>
          </w:tcPr>
          <w:p>
            <w:pPr>
              <w:pStyle w:val="EcuacionAPA"/>
            </w:pPr>
            <m:oMathPara>
              <m:oMathParaPr>
                <m:jc m:val="center"/>
              </m:oMathParaPr>
              <m:oMath>
                <m:r>
                  <m:t>V</m:t>
                </m:r>
                <m:r>
                  <m:rPr>
                    <m:sty m:val="p"/>
                  </m:rPr>
                  <m:t>=</m:t>
                </m:r>
                <m:f>
                  <m:fPr>
                    <m:type m:val="bar"/>
                  </m:fPr>
                  <m:num>
                    <m:r>
                      <m:t>S</m:t>
                    </m:r>
                  </m:num>
                  <m:den>
                    <m:r>
                      <m:t>n</m:t>
                    </m:r>
                    <m:r>
                      <m:t> </m:t>
                    </m:r>
                    <m:d>
                      <m:dPr>
                        <m:begChr m:val="("/>
                        <m:endChr m:val=")"/>
                        <m:sepChr m:val=""/>
                        <m:grow/>
                      </m:dPr>
                      <m:e>
                        <m:r>
                          <m:t>c</m:t>
                        </m:r>
                        <m:r>
                          <m:rPr>
                            <m:sty m:val="p"/>
                          </m:rPr>
                          <m:t>−</m:t>
                        </m:r>
                        <m:r>
                          <m:t>1</m:t>
                        </m:r>
                      </m:e>
                    </m:d>
                  </m:den>
                </m:f>
              </m:oMath>
            </m:oMathPara>
          </w:p>
        </w:tc>
        <w:tc>
          <w:tcPr>
            <w:tcW w:w="1134" w:type="dxa"/>
            <w:vAlign w:val="center"/>
          </w:tcPr>
          <w:p>
            <w:pPr>
              <w:pStyle w:val="EcuacionAPA"/>
              <w:jc w:val="right"/>
            </w:pPr>
            <w:r>
              <w:t>(21)</w:t>
            </w:r>
          </w:p>
        </w:tc>
      </w:tr>
    </w:tbl>
    <w:p>
      <w:pPr>
        <w:pStyle w:val="FirstParagraph"/>
        <w:ind w:firstLine="0"/>
      </w:pPr>
      <w:r>
        <w:t xml:space="preserve"/>
      </w:r>
      <w:r>
        <w:t xml:space="preserve"/>
      </w:r>
      <w:r>
        <w:t xml:space="preserve">donde</w:t>
      </w:r>
      <w:r>
        <w:t xml:space="preserve"> </w:t>
      </w:r>
      <m:oMath>
        <m:r>
          <m:t>S</m:t>
        </m:r>
      </m:oMath>
      <w:r>
        <w:t xml:space="preserve"> </w:t>
      </w:r>
      <w:r>
        <w:t xml:space="preserve">es la suma de las puntuaciones de los jueces menos el valor mínimo de la escala,</w:t>
      </w:r>
      <w:r>
        <w:t xml:space="preserve"> </w:t>
      </w:r>
      <m:oMath>
        <m:r>
          <m:t>n</m:t>
        </m:r>
      </m:oMath>
      <w:r>
        <w:t xml:space="preserve"> </w:t>
      </w:r>
      <w:r>
        <w:t xml:space="preserve">el número de jueces y</w:t>
      </w:r>
      <w:r>
        <w:t xml:space="preserve"> </w:t>
      </w:r>
      <m:oMath>
        <m:r>
          <m:t>c</m:t>
        </m:r>
      </m:oMath>
      <w:r>
        <w:t xml:space="preserve"> </w:t>
      </w:r>
      <w:r>
        <w:t xml:space="preserve">el número de categorías. Se aceptarán los ítems con</w:t>
      </w:r>
      <w:r>
        <w:t xml:space="preserve"> </w:t>
      </w:r>
      <m:oMath>
        <m:r>
          <m:t>V</m:t>
        </m:r>
        <m:r>
          <m:rPr>
            <m:sty m:val="p"/>
          </m:rPr>
          <m:t>≥</m:t>
        </m:r>
        <m:r>
          <m:t>0</m:t>
        </m:r>
        <m:r>
          <m:rPr>
            <m:sty m:val="p"/>
          </m:rPr>
          <m:t>,</m:t>
        </m:r>
        <m:r>
          <m:t>70</m:t>
        </m:r>
      </m:oMath>
      <w:r>
        <w:t xml:space="preserve">; los que no alcancen ese valor se corregirán con las observaciones de los expertos.</w:t>
      </w:r>
    </w:p>
    <w:p>
      <w:pPr>
        <w:pStyle w:val="Heading2"/>
      </w:pPr>
      <w:bookmarkStart w:id="188" w:name="tit133"/>
      <w:r>
        <w:t xml:space="preserve">2.9. Plan de análisis y contraste de hipótesis</w:t>
      </w:r>
      <w:bookmarkEnd w:id="188"/>
    </w:p>
    <w:p>
      <w:pPr>
        <w:pStyle w:val="FirstParagraph"/>
      </w:pPr>
      <w:r>
        <w:t xml:space="preserve">Como la posprueba es simulada, el contraste de hipótesis se planteó en términos de probabilidad, de manera coherente con el nivel de significancia</w:t>
      </w:r>
      <w:r>
        <w:t xml:space="preserve"> </w:t>
      </w:r>
      <m:oMath>
        <m:r>
          <m:t>α</m:t>
        </m:r>
        <m:r>
          <m:rPr>
            <m:sty m:val="p"/>
          </m:rPr>
          <m:t>=</m:t>
        </m:r>
        <m:r>
          <m:t>0</m:t>
        </m:r>
        <m:r>
          <m:rPr>
            <m:sty m:val="p"/>
          </m:rPr>
          <m:t>,</m:t>
        </m:r>
        <m:r>
          <m:t>05</m:t>
        </m:r>
      </m:oMath>
      <w:r>
        <w:t xml:space="preserve"> </w:t>
      </w:r>
      <w:r>
        <w:t xml:space="preserve">fijado en el diseño de la investigación. Para cada hipótesis se calculó, sobre los 20.000 escenarios, la proporción en que se cumple la condición de la hipótesis alterna, y se aplicaron las reglas de decisión de la Tabla 45.</w:t>
      </w:r>
    </w:p>
    <w:p>
      <w:pPr>
        <w:pStyle w:val="Caption"/>
      </w:pPr>
      <w:bookmarkStart w:id="1460" w:name="tab45"/>
      <w:r>
        <w:t xml:space="preserve"/>
      </w:r>
      <w:r>
        <w:rPr>
          <w:bCs/>
          <w:b/>
        </w:rPr>
        <w:t xml:space="preserve">Tabla 45</w:t>
      </w:r>
      <w:r>
        <w:br/>
      </w:r>
      <w:r>
        <w:rPr>
          <w:iCs/>
          <w:i/>
        </w:rPr>
        <w:t xml:space="preserve">Reglas de decisión para el contraste de hipótesis</w:t>
      </w:r>
      <w:bookmarkEnd w:id="1460"/>
    </w:p>
    <w:tbl>
      <w:tblPr>
        <w:tblStyle w:val="Table"/>
        <w:tblW w:w="9360" w:type="dxa"/>
        <w:jc w:val="left"/>
        <w:tblLayout w:type="fixed"/>
        <w:tblCellMar>
          <w:top w:w="0" w:type="dxa"/>
          <w:left w:w="85" w:type="dxa"/>
          <w:bottom w:w="0" w:type="dxa"/>
          <w:right w:w="85" w:type="dxa"/>
        </w:tblCellMar>
        <w:tblLook w:firstRow="1" w:lastRow="0" w:firstColumn="0" w:lastColumn="0" w:noHBand="0" w:noVBand="0" w:val="0020"/>
      </w:tblPr>
      <w:tblGrid>
        <w:gridCol w:w="1576"/>
        <w:gridCol w:w="3892"/>
        <w:gridCol w:w="3892"/>
      </w:tblGrid>
      <w:tr>
        <w:trPr>
          <w:cantSplit/>
          <w:tblHeader w:val="true"/>
        </w:trPr>
        <w:tc>
          <w:tcPr>
            <w:tcW w:w="1576" w:type="dxa"/>
            <w:tcBorders>
              <w:top w:val="single" w:sz="8" w:space="0" w:color="000000"/>
              <w:bottom w:val="single" w:sz="4" w:space="0" w:color="000000"/>
            </w:tcBorders>
          </w:tcPr>
          <w:p>
            <w:pPr>
              <w:pStyle w:val="CeldaAPA"/>
              <w:jc w:val="center"/>
            </w:pPr>
            <w:r>
              <w:rPr>
                <w:bCs/>
                <w:b/>
              </w:rPr>
              <w:t xml:space="preserve">Hipótesis</w:t>
            </w:r>
          </w:p>
        </w:tc>
        <w:tc>
          <w:tcPr>
            <w:tcW w:w="3892" w:type="dxa"/>
            <w:tcBorders>
              <w:top w:val="single" w:sz="8" w:space="0" w:color="000000"/>
              <w:bottom w:val="single" w:sz="4" w:space="0" w:color="000000"/>
            </w:tcBorders>
          </w:tcPr>
          <w:p>
            <w:pPr>
              <w:pStyle w:val="CeldaAPA"/>
              <w:jc w:val="center"/>
            </w:pPr>
            <w:r>
              <w:rPr>
                <w:bCs/>
                <w:b/>
              </w:rPr>
              <w:t xml:space="preserve">Hipótesis nula (</w:t>
            </w:r>
            <m:oMath>
              <m:sSub>
                <m:e>
                  <m:r>
                    <m:t>H</m:t>
                  </m:r>
                </m:e>
                <m:sub>
                  <m:r>
                    <m:t>0</m:t>
                  </m:r>
                </m:sub>
              </m:sSub>
            </m:oMath>
            <w:r>
              <w:rPr>
                <w:bCs/>
                <w:b/>
              </w:rPr>
              <w:t xml:space="preserve">) y alterna (</w:t>
            </w:r>
            <m:oMath>
              <m:sSub>
                <m:e>
                  <m:r>
                    <m:t>H</m:t>
                  </m:r>
                </m:e>
                <m:sub>
                  <m:r>
                    <m:t>1</m:t>
                  </m:r>
                </m:sub>
              </m:sSub>
            </m:oMath>
            <w:r>
              <w:rPr>
                <w:bCs/>
                <w:b/>
              </w:rPr>
              <w:t xml:space="preserve">)</w:t>
            </w:r>
          </w:p>
        </w:tc>
        <w:tc>
          <w:tcPr>
            <w:tcW w:w="3892" w:type="dxa"/>
            <w:tcBorders>
              <w:top w:val="single" w:sz="8" w:space="0" w:color="000000"/>
              <w:bottom w:val="single" w:sz="4" w:space="0" w:color="000000"/>
            </w:tcBorders>
          </w:tcPr>
          <w:p>
            <w:pPr>
              <w:pStyle w:val="CeldaAPA"/>
              <w:jc w:val="center"/>
            </w:pPr>
            <w:r>
              <w:rPr>
                <w:bCs/>
                <w:b/>
              </w:rPr>
              <w:t xml:space="preserve">Regla de decisión</w:t>
            </w:r>
          </w:p>
        </w:tc>
      </w:tr>
      <w:tr>
        <w:tc>
          <w:tcPr>
            <w:tcW w:w="1576" w:type="dxa"/>
          </w:tcPr>
          <w:p>
            <w:pPr>
              <w:pStyle w:val="CeldaAPA"/>
              <w:jc w:val="left"/>
            </w:pPr>
            <w:r>
              <w:rPr/>
              <w:t xml:space="preserve">General (HG)</w:t>
            </w:r>
          </w:p>
        </w:tc>
        <w:tc>
          <w:tcPr>
            <w:tcW w:w="3892" w:type="dxa"/>
          </w:tcPr>
          <w:p>
            <w:pPr>
              <w:pStyle w:val="CeldaAPA"/>
              <w:jc w:val="left"/>
            </w:pPr>
            <m:oMath>
              <m:sSub>
                <m:e>
                  <m:r>
                    <m:t>H</m:t>
                  </m:r>
                </m:e>
                <m:sub>
                  <m:r>
                    <m:t>0</m:t>
                  </m:r>
                </m:sub>
              </m:sSub>
            </m:oMath>
            <w:r>
              <w:rPr/>
              <w:t xml:space="preserve">: el SGC no reduce el costo unitario o lo reduce en menos del 5 %.</w:t>
            </w:r>
            <w:r>
              <w:rPr/>
              <w:t xml:space="preserve"> </w:t>
            </w:r>
            <m:oMath>
              <m:sSub>
                <m:e>
                  <m:r>
                    <m:t>H</m:t>
                  </m:r>
                </m:e>
                <m:sub>
                  <m:r>
                    <m:t>1</m:t>
                  </m:r>
                </m:sub>
              </m:sSub>
            </m:oMath>
            <w:r>
              <w:rPr/>
              <w:t xml:space="preserve">:</w:t>
            </w:r>
            <w:r>
              <w:rPr/>
              <w:t xml:space="preserve"> </w:t>
            </w:r>
            <m:oMath>
              <m:r>
                <m:t>r</m:t>
              </m:r>
              <m:r>
                <m:rPr>
                  <m:sty m:val="p"/>
                </m:rPr>
                <m:t>≥</m:t>
              </m:r>
              <m:r>
                <m:t>0</m:t>
              </m:r>
              <m:r>
                <m:rPr>
                  <m:sty m:val="p"/>
                </m:rPr>
                <m:t>,</m:t>
              </m:r>
              <m:r>
                <m:t>05</m:t>
              </m:r>
            </m:oMath>
            <w:r>
              <w:rPr/>
              <w:t xml:space="preserve">.</w:t>
            </w:r>
          </w:p>
        </w:tc>
        <w:tc>
          <w:tcPr>
            <w:tcW w:w="3892" w:type="dxa"/>
          </w:tcPr>
          <w:p>
            <w:pPr>
              <w:pStyle w:val="CeldaAPA"/>
              <w:jc w:val="left"/>
            </w:pPr>
            <w:r>
              <w:rPr/>
              <w:t xml:space="preserve">Se acepta</w:t>
            </w:r>
            <w:r>
              <w:rPr/>
              <w:t xml:space="preserve"> </w:t>
            </w:r>
            <m:oMath>
              <m:sSub>
                <m:e>
                  <m:r>
                    <m:t>H</m:t>
                  </m:r>
                </m:e>
                <m:sub>
                  <m:r>
                    <m:t>1</m:t>
                  </m:r>
                </m:sub>
              </m:sSub>
            </m:oMath>
            <w:r>
              <w:rPr/>
              <w:t xml:space="preserve"> </w:t>
            </w:r>
            <w:r>
              <w:rPr/>
              <w:t xml:space="preserve">si</w:t>
            </w:r>
            <w:r>
              <w:rPr/>
              <w:t xml:space="preserve"> </w:t>
            </w:r>
            <m:oMath>
              <m:r>
                <m:t>P</m:t>
              </m:r>
              <m:d>
                <m:dPr>
                  <m:begChr m:val="("/>
                  <m:endChr m:val=")"/>
                  <m:sepChr m:val=""/>
                  <m:grow/>
                </m:dPr>
                <m:e>
                  <m:r>
                    <m:t>r</m:t>
                  </m:r>
                  <m:r>
                    <m:rPr>
                      <m:sty m:val="p"/>
                    </m:rPr>
                    <m:t>≥</m:t>
                  </m:r>
                  <m:r>
                    <m:t>0</m:t>
                  </m:r>
                  <m:r>
                    <m:rPr>
                      <m:sty m:val="p"/>
                    </m:rPr>
                    <m:t>,</m:t>
                  </m:r>
                  <m:r>
                    <m:t>05</m:t>
                  </m:r>
                </m:e>
              </m:d>
              <m:r>
                <m:rPr>
                  <m:sty m:val="p"/>
                </m:rPr>
                <m:t>≥</m:t>
              </m:r>
              <m:r>
                <m:t>0</m:t>
              </m:r>
              <m:r>
                <m:rPr>
                  <m:sty m:val="p"/>
                </m:rPr>
                <m:t>,</m:t>
              </m:r>
              <m:r>
                <m:t>95</m:t>
              </m:r>
            </m:oMath>
          </w:p>
        </w:tc>
      </w:tr>
      <w:tr>
        <w:tc>
          <w:tcPr>
            <w:tcW w:w="1576" w:type="dxa"/>
          </w:tcPr>
          <w:p>
            <w:pPr>
              <w:pStyle w:val="CeldaAPA"/>
              <w:jc w:val="left"/>
            </w:pPr>
            <w:r>
              <w:rPr/>
              <w:t xml:space="preserve">Específica 1 (HE1)</w:t>
            </w:r>
          </w:p>
        </w:tc>
        <w:tc>
          <w:tcPr>
            <w:tcW w:w="3892" w:type="dxa"/>
          </w:tcPr>
          <w:p>
            <w:pPr>
              <w:pStyle w:val="CeldaAPA"/>
              <w:jc w:val="left"/>
            </w:pPr>
            <m:oMath>
              <m:sSub>
                <m:e>
                  <m:r>
                    <m:t>H</m:t>
                  </m:r>
                </m:e>
                <m:sub>
                  <m:r>
                    <m:t>0</m:t>
                  </m:r>
                </m:sub>
              </m:sSub>
            </m:oMath>
            <w:r>
              <w:rPr/>
              <w:t xml:space="preserve">: el SGC no reduce el índice de desperdicio ponderado.</w:t>
            </w:r>
            <w:r>
              <w:rPr/>
              <w:t xml:space="preserve"> </w:t>
            </w:r>
            <m:oMath>
              <m:sSub>
                <m:e>
                  <m:r>
                    <m:t>H</m:t>
                  </m:r>
                </m:e>
                <m:sub>
                  <m:r>
                    <m:t>1</m:t>
                  </m:r>
                </m:sub>
              </m:sSub>
            </m:oMath>
            <w:r>
              <w:rPr/>
              <w:t xml:space="preserve">:</w:t>
            </w:r>
            <w:r>
              <w:rPr/>
              <w:t xml:space="preserve"> </w:t>
            </w:r>
            <m:oMath>
              <m:r>
                <m:t>I</m:t>
              </m:r>
              <m:r>
                <m:t>D</m:t>
              </m:r>
              <m:sSub>
                <m:e>
                  <m:r>
                    <m:t>M</m:t>
                  </m:r>
                </m:e>
                <m:sub>
                  <m:r>
                    <m:rPr>
                      <m:nor/>
                      <m:sty m:val="p"/>
                    </m:rPr>
                    <m:t>con</m:t>
                  </m:r>
                </m:sub>
              </m:sSub>
              <m:r>
                <m:rPr>
                  <m:sty m:val="p"/>
                </m:rPr>
                <m:t>&lt;</m:t>
              </m:r>
              <m:r>
                <m:t>I</m:t>
              </m:r>
              <m:r>
                <m:t>D</m:t>
              </m:r>
              <m:sSub>
                <m:e>
                  <m:r>
                    <m:t>M</m:t>
                  </m:r>
                </m:e>
                <m:sub>
                  <m:r>
                    <m:rPr>
                      <m:nor/>
                      <m:sty m:val="p"/>
                    </m:rPr>
                    <m:t>sin</m:t>
                  </m:r>
                </m:sub>
              </m:sSub>
            </m:oMath>
            <w:r>
              <w:rPr/>
              <w:t xml:space="preserve">.</w:t>
            </w:r>
          </w:p>
        </w:tc>
        <w:tc>
          <w:tcPr>
            <w:tcW w:w="3892" w:type="dxa"/>
          </w:tcPr>
          <w:p>
            <w:pPr>
              <w:pStyle w:val="CeldaAPA"/>
              <w:jc w:val="left"/>
            </w:pPr>
            <w:r>
              <w:rPr/>
              <w:t xml:space="preserve">Se acepta</w:t>
            </w:r>
            <w:r>
              <w:rPr/>
              <w:t xml:space="preserve"> </w:t>
            </w:r>
            <m:oMath>
              <m:sSub>
                <m:e>
                  <m:r>
                    <m:t>H</m:t>
                  </m:r>
                </m:e>
                <m:sub>
                  <m:r>
                    <m:t>1</m:t>
                  </m:r>
                </m:sub>
              </m:sSub>
            </m:oMath>
            <w:r>
              <w:rPr/>
              <w:t xml:space="preserve"> </w:t>
            </w:r>
            <w:r>
              <w:rPr/>
              <w:t xml:space="preserve">si</w:t>
            </w:r>
            <w:r>
              <w:rPr/>
              <w:t xml:space="preserve"> </w:t>
            </w:r>
            <m:oMath>
              <m:r>
                <m:t>P</m:t>
              </m:r>
              <m:d>
                <m:dPr>
                  <m:begChr m:val="("/>
                  <m:endChr m:val=")"/>
                  <m:sepChr m:val=""/>
                  <m:grow/>
                </m:dPr>
                <m:e>
                  <m:r>
                    <m:t>I</m:t>
                  </m:r>
                  <m:r>
                    <m:t>D</m:t>
                  </m:r>
                  <m:sSub>
                    <m:e>
                      <m:r>
                        <m:t>M</m:t>
                      </m:r>
                    </m:e>
                    <m:sub>
                      <m:r>
                        <m:rPr>
                          <m:nor/>
                          <m:sty m:val="p"/>
                        </m:rPr>
                        <m:t>con</m:t>
                      </m:r>
                    </m:sub>
                  </m:sSub>
                  <m:r>
                    <m:rPr>
                      <m:sty m:val="p"/>
                    </m:rPr>
                    <m:t>&lt;</m:t>
                  </m:r>
                  <m:r>
                    <m:t>I</m:t>
                  </m:r>
                  <m:r>
                    <m:t>D</m:t>
                  </m:r>
                  <m:sSub>
                    <m:e>
                      <m:r>
                        <m:t>M</m:t>
                      </m:r>
                    </m:e>
                    <m:sub>
                      <m:r>
                        <m:rPr>
                          <m:nor/>
                          <m:sty m:val="p"/>
                        </m:rPr>
                        <m:t>sin</m:t>
                      </m:r>
                    </m:sub>
                  </m:sSub>
                </m:e>
              </m:d>
              <m:r>
                <m:rPr>
                  <m:sty m:val="p"/>
                </m:rPr>
                <m:t>≥</m:t>
              </m:r>
              <m:r>
                <m:t>0</m:t>
              </m:r>
              <m:r>
                <m:rPr>
                  <m:sty m:val="p"/>
                </m:rPr>
                <m:t>,</m:t>
              </m:r>
              <m:r>
                <m:t>95</m:t>
              </m:r>
            </m:oMath>
          </w:p>
        </w:tc>
      </w:tr>
      <w:tr>
        <w:tc>
          <w:tcPr>
            <w:tcW w:w="1576" w:type="dxa"/>
            <w:tcBorders>
              <w:bottom w:val="single" w:sz="8" w:space="0" w:color="000000"/>
            </w:tcBorders>
          </w:tcPr>
          <w:p>
            <w:pPr>
              <w:pStyle w:val="CeldaAPA"/>
              <w:jc w:val="left"/>
            </w:pPr>
            <w:r>
              <w:rPr/>
              <w:t xml:space="preserve">Específica 2 (HE2)</w:t>
            </w:r>
          </w:p>
        </w:tc>
        <w:tc>
          <w:tcPr>
            <w:tcW w:w="3892" w:type="dxa"/>
            <w:tcBorders>
              <w:bottom w:val="single" w:sz="8" w:space="0" w:color="000000"/>
            </w:tcBorders>
          </w:tcPr>
          <w:p>
            <w:pPr>
              <w:pStyle w:val="CeldaAPA"/>
              <w:jc w:val="left"/>
            </w:pPr>
            <m:oMath>
              <m:sSub>
                <m:e>
                  <m:r>
                    <m:t>H</m:t>
                  </m:r>
                </m:e>
                <m:sub>
                  <m:r>
                    <m:t>0</m:t>
                  </m:r>
                </m:sub>
              </m:sSub>
            </m:oMath>
            <w:r>
              <w:rPr/>
              <w:t xml:space="preserve">: el SGC no reduce el costo de no calidad.</w:t>
            </w:r>
            <w:r>
              <w:rPr/>
              <w:t xml:space="preserve"> </w:t>
            </w:r>
            <m:oMath>
              <m:sSub>
                <m:e>
                  <m:r>
                    <m:t>H</m:t>
                  </m:r>
                </m:e>
                <m:sub>
                  <m:r>
                    <m:t>1</m:t>
                  </m:r>
                </m:sub>
              </m:sSub>
            </m:oMath>
            <w:r>
              <w:rPr/>
              <w:t xml:space="preserve">:</w:t>
            </w:r>
            <w:r>
              <w:rPr/>
              <w:t xml:space="preserve"> </w:t>
            </w:r>
            <m:oMath>
              <m:r>
                <m:t>C</m:t>
              </m:r>
              <m:r>
                <m:t>N</m:t>
              </m:r>
              <m:sSub>
                <m:e>
                  <m:r>
                    <m:t>C</m:t>
                  </m:r>
                </m:e>
                <m:sub>
                  <m:r>
                    <m:rPr>
                      <m:nor/>
                      <m:sty m:val="p"/>
                    </m:rPr>
                    <m:t>con</m:t>
                  </m:r>
                </m:sub>
              </m:sSub>
              <m:r>
                <m:rPr>
                  <m:sty m:val="p"/>
                </m:rPr>
                <m:t>&lt;</m:t>
              </m:r>
              <m:r>
                <m:t>C</m:t>
              </m:r>
              <m:r>
                <m:t>N</m:t>
              </m:r>
              <m:sSub>
                <m:e>
                  <m:r>
                    <m:t>C</m:t>
                  </m:r>
                </m:e>
                <m:sub>
                  <m:r>
                    <m:rPr>
                      <m:nor/>
                      <m:sty m:val="p"/>
                    </m:rPr>
                    <m:t>sin</m:t>
                  </m:r>
                </m:sub>
              </m:sSub>
            </m:oMath>
            <w:r>
              <w:rPr/>
              <w:t xml:space="preserve">.</w:t>
            </w:r>
          </w:p>
        </w:tc>
        <w:tc>
          <w:tcPr>
            <w:tcW w:w="3892" w:type="dxa"/>
            <w:tcBorders>
              <w:bottom w:val="single" w:sz="8" w:space="0" w:color="000000"/>
            </w:tcBorders>
          </w:tcPr>
          <w:p>
            <w:pPr>
              <w:pStyle w:val="CeldaAPA"/>
              <w:jc w:val="left"/>
            </w:pPr>
            <w:r>
              <w:rPr/>
              <w:t xml:space="preserve">Se acepta</w:t>
            </w:r>
            <w:r>
              <w:rPr/>
              <w:t xml:space="preserve"> </w:t>
            </w:r>
            <m:oMath>
              <m:sSub>
                <m:e>
                  <m:r>
                    <m:t>H</m:t>
                  </m:r>
                </m:e>
                <m:sub>
                  <m:r>
                    <m:t>1</m:t>
                  </m:r>
                </m:sub>
              </m:sSub>
            </m:oMath>
            <w:r>
              <w:rPr/>
              <w:t xml:space="preserve"> </w:t>
            </w:r>
            <w:r>
              <w:rPr/>
              <w:t xml:space="preserve">si</w:t>
            </w:r>
            <w:r>
              <w:rPr/>
              <w:t xml:space="preserve"> </w:t>
            </w:r>
            <m:oMath>
              <m:r>
                <m:t>P</m:t>
              </m:r>
              <m:d>
                <m:dPr>
                  <m:begChr m:val="("/>
                  <m:endChr m:val=")"/>
                  <m:sepChr m:val=""/>
                  <m:grow/>
                </m:dPr>
                <m:e>
                  <m:r>
                    <m:t>C</m:t>
                  </m:r>
                  <m:r>
                    <m:t>N</m:t>
                  </m:r>
                  <m:sSub>
                    <m:e>
                      <m:r>
                        <m:t>C</m:t>
                      </m:r>
                    </m:e>
                    <m:sub>
                      <m:r>
                        <m:rPr>
                          <m:nor/>
                          <m:sty m:val="p"/>
                        </m:rPr>
                        <m:t>con</m:t>
                      </m:r>
                    </m:sub>
                  </m:sSub>
                  <m:r>
                    <m:rPr>
                      <m:sty m:val="p"/>
                    </m:rPr>
                    <m:t>&lt;</m:t>
                  </m:r>
                  <m:r>
                    <m:t>C</m:t>
                  </m:r>
                  <m:r>
                    <m:t>N</m:t>
                  </m:r>
                  <m:sSub>
                    <m:e>
                      <m:r>
                        <m:t>C</m:t>
                      </m:r>
                    </m:e>
                    <m:sub>
                      <m:r>
                        <m:rPr>
                          <m:nor/>
                          <m:sty m:val="p"/>
                        </m:rPr>
                        <m:t>sin</m:t>
                      </m:r>
                    </m:sub>
                  </m:sSub>
                </m:e>
              </m:d>
              <m:r>
                <m:rPr>
                  <m:sty m:val="p"/>
                </m:rPr>
                <m:t>≥</m:t>
              </m:r>
              <m:r>
                <m:t>0</m:t>
              </m:r>
              <m:r>
                <m:rPr>
                  <m:sty m:val="p"/>
                </m:rPr>
                <m:t>,</m:t>
              </m:r>
              <m:r>
                <m:t>95</m:t>
              </m:r>
            </m:oMath>
          </w:p>
        </w:tc>
      </w:tr>
    </w:tbl>
    <w:p>
      <w:pPr>
        <w:pStyle w:val="NotaAPA"/>
      </w:pPr>
      <w:r>
        <w:rPr>
          <w:iCs/>
          <w:i/>
        </w:rPr>
        <w:t xml:space="preserve">Nota.</w:t>
      </w:r>
      <w:r>
        <w:t xml:space="preserve"> </w:t>
      </w:r>
      <w:r>
        <w:t xml:space="preserve">La probabilidad mínima de 0,95 equivale a un nivel de significancia de 0,05 en un contraste unilateral. El índice de desperdicio ponderado pondera el IDM de cada material por su costo teórico por m</w:t>
      </w:r>
      <w:r>
        <w:rPr>
          <w:vertAlign w:val="superscript"/>
        </w:rPr>
        <w:t xml:space="preserve">2</w:t>
      </w:r>
      <w:r>
        <w:t xml:space="preserve">.</w:t>
      </w:r>
    </w:p>
    <w:p>
      <w:pPr>
        <w:pStyle w:val="BodyText"/>
      </w:pPr>
      <w:r>
        <w:t xml:space="preserve">Además de las decisiones, se informan como indicadores complementarios: la probabilidad de que el SGC reduzca el costo en cualquier magnitud,</w:t>
      </w:r>
      <w:r>
        <w:t xml:space="preserve"> </w:t>
      </w:r>
      <m:oMath>
        <m:r>
          <m:t>P</m:t>
        </m:r>
        <m:d>
          <m:dPr>
            <m:begChr m:val="("/>
            <m:endChr m:val=")"/>
            <m:sepChr m:val=""/>
            <m:grow/>
          </m:dPr>
          <m:e>
            <m:r>
              <m:t>r</m:t>
            </m:r>
            <m:r>
              <m:rPr>
                <m:sty m:val="p"/>
              </m:rPr>
              <m:t>&gt;</m:t>
            </m:r>
            <m:r>
              <m:t>0</m:t>
            </m:r>
          </m:e>
        </m:d>
      </m:oMath>
      <w:r>
        <w:t xml:space="preserve">; la reducción que se alcanza con un 95 % de probabilidad (percentil 5 de</w:t>
      </w:r>
      <w:r>
        <w:t xml:space="preserve"> </w:t>
      </w:r>
      <m:oMath>
        <m:r>
          <m:t>r</m:t>
        </m:r>
      </m:oMath>
      <w:r>
        <w:t xml:space="preserve">); el ahorro esperado en el saldo de la obra; y la eficacia mínima del SGC que se requiere para que</w:t>
      </w:r>
      <w:r>
        <w:t xml:space="preserve"> </w:t>
      </w:r>
      <m:oMath>
        <m:r>
          <m:t>r</m:t>
        </m:r>
        <m:r>
          <m:rPr>
            <m:sty m:val="p"/>
          </m:rPr>
          <m:t>=</m:t>
        </m:r>
        <m:r>
          <m:t>0</m:t>
        </m:r>
      </m:oMath>
      <w:r>
        <w:t xml:space="preserve"> </w:t>
      </w:r>
      <w:r>
        <w:t xml:space="preserve">(punto de equilibrio) y para que</w:t>
      </w:r>
      <w:r>
        <w:t xml:space="preserve"> </w:t>
      </w:r>
      <m:oMath>
        <m:r>
          <m:t>r</m:t>
        </m:r>
        <m:r>
          <m:rPr>
            <m:sty m:val="p"/>
          </m:rPr>
          <m:t>=</m:t>
        </m:r>
        <m:r>
          <m:t>5</m:t>
        </m:r>
        <m:r>
          <m:t> </m:t>
        </m:r>
        <m:r>
          <m:rPr>
            <m:sty m:val="p"/>
          </m:rPr>
          <m:t>%</m:t>
        </m:r>
      </m:oMath>
      <w:r>
        <w:t xml:space="preserve">.</w:t>
      </w:r>
    </w:p>
    <w:p>
      <w:pPr>
        <w:pStyle w:val="Heading3"/>
      </w:pPr>
      <w:bookmarkStart w:id="187" w:name="tit134"/>
      <w:r>
        <w:t xml:space="preserve">2.9.1. Verificación futura con datos de obra</w:t>
      </w:r>
      <w:bookmarkEnd w:id="187"/>
    </w:p>
    <w:p>
      <w:pPr>
        <w:pStyle w:val="FirstParagraph"/>
      </w:pPr>
      <w:r>
        <w:t xml:space="preserve">Cuando se ejecute la segunda losa con el SGC, la hipótesis podrá verificarse con datos medidos en obra. Para ello se registrarán, con las fichas C.2 a C.6, el consumo real de cada material y el costo de la calidad por paño. Se calcularán el</w:t>
      </w:r>
      <w:r>
        <w:t xml:space="preserve"> </w:t>
      </w:r>
      <m:oMath>
        <m:r>
          <m:t>I</m:t>
        </m:r>
        <m:r>
          <m:t>D</m:t>
        </m:r>
        <m:r>
          <m:t>M</m:t>
        </m:r>
      </m:oMath>
      <w:r>
        <w:t xml:space="preserve">, el</w:t>
      </w:r>
      <w:r>
        <w:t xml:space="preserve"> </w:t>
      </w:r>
      <m:oMath>
        <m:r>
          <m:t>C</m:t>
        </m:r>
        <m:r>
          <m:t>N</m:t>
        </m:r>
        <m:r>
          <m:t>C</m:t>
        </m:r>
      </m:oMath>
      <w:r>
        <w:t xml:space="preserve"> </w:t>
      </w:r>
      <w:r>
        <w:t xml:space="preserve">y el costo unitario de cada paño homólogo, y se compararán con los de la línea base mediante la prueba</w:t>
      </w:r>
      <w:r>
        <w:t xml:space="preserve"> </w:t>
      </w:r>
      <w:r>
        <w:rPr>
          <w:iCs/>
          <w:i/>
        </w:rPr>
        <w:t xml:space="preserve">t</w:t>
      </w:r>
      <w:r>
        <w:t xml:space="preserve"> </w:t>
      </w:r>
      <w:r>
        <w:t xml:space="preserve">de Student para muestras relacionadas</w:t>
      </w:r>
      <w:r>
        <w:t xml:space="preserve"> </w:t>
      </w:r>
      <w:r>
        <w:t xml:space="preserve">(Hernández-Sampieri y Mendoza Torres, 2018, pp. 352–353, 372)</w:t>
      </w:r>
      <w:r>
        <w:t xml:space="preserve">, que supone la normalidad de la variable</w:t>
      </w:r>
      <w:r>
        <w:t xml:space="preserve"> </w:t>
      </w:r>
      <w:r>
        <w:t xml:space="preserve">(Hernández-Sampieri y Mendoza Torres, 2018, p. 345)</w:t>
      </w:r>
      <w:r>
        <w:t xml:space="preserve">, o mediante la prueba de Wilcoxon para pares de rangos, prevista para muestras correlacionadas</w:t>
      </w:r>
      <w:r>
        <w:t xml:space="preserve"> </w:t>
      </w:r>
      <w:r>
        <w:t xml:space="preserve">(Hernández-Sampieri y Mendoza Torres, 2018, p. 372)</w:t>
      </w:r>
      <w:r>
        <w:t xml:space="preserve">, si una prueba de normalidad, como la de Shapiro-Wilk, la rechaza para las diferencias, con</w:t>
      </w:r>
      <w:r>
        <w:t xml:space="preserve"> </w:t>
      </w:r>
      <m:oMath>
        <m:r>
          <m:t>α</m:t>
        </m:r>
        <m:r>
          <m:rPr>
            <m:sty m:val="p"/>
          </m:rPr>
          <m:t>=</m:t>
        </m:r>
        <m:r>
          <m:t>0</m:t>
        </m:r>
        <m:r>
          <m:rPr>
            <m:sty m:val="p"/>
          </m:rPr>
          <m:t>,</m:t>
        </m:r>
        <m:r>
          <m:t>05</m:t>
        </m:r>
      </m:oMath>
      <w:r>
        <w:t xml:space="preserve"> </w:t>
      </w:r>
      <w:r>
        <w:t xml:space="preserve">(Hernández-Sampieri y Mendoza Torres, 2018, p. 342)</w:t>
      </w:r>
      <w:r>
        <w:t xml:space="preserve">. Esa verificación permitirá contrastar los resultados de la simulación con el desempeño real del sistema.</w:t>
      </w:r>
    </w:p>
    <w:p>
      <w:pPr>
        <w:pStyle w:val="Heading1"/>
      </w:pPr>
      <w:bookmarkStart w:id="215" w:name="tit135"/>
      <w:r>
        <w:t xml:space="preserve">CAPÍTULO 3</w:t>
      </w:r>
      <w:r>
        <w:br/>
      </w:r>
      <w:r>
        <w:t xml:space="preserve">PRESENTACIÓN DE RESULTADOS Y ANÁLISIS DE LOS MISMOS</w:t>
      </w:r>
      <w:bookmarkEnd w:id="215"/>
    </w:p>
    <w:p>
      <w:pPr>
        <w:pStyle w:val="FirstParagraph"/>
      </w:pPr>
      <w:r>
        <w:t xml:space="preserve">Este capítulo presenta los resultados de la aplicación del modelo de investigación del Capítulo 2, en el orden de los objetivos específicos. La Sección 3.1 resume el diagnóstico de la primera losa (OE1) y la Sección 3.2, su línea base de desperdicio y de costo de no calidad (OE2). El producto del OE3 es el propio SGC, cuyos componentes se presentaron en la Sección 2.6; sus costos de prevención y evaluación son una entrada del escenario con SGC. Las Secciones 3.3 y 3.4 presentan los resultados del modelo de costos con los valores más probables de los parámetros y con la simulación de Monte Carlo (OE4); la Sección 3.5, el contraste de las hipótesis (OE5); la Sección 3.6, el análisis de sensibilidad y los escenarios complementarios; la Sección 3.7, la magnitud de las diferencias de cantidades que habría detectado el procedimiento de conciliación; y la Sección 3.8, el estado de la validación por juicio de expertos. Conforme a la guía del Seminario de Grado, los resultados se describen en pasado y sin interpretarlos, con tablas y figuras que los complementan</w:t>
      </w:r>
      <w:r>
        <w:t xml:space="preserve"> </w:t>
      </w:r>
      <w:r>
        <w:t xml:space="preserve">(Barrios C., 2021a, diapositivas 3 y 4)</w:t>
      </w:r>
      <w:r>
        <w:t xml:space="preserve">; su interpretación y su contraste con el marco teórico y los antecedentes se reservan para la discusión (Sección 3.9). Las cifras del modelo provienen del programa del Anexo K y están expresadas a precios constantes del contrato.</w:t>
      </w:r>
    </w:p>
    <w:p>
      <w:pPr>
        <w:pStyle w:val="Heading2"/>
      </w:pPr>
      <w:bookmarkStart w:id="190" w:name="tit136"/>
      <w:r>
        <w:t xml:space="preserve">3.1. Resultados del diagnóstico de la primera losa</w:t>
      </w:r>
      <w:bookmarkEnd w:id="190"/>
    </w:p>
    <w:p>
      <w:pPr>
        <w:pStyle w:val="FirstParagraph"/>
      </w:pPr>
      <w:r>
        <w:t xml:space="preserve">La lista de verificación C.1, aplicada a la evidencia documental de la primera losa, dio un cumplimiento global del 19,8 % de los 48 requisitos aplicables de la norma ISO 9001:2026, con 9,5 puntos de 48 posibles. Ningún requisito se cumplió plenamente: 19 se cumplieron de forma parcial y 29 no dejaron evidencia de cumplimiento. Por cláusula, el cumplimiento varió entre el 10,0 % de la mejora y el 25,0 % del contexto, del apoyo y de la evaluación del desempeño; la operación, que reúne 14 requisitos, quedó en el 17,9 %, con 9 requisitos sin cumplir (Tabla 22 y Figura 7). Todas las cláusulas se ubicaron en el rango «deficiente o no implementado», de 0 a 25 %, de la escala de</w:t>
      </w:r>
      <w:r>
        <w:t xml:space="preserve"> </w:t>
      </w:r>
      <w:r>
        <w:t xml:space="preserve">Mamani Calsina (2025, p. 42)</w:t>
      </w:r>
      <w:r>
        <w:t xml:space="preserve">.</w:t>
      </w:r>
    </w:p>
    <w:p>
      <w:pPr>
        <w:pStyle w:val="BodyText"/>
      </w:pPr>
      <w:r>
        <w:t xml:space="preserve">El análisis documental identificó 22 no conformidades respecto de la norma, del contrato, de las especificaciones técnicas y de la normativa del hormigón (Tabla 26). La medición y la gestión reunieron seis cada una, el 54,5 % del total; les siguieron los materiales, con cuatro, el método, con tres, la mano de obra, con dos, y el medio ambiente, con una, y no se identificaron no conformidades atribuibles a la maquinaria (Figura 8). Las no conformidades se agruparon en nueve brechas, B1 a B9, que orientaron el diseño del SGC (Sección 2.6). El diagrama de Ishikawa identificó como causa raíz común la falta de un sistema de gestión de la calidad del ítem: el control se confió a la verificación puntual de la Supervisión antes de cada vaciado, sin criterios escritos, registros ni seguimiento (Figura 9).</w:t>
      </w:r>
    </w:p>
    <w:p>
      <w:pPr>
        <w:pStyle w:val="BodyText"/>
      </w:pPr>
      <w:r>
        <w:t xml:space="preserve">La Tabla 46 reúne los demás indicadores del diagnóstico. Todos ellos describen la ausencia de dos tipos de registro: los que debían demostrar la conformidad del producto antes de pagarlo, como los ensayos del hormigón de la losa y los certificados de los materiales previos a su colocación, y los que debían respaldar las cantidades medidas y pagadas, como los registros de consumo, las planillas de armado del acero y la conciliación entre documentos. Por esa razón, de los cuatro materiales de la losa solo dos tuvieron un dato documental para la línea base (Sección 3.2).</w:t>
      </w:r>
    </w:p>
    <w:p>
      <w:pPr>
        <w:pStyle w:val="Caption"/>
      </w:pPr>
      <w:bookmarkStart w:id="1461" w:name="tab46"/>
      <w:r>
        <w:t xml:space="preserve"/>
      </w:r>
      <w:r>
        <w:rPr>
          <w:bCs/>
          <w:b/>
        </w:rPr>
        <w:t xml:space="preserve">Tabla 46</w:t>
      </w:r>
      <w:r>
        <w:br/>
      </w:r>
      <w:r>
        <w:rPr>
          <w:iCs/>
          <w:i/>
        </w:rPr>
        <w:t xml:space="preserve">Síntesis de los resultados del diagnóstico de la primera losa</w:t>
      </w:r>
      <w:bookmarkEnd w:id="1461"/>
    </w:p>
    <w:tbl>
      <w:tblPr>
        <w:tblStyle w:val="Table"/>
        <w:tblW w:w="9360" w:type="dxa"/>
        <w:jc w:val="left"/>
        <w:tblLayout w:type="fixed"/>
        <w:tblCellMar>
          <w:top w:w="0" w:type="dxa"/>
          <w:left w:w="85" w:type="dxa"/>
          <w:bottom w:w="0" w:type="dxa"/>
          <w:right w:w="85" w:type="dxa"/>
        </w:tblCellMar>
        <w:tblLook w:firstRow="1" w:lastRow="0" w:firstColumn="0" w:lastColumn="0" w:noHBand="0" w:noVBand="0" w:val="0020"/>
      </w:tblPr>
      <w:tblGrid>
        <w:gridCol w:w="2934"/>
        <w:gridCol w:w="3886"/>
        <w:gridCol w:w="2540"/>
      </w:tblGrid>
      <w:tr>
        <w:trPr>
          <w:cantSplit/>
          <w:tblHeader w:val="true"/>
        </w:trPr>
        <w:tc>
          <w:tcPr>
            <w:tcW w:w="2934" w:type="dxa"/>
            <w:tcBorders>
              <w:top w:val="single" w:sz="8" w:space="0" w:color="000000"/>
              <w:bottom w:val="single" w:sz="4" w:space="0" w:color="000000"/>
            </w:tcBorders>
          </w:tcPr>
          <w:p>
            <w:pPr>
              <w:pStyle w:val="CeldaAPA"/>
              <w:jc w:val="center"/>
            </w:pPr>
            <w:r>
              <w:rPr>
                <w:bCs/>
                <w:b/>
              </w:rPr>
              <w:t xml:space="preserve">Indicador</w:t>
            </w:r>
          </w:p>
        </w:tc>
        <w:tc>
          <w:tcPr>
            <w:tcW w:w="3886" w:type="dxa"/>
            <w:tcBorders>
              <w:top w:val="single" w:sz="8" w:space="0" w:color="000000"/>
              <w:bottom w:val="single" w:sz="4" w:space="0" w:color="000000"/>
            </w:tcBorders>
          </w:tcPr>
          <w:p>
            <w:pPr>
              <w:pStyle w:val="CeldaAPA"/>
              <w:jc w:val="center"/>
            </w:pPr>
            <w:r>
              <w:rPr>
                <w:bCs/>
                <w:b/>
              </w:rPr>
              <w:t xml:space="preserve">Resultado</w:t>
            </w:r>
          </w:p>
        </w:tc>
        <w:tc>
          <w:tcPr>
            <w:tcW w:w="2540" w:type="dxa"/>
            <w:tcBorders>
              <w:top w:val="single" w:sz="8" w:space="0" w:color="000000"/>
              <w:bottom w:val="single" w:sz="4" w:space="0" w:color="000000"/>
            </w:tcBorders>
          </w:tcPr>
          <w:p>
            <w:pPr>
              <w:pStyle w:val="CeldaAPA"/>
              <w:jc w:val="center"/>
            </w:pPr>
            <w:r>
              <w:rPr>
                <w:bCs/>
                <w:b/>
              </w:rPr>
              <w:t xml:space="preserve">Detalle</w:t>
            </w:r>
          </w:p>
        </w:tc>
      </w:tr>
      <w:tr>
        <w:tc>
          <w:tcPr>
            <w:tcW w:w="2934" w:type="dxa"/>
          </w:tcPr>
          <w:p>
            <w:pPr>
              <w:pStyle w:val="CeldaAPA"/>
              <w:jc w:val="left"/>
            </w:pPr>
            <w:r>
              <w:rPr/>
              <w:t xml:space="preserve">Cumplimiento global de los requisitos de ISO 9001:2026</w:t>
            </w:r>
          </w:p>
        </w:tc>
        <w:tc>
          <w:tcPr>
            <w:tcW w:w="3886" w:type="dxa"/>
          </w:tcPr>
          <w:p>
            <w:pPr>
              <w:pStyle w:val="CeldaAPA"/>
              <w:jc w:val="left"/>
            </w:pPr>
            <w:r>
              <w:rPr/>
              <w:t xml:space="preserve">19,8 % (9,5 puntos en 48 requisitos aplicables)</w:t>
            </w:r>
          </w:p>
        </w:tc>
        <w:tc>
          <w:tcPr>
            <w:tcW w:w="2540" w:type="dxa"/>
          </w:tcPr>
          <w:p>
            <w:pPr>
              <w:pStyle w:val="CeldaAPA"/>
              <w:jc w:val="left"/>
            </w:pPr>
            <w:r>
              <w:rPr/>
              <w:t xml:space="preserve">Tabla 22</w:t>
            </w:r>
          </w:p>
        </w:tc>
      </w:tr>
      <w:tr>
        <w:tc>
          <w:tcPr>
            <w:tcW w:w="2934" w:type="dxa"/>
          </w:tcPr>
          <w:p>
            <w:pPr>
              <w:pStyle w:val="CeldaAPA"/>
              <w:jc w:val="left"/>
            </w:pPr>
            <w:r>
              <w:rPr/>
              <w:t xml:space="preserve">Requisitos cumplidos, cumplidos en parte y no cumplidos</w:t>
            </w:r>
          </w:p>
        </w:tc>
        <w:tc>
          <w:tcPr>
            <w:tcW w:w="3886" w:type="dxa"/>
          </w:tcPr>
          <w:p>
            <w:pPr>
              <w:pStyle w:val="CeldaAPA"/>
              <w:jc w:val="left"/>
            </w:pPr>
            <w:r>
              <w:rPr/>
              <w:t xml:space="preserve">0, 19 y 29</w:t>
            </w:r>
          </w:p>
        </w:tc>
        <w:tc>
          <w:tcPr>
            <w:tcW w:w="2540" w:type="dxa"/>
          </w:tcPr>
          <w:p>
            <w:pPr>
              <w:pStyle w:val="CeldaAPA"/>
              <w:jc w:val="left"/>
            </w:pPr>
            <w:r>
              <w:rPr/>
              <w:t xml:space="preserve">Tabla 57</w:t>
            </w:r>
          </w:p>
        </w:tc>
      </w:tr>
      <w:tr>
        <w:tc>
          <w:tcPr>
            <w:tcW w:w="2934" w:type="dxa"/>
          </w:tcPr>
          <w:p>
            <w:pPr>
              <w:pStyle w:val="CeldaAPA"/>
              <w:jc w:val="left"/>
            </w:pPr>
            <w:r>
              <w:rPr/>
              <w:t xml:space="preserve">Cláusulas con menor cumplimiento</w:t>
            </w:r>
          </w:p>
        </w:tc>
        <w:tc>
          <w:tcPr>
            <w:tcW w:w="3886" w:type="dxa"/>
          </w:tcPr>
          <w:p>
            <w:pPr>
              <w:pStyle w:val="CeldaAPA"/>
              <w:jc w:val="left"/>
            </w:pPr>
            <w:r>
              <w:rPr/>
              <w:t xml:space="preserve">Mejora, 10,0 %; planificación, 12,5 %; operación, 17,9 %</w:t>
            </w:r>
          </w:p>
        </w:tc>
        <w:tc>
          <w:tcPr>
            <w:tcW w:w="2540" w:type="dxa"/>
          </w:tcPr>
          <w:p>
            <w:pPr>
              <w:pStyle w:val="CeldaAPA"/>
              <w:jc w:val="left"/>
            </w:pPr>
            <w:r>
              <w:rPr/>
              <w:t xml:space="preserve">Tabla 22</w:t>
            </w:r>
          </w:p>
        </w:tc>
      </w:tr>
      <w:tr>
        <w:tc>
          <w:tcPr>
            <w:tcW w:w="2934" w:type="dxa"/>
          </w:tcPr>
          <w:p>
            <w:pPr>
              <w:pStyle w:val="CeldaAPA"/>
              <w:jc w:val="left"/>
            </w:pPr>
            <w:r>
              <w:rPr/>
              <w:t xml:space="preserve">No conformidades identificadas</w:t>
            </w:r>
          </w:p>
        </w:tc>
        <w:tc>
          <w:tcPr>
            <w:tcW w:w="3886" w:type="dxa"/>
          </w:tcPr>
          <w:p>
            <w:pPr>
              <w:pStyle w:val="CeldaAPA"/>
              <w:jc w:val="left"/>
            </w:pPr>
            <w:r>
              <w:rPr/>
              <w:t xml:space="preserve">22: medición, 6; gestión, 6; materiales, 4; método, 3; mano de obra, 2; medio ambiente, 1</w:t>
            </w:r>
          </w:p>
        </w:tc>
        <w:tc>
          <w:tcPr>
            <w:tcW w:w="2540" w:type="dxa"/>
          </w:tcPr>
          <w:p>
            <w:pPr>
              <w:pStyle w:val="CeldaAPA"/>
              <w:jc w:val="left"/>
            </w:pPr>
            <w:r>
              <w:rPr/>
              <w:t xml:space="preserve">Tabla 26 y Figura 8</w:t>
            </w:r>
          </w:p>
        </w:tc>
      </w:tr>
      <w:tr>
        <w:tc>
          <w:tcPr>
            <w:tcW w:w="2934" w:type="dxa"/>
          </w:tcPr>
          <w:p>
            <w:pPr>
              <w:pStyle w:val="CeldaAPA"/>
              <w:jc w:val="left"/>
            </w:pPr>
            <w:r>
              <w:rPr/>
              <w:t xml:space="preserve">Ensayos de resistencia del hormigón de la losa</w:t>
            </w:r>
          </w:p>
        </w:tc>
        <w:tc>
          <w:tcPr>
            <w:tcW w:w="3886" w:type="dxa"/>
          </w:tcPr>
          <w:p>
            <w:pPr>
              <w:pStyle w:val="CeldaAPA"/>
              <w:jc w:val="left"/>
            </w:pPr>
            <w:r>
              <w:rPr/>
              <w:t xml:space="preserve">Ninguno; el criterio de superficie del ACI 318-25 exigía al menos 3 muestras</w:t>
            </w:r>
          </w:p>
        </w:tc>
        <w:tc>
          <w:tcPr>
            <w:tcW w:w="2540" w:type="dxa"/>
          </w:tcPr>
          <w:p>
            <w:pPr>
              <w:pStyle w:val="CeldaAPA"/>
              <w:jc w:val="left"/>
            </w:pPr>
            <w:r>
              <w:rPr/>
              <w:t xml:space="preserve">Tabla 23</w:t>
            </w:r>
          </w:p>
        </w:tc>
      </w:tr>
      <w:tr>
        <w:tc>
          <w:tcPr>
            <w:tcW w:w="2934" w:type="dxa"/>
          </w:tcPr>
          <w:p>
            <w:pPr>
              <w:pStyle w:val="CeldaAPA"/>
              <w:jc w:val="left"/>
            </w:pPr>
            <w:r>
              <w:rPr/>
              <w:t xml:space="preserve">Certificación de la losa para pago</w:t>
            </w:r>
          </w:p>
        </w:tc>
        <w:tc>
          <w:tcPr>
            <w:tcW w:w="3886" w:type="dxa"/>
          </w:tcPr>
          <w:p>
            <w:pPr>
              <w:pStyle w:val="CeldaAPA"/>
              <w:jc w:val="left"/>
            </w:pPr>
            <w:r>
              <w:rPr/>
              <w:t xml:space="preserve">08/12/2025, antes del 26/12/2025, primera fecha en que su hormigón podía tener 28 días</w:t>
            </w:r>
          </w:p>
        </w:tc>
        <w:tc>
          <w:tcPr>
            <w:tcW w:w="2540" w:type="dxa"/>
          </w:tcPr>
          <w:p>
            <w:pPr>
              <w:pStyle w:val="CeldaAPA"/>
              <w:jc w:val="left"/>
            </w:pPr>
            <w:r>
              <w:rPr/>
              <w:t xml:space="preserve">Sección 2.5.2</w:t>
            </w:r>
          </w:p>
        </w:tc>
      </w:tr>
      <w:tr>
        <w:tc>
          <w:tcPr>
            <w:tcW w:w="2934" w:type="dxa"/>
          </w:tcPr>
          <w:p>
            <w:pPr>
              <w:pStyle w:val="CeldaAPA"/>
              <w:jc w:val="left"/>
            </w:pPr>
            <w:r>
              <w:rPr/>
              <w:t xml:space="preserve">No conformidades, rechazos o retrabajos asentados en el Libro de Órdenes</w:t>
            </w:r>
          </w:p>
        </w:tc>
        <w:tc>
          <w:tcPr>
            <w:tcW w:w="3886" w:type="dxa"/>
          </w:tcPr>
          <w:p>
            <w:pPr>
              <w:pStyle w:val="CeldaAPA"/>
              <w:jc w:val="left"/>
            </w:pPr>
            <w:r>
              <w:rPr/>
              <w:t xml:space="preserve">0 en 24 asientos; 8 de 8 vaciados autorizados el mismo día de la solicitud</w:t>
            </w:r>
          </w:p>
        </w:tc>
        <w:tc>
          <w:tcPr>
            <w:tcW w:w="2540" w:type="dxa"/>
          </w:tcPr>
          <w:p>
            <w:pPr>
              <w:pStyle w:val="CeldaAPA"/>
              <w:jc w:val="left"/>
            </w:pPr>
            <w:r>
              <w:rPr/>
              <w:t xml:space="preserve">Tabla 24</w:t>
            </w:r>
          </w:p>
        </w:tc>
      </w:tr>
      <w:tr>
        <w:tc>
          <w:tcPr>
            <w:tcW w:w="2934" w:type="dxa"/>
          </w:tcPr>
          <w:p>
            <w:pPr>
              <w:pStyle w:val="CeldaAPA"/>
              <w:jc w:val="left"/>
            </w:pPr>
            <w:r>
              <w:rPr/>
              <w:t xml:space="preserve">Certificados de viguetas y de EPS</w:t>
            </w:r>
          </w:p>
        </w:tc>
        <w:tc>
          <w:tcPr>
            <w:tcW w:w="3886" w:type="dxa"/>
          </w:tcPr>
          <w:p>
            <w:pPr>
              <w:pStyle w:val="CeldaAPA"/>
              <w:jc w:val="left"/>
            </w:pPr>
            <w:r>
              <w:rPr/>
              <w:t xml:space="preserve">Fechados el 27/11/2025, con el armado en curso desde el 14/11/2025, y sin firma; sin certificados de las barras de 6 y 10 mm de la losa</w:t>
            </w:r>
          </w:p>
        </w:tc>
        <w:tc>
          <w:tcPr>
            <w:tcW w:w="2540" w:type="dxa"/>
          </w:tcPr>
          <w:p>
            <w:pPr>
              <w:pStyle w:val="CeldaAPA"/>
              <w:jc w:val="left"/>
            </w:pPr>
            <w:r>
              <w:rPr/>
              <w:t xml:space="preserve">Sección 2.5.2</w:t>
            </w:r>
          </w:p>
        </w:tc>
      </w:tr>
      <w:tr>
        <w:tc>
          <w:tcPr>
            <w:tcW w:w="2934" w:type="dxa"/>
          </w:tcPr>
          <w:p>
            <w:pPr>
              <w:pStyle w:val="CeldaAPA"/>
              <w:jc w:val="left"/>
            </w:pPr>
            <w:r>
              <w:rPr/>
              <w:t xml:space="preserve">Remisiones, kardex o vales de los materiales de la losa</w:t>
            </w:r>
          </w:p>
        </w:tc>
        <w:tc>
          <w:tcPr>
            <w:tcW w:w="3886" w:type="dxa"/>
          </w:tcPr>
          <w:p>
            <w:pPr>
              <w:pStyle w:val="CeldaAPA"/>
              <w:jc w:val="left"/>
            </w:pPr>
            <w:r>
              <w:rPr/>
              <w:t xml:space="preserve">Ninguno</w:t>
            </w:r>
          </w:p>
        </w:tc>
        <w:tc>
          <w:tcPr>
            <w:tcW w:w="2540" w:type="dxa"/>
          </w:tcPr>
          <w:p>
            <w:pPr>
              <w:pStyle w:val="CeldaAPA"/>
              <w:jc w:val="left"/>
            </w:pPr>
            <w:r>
              <w:rPr/>
              <w:t xml:space="preserve">Sección 2.5.2</w:t>
            </w:r>
          </w:p>
        </w:tc>
      </w:tr>
      <w:tr>
        <w:tc>
          <w:tcPr>
            <w:tcW w:w="2934" w:type="dxa"/>
            <w:tcBorders>
              <w:bottom w:val="single" w:sz="8" w:space="0" w:color="000000"/>
            </w:tcBorders>
          </w:tcPr>
          <w:p>
            <w:pPr>
              <w:pStyle w:val="CeldaAPA"/>
              <w:jc w:val="left"/>
            </w:pPr>
            <w:r>
              <w:rPr/>
              <w:t xml:space="preserve">Cifras distintas del acero acumulado del ítem 8</w:t>
            </w:r>
          </w:p>
        </w:tc>
        <w:tc>
          <w:tcPr>
            <w:tcW w:w="3886" w:type="dxa"/>
            <w:tcBorders>
              <w:bottom w:val="single" w:sz="8" w:space="0" w:color="000000"/>
            </w:tcBorders>
          </w:tcPr>
          <w:p>
            <w:pPr>
              <w:pStyle w:val="CeldaAPA"/>
              <w:jc w:val="left"/>
            </w:pPr>
            <w:r>
              <w:rPr/>
              <w:t xml:space="preserve">Tres en las planillas (52.424,65; 50.561,84 y 50.509,49 kg) y una cuarta en el cómputo de cierre (50.509,23 kg)</w:t>
            </w:r>
          </w:p>
        </w:tc>
        <w:tc>
          <w:tcPr>
            <w:tcW w:w="2540" w:type="dxa"/>
            <w:tcBorders>
              <w:bottom w:val="single" w:sz="8" w:space="0" w:color="000000"/>
            </w:tcBorders>
          </w:tcPr>
          <w:p>
            <w:pPr>
              <w:pStyle w:val="CeldaAPA"/>
              <w:jc w:val="left"/>
            </w:pPr>
            <w:r>
              <w:rPr/>
              <w:t xml:space="preserve">Tabla 25</w:t>
            </w:r>
          </w:p>
        </w:tc>
      </w:tr>
    </w:tbl>
    <w:p>
      <w:pPr>
        <w:pStyle w:val="NotaAPA"/>
      </w:pPr>
      <w:r>
        <w:rPr>
          <w:iCs/>
          <w:i/>
        </w:rPr>
        <w:t xml:space="preserve">Nota.</w:t>
      </w:r>
      <w:r>
        <w:t xml:space="preserve"> </w:t>
      </w:r>
      <w:r>
        <w:t xml:space="preserve">Elaboración propia con base en el diagnóstico de la Sección 2.5, donde se citan las fuentes documentales de cada dato.</w:t>
      </w:r>
    </w:p>
    <w:p>
      <w:pPr>
        <w:pStyle w:val="Heading2"/>
      </w:pPr>
      <w:bookmarkStart w:id="194" w:name="tit137"/>
      <w:r>
        <w:t xml:space="preserve">3.2. Línea base de desperdicio y de costo de no calidad</w:t>
      </w:r>
      <w:bookmarkEnd w:id="194"/>
    </w:p>
    <w:p>
      <w:pPr>
        <w:pStyle w:val="FirstParagraph"/>
      </w:pPr>
      <w:r>
        <w:t xml:space="preserve">Las cantidades teóricas de la primera losa, calculadas paño por paño con los planos 01 a 03, fueron de 1,9869 m de viguetas, 2,0164 piezas de complemento de EPS, 0,0715 m</w:t>
      </w:r>
      <w:r>
        <w:rPr>
          <w:vertAlign w:val="superscript"/>
        </w:rPr>
        <w:t xml:space="preserve">3</w:t>
      </w:r>
      <w:r>
        <w:t xml:space="preserve"> </w:t>
      </w:r>
      <w:r>
        <w:t xml:space="preserve">de hormigón y 3,2192 kg de acero por m</w:t>
      </w:r>
      <w:r>
        <w:rPr>
          <w:vertAlign w:val="superscript"/>
        </w:rPr>
        <w:t xml:space="preserve">2</w:t>
      </w:r>
      <w:r>
        <w:t xml:space="preserve"> </w:t>
      </w:r>
      <w:r>
        <w:t xml:space="preserve">(Tabla 27). Solo dos materiales tuvieron una cantidad documentada con la cual compararlas (Tabla 28). Del EPS se entregaron 2.350 piezas, es decir, 2,117 piezas por m</w:t>
      </w:r>
      <w:r>
        <w:rPr>
          <w:vertAlign w:val="superscript"/>
        </w:rPr>
        <w:t xml:space="preserve">2</w:t>
      </w:r>
      <w:r>
        <w:t xml:space="preserve">, y su índice de desperdicio resultó de 5,01 %; con los otros supuestos de cálculo de las piezas teóricas, el índice varió entre 3,4 y 5,9 %. Del acero de la losa se pagaron 4.171,18 kg en el ítem 8, es decir, 3,76 kg/m</w:t>
      </w:r>
      <w:r>
        <w:rPr>
          <w:vertAlign w:val="superscript"/>
        </w:rPr>
        <w:t xml:space="preserve">2</w:t>
      </w:r>
      <w:r>
        <w:t xml:space="preserve">, un 16,75 % más que la cantidad teórica; con los otros supuestos sobre los nervios y los negativos, la diferencia varió entre 9,2 y 38,3 %. Como esa cantidad es la pagada y no la consumida, el índice del acero se usó como una aproximación de su desperdicio. Para las viguetas y el hormigón no existieron notas de entrega, remisiones ni volúmenes por vaciado, por lo que su índice no pudo medirse; el modelo adoptó para ellos desperdicios más probables de 1,00 %, supuesto por el autor, y de 10,00 %, tomado de la literatura (Tabla 29).</w:t>
      </w:r>
    </w:p>
    <w:p>
      <w:pPr>
        <w:pStyle w:val="BodyText"/>
      </w:pPr>
      <w:r>
        <w:t xml:space="preserve">Los materiales se valoraron con el análisis de precios unitarios de referencia, cuyos factores de calibración al precio del contrato fueron 0,962 para el ítem 13 y 1,129 para el acero (Anexo I). El costo teórico de los materiales resultó de Bs 182,35/m</w:t>
      </w:r>
      <w:r>
        <w:rPr>
          <w:vertAlign w:val="superscript"/>
        </w:rPr>
        <w:t xml:space="preserve">2</w:t>
      </w:r>
      <w:r>
        <w:t xml:space="preserve">: Bs 63,08 de viguetas, Bs 31,40 de EPS, Bs 48,99 de hormigón y Bs 38,88 de acero, dentro de un costo directo teórico de Bs 255,78/m</w:t>
      </w:r>
      <w:r>
        <w:rPr>
          <w:vertAlign w:val="superscript"/>
        </w:rPr>
        <w:t xml:space="preserve">2</w:t>
      </w:r>
      <w:r>
        <w:t xml:space="preserve">. Con los valores más probables de los parámetros, el índice de desperdicio ponderado por el costo de los materiales fue de 7,47 %, y el costo de no calidad de la línea base, de Bs 19,60/m</w:t>
      </w:r>
      <w:r>
        <w:rPr>
          <w:vertAlign w:val="superscript"/>
        </w:rPr>
        <w:t xml:space="preserve">2</w:t>
      </w:r>
      <w:r>
        <w:t xml:space="preserve">, el 7,12 % del costo unitario sin SGC. El acero y los retrabajos fueron los componentes de mayor costo, seguidos del hormigón, mientras que las viguetas y el EPS tuvieron los menores (Figura 13).</w:t>
      </w:r>
    </w:p>
    <w:p>
      <w:pPr>
        <w:pStyle w:val="BodyText"/>
      </w:pPr>
      <w:r>
        <w:t xml:space="preserve">Al incorporar la incertidumbre de los parámetros, el índice de desperdicio ponderado medio de la línea base fue de 8,16 % y su costo de no calidad medio, de Bs 22,80/m</w:t>
      </w:r>
      <w:r>
        <w:rPr>
          <w:vertAlign w:val="superscript"/>
        </w:rPr>
        <w:t xml:space="preserve">2</w:t>
      </w:r>
      <w:r>
        <w:t xml:space="preserve"> </w:t>
      </w:r>
      <w:r>
        <w:t xml:space="preserve">(Tabla 49). Ambas medias superaron a los valores más probables porque las distribuciones del desperdicio de hormigón y de la fracción de retrabajo tienen su moda más cerca del mínimo que del máximo. La Tabla 47 presenta el índice de cada material: el hormigón y el acero tuvieron los índices más altos de la línea base, tanto en su valor más probable como en su media simulada.</w:t>
      </w:r>
    </w:p>
    <w:p>
      <w:pPr>
        <w:pStyle w:val="Caption"/>
      </w:pPr>
      <w:bookmarkStart w:id="1462" w:name="tab47"/>
      <w:r>
        <w:t xml:space="preserve"/>
      </w:r>
      <w:r>
        <w:rPr>
          <w:bCs/>
          <w:b/>
        </w:rPr>
        <w:t xml:space="preserve">Tabla 47</w:t>
      </w:r>
      <w:r>
        <w:br/>
      </w:r>
      <w:r>
        <w:rPr>
          <w:iCs/>
          <w:i/>
        </w:rPr>
        <w:t xml:space="preserve">Índice de desperdicio por material sin SGC y con SGC</w:t>
      </w:r>
      <w:bookmarkEnd w:id="1462"/>
    </w:p>
    <w:tbl>
      <w:tblPr>
        <w:tblStyle w:val="Table"/>
        <w:tblW w:w="9361" w:type="dxa"/>
        <w:jc w:val="left"/>
        <w:tblLayout w:type="fixed"/>
        <w:tblCellMar>
          <w:top w:w="0" w:type="dxa"/>
          <w:left w:w="85" w:type="dxa"/>
          <w:bottom w:w="0" w:type="dxa"/>
          <w:right w:w="85" w:type="dxa"/>
        </w:tblCellMar>
        <w:tblLook w:firstRow="1" w:lastRow="0" w:firstColumn="0" w:lastColumn="0" w:noHBand="0" w:noVBand="0" w:val="0020"/>
      </w:tblPr>
      <w:tblGrid>
        <w:gridCol w:w="3538"/>
        <w:gridCol w:w="1175"/>
        <w:gridCol w:w="1251"/>
        <w:gridCol w:w="1175"/>
        <w:gridCol w:w="1111"/>
        <w:gridCol w:w="1111"/>
      </w:tblGrid>
      <w:tr>
        <w:trPr>
          <w:cantSplit/>
          <w:tblHeader w:val="true"/>
        </w:trPr>
        <w:tc>
          <w:tcPr>
            <w:tcW w:w="3538" w:type="dxa"/>
            <w:tcBorders>
              <w:top w:val="single" w:sz="8" w:space="0" w:color="000000"/>
              <w:bottom w:val="single" w:sz="4" w:space="0" w:color="000000"/>
            </w:tcBorders>
          </w:tcPr>
          <w:p>
            <w:pPr>
              <w:pStyle w:val="CeldaAPA"/>
              <w:jc w:val="center"/>
            </w:pPr>
            <w:r>
              <w:rPr>
                <w:bCs/>
                <w:b/>
              </w:rPr>
              <w:t xml:space="preserve">Material</w:t>
            </w:r>
          </w:p>
        </w:tc>
        <w:tc>
          <w:tcPr>
            <w:tcW w:w="1175" w:type="dxa"/>
            <w:tcBorders>
              <w:top w:val="single" w:sz="8" w:space="0" w:color="000000"/>
              <w:bottom w:val="single" w:sz="4" w:space="0" w:color="000000"/>
            </w:tcBorders>
          </w:tcPr>
          <w:p>
            <w:pPr>
              <w:pStyle w:val="CeldaAPA"/>
              <w:jc w:val="center"/>
            </w:pPr>
            <w:r>
              <w:rPr>
                <w:bCs/>
                <w:b/>
              </w:rPr>
              <w:t xml:space="preserve">IDM sin SGC (moda)</w:t>
            </w:r>
          </w:p>
        </w:tc>
        <w:tc>
          <w:tcPr>
            <w:tcW w:w="1251" w:type="dxa"/>
            <w:tcBorders>
              <w:top w:val="single" w:sz="8" w:space="0" w:color="000000"/>
              <w:bottom w:val="single" w:sz="4" w:space="0" w:color="000000"/>
            </w:tcBorders>
          </w:tcPr>
          <w:p>
            <w:pPr>
              <w:pStyle w:val="CeldaAPA"/>
              <w:jc w:val="center"/>
            </w:pPr>
            <w:r>
              <w:rPr>
                <w:bCs/>
                <w:b/>
              </w:rPr>
              <w:t xml:space="preserve">Eficacia (moda)</w:t>
            </w:r>
          </w:p>
        </w:tc>
        <w:tc>
          <w:tcPr>
            <w:tcW w:w="1175" w:type="dxa"/>
            <w:tcBorders>
              <w:top w:val="single" w:sz="8" w:space="0" w:color="000000"/>
              <w:bottom w:val="single" w:sz="4" w:space="0" w:color="000000"/>
            </w:tcBorders>
          </w:tcPr>
          <w:p>
            <w:pPr>
              <w:pStyle w:val="CeldaAPA"/>
              <w:jc w:val="center"/>
            </w:pPr>
            <w:r>
              <w:rPr>
                <w:bCs/>
                <w:b/>
              </w:rPr>
              <w:t xml:space="preserve">IDM con SGC (moda)</w:t>
            </w:r>
          </w:p>
        </w:tc>
        <w:tc>
          <w:tcPr>
            <w:tcW w:w="1111" w:type="dxa"/>
            <w:tcBorders>
              <w:top w:val="single" w:sz="8" w:space="0" w:color="000000"/>
              <w:bottom w:val="single" w:sz="4" w:space="0" w:color="000000"/>
            </w:tcBorders>
          </w:tcPr>
          <w:p>
            <w:pPr>
              <w:pStyle w:val="CeldaAPA"/>
              <w:jc w:val="center"/>
            </w:pPr>
            <w:r>
              <w:rPr>
                <w:bCs/>
                <w:b/>
              </w:rPr>
              <w:t xml:space="preserve">IDM sin SGC (media MC)</w:t>
            </w:r>
          </w:p>
        </w:tc>
        <w:tc>
          <w:tcPr>
            <w:tcW w:w="1111" w:type="dxa"/>
            <w:tcBorders>
              <w:top w:val="single" w:sz="8" w:space="0" w:color="000000"/>
              <w:bottom w:val="single" w:sz="4" w:space="0" w:color="000000"/>
            </w:tcBorders>
          </w:tcPr>
          <w:p>
            <w:pPr>
              <w:pStyle w:val="CeldaAPA"/>
              <w:jc w:val="center"/>
            </w:pPr>
            <w:r>
              <w:rPr>
                <w:bCs/>
                <w:b/>
              </w:rPr>
              <w:t xml:space="preserve">IDM con SGC (media MC)</w:t>
            </w:r>
          </w:p>
        </w:tc>
      </w:tr>
      <w:tr>
        <w:tc>
          <w:tcPr>
            <w:tcW w:w="3538" w:type="dxa"/>
          </w:tcPr>
          <w:p>
            <w:pPr>
              <w:pStyle w:val="CeldaAPA"/>
              <w:jc w:val="left"/>
            </w:pPr>
            <w:r>
              <w:rPr/>
              <w:t xml:space="preserve">Viguetas</w:t>
            </w:r>
          </w:p>
        </w:tc>
        <w:tc>
          <w:tcPr>
            <w:tcW w:w="1175" w:type="dxa"/>
          </w:tcPr>
          <w:p>
            <w:pPr>
              <w:pStyle w:val="CeldaAPA"/>
              <w:jc w:val="right"/>
            </w:pPr>
            <w:r>
              <w:rPr/>
              <w:t xml:space="preserve">1,00 %</w:t>
            </w:r>
          </w:p>
        </w:tc>
        <w:tc>
          <w:tcPr>
            <w:tcW w:w="1251" w:type="dxa"/>
          </w:tcPr>
          <w:p>
            <w:pPr>
              <w:pStyle w:val="CeldaAPA"/>
              <w:jc w:val="right"/>
            </w:pPr>
            <w:r>
              <w:rPr/>
              <w:t xml:space="preserve">44 %</w:t>
            </w:r>
          </w:p>
        </w:tc>
        <w:tc>
          <w:tcPr>
            <w:tcW w:w="1175" w:type="dxa"/>
          </w:tcPr>
          <w:p>
            <w:pPr>
              <w:pStyle w:val="CeldaAPA"/>
              <w:jc w:val="right"/>
            </w:pPr>
            <w:r>
              <w:rPr/>
              <w:t xml:space="preserve">0,56 %</w:t>
            </w:r>
          </w:p>
        </w:tc>
        <w:tc>
          <w:tcPr>
            <w:tcW w:w="1111" w:type="dxa"/>
          </w:tcPr>
          <w:p>
            <w:pPr>
              <w:pStyle w:val="CeldaAPA"/>
              <w:jc w:val="right"/>
            </w:pPr>
            <w:r>
              <w:rPr/>
              <w:t xml:space="preserve">1,34 %</w:t>
            </w:r>
          </w:p>
        </w:tc>
        <w:tc>
          <w:tcPr>
            <w:tcW w:w="1111" w:type="dxa"/>
          </w:tcPr>
          <w:p>
            <w:pPr>
              <w:pStyle w:val="CeldaAPA"/>
              <w:jc w:val="right"/>
            </w:pPr>
            <w:r>
              <w:rPr/>
              <w:t xml:space="preserve">0,79 %</w:t>
            </w:r>
          </w:p>
        </w:tc>
      </w:tr>
      <w:tr>
        <w:tc>
          <w:tcPr>
            <w:tcW w:w="3538" w:type="dxa"/>
          </w:tcPr>
          <w:p>
            <w:pPr>
              <w:pStyle w:val="CeldaAPA"/>
              <w:jc w:val="left"/>
            </w:pPr>
            <w:r>
              <w:rPr/>
              <w:t xml:space="preserve">Plastoformo</w:t>
            </w:r>
          </w:p>
        </w:tc>
        <w:tc>
          <w:tcPr>
            <w:tcW w:w="1175" w:type="dxa"/>
          </w:tcPr>
          <w:p>
            <w:pPr>
              <w:pStyle w:val="CeldaAPA"/>
              <w:jc w:val="right"/>
            </w:pPr>
            <w:r>
              <w:rPr/>
              <w:t xml:space="preserve">5,01 %</w:t>
            </w:r>
          </w:p>
        </w:tc>
        <w:tc>
          <w:tcPr>
            <w:tcW w:w="1251" w:type="dxa"/>
          </w:tcPr>
          <w:p>
            <w:pPr>
              <w:pStyle w:val="CeldaAPA"/>
              <w:jc w:val="right"/>
            </w:pPr>
            <w:r>
              <w:rPr/>
              <w:t xml:space="preserve">44 %</w:t>
            </w:r>
          </w:p>
        </w:tc>
        <w:tc>
          <w:tcPr>
            <w:tcW w:w="1175" w:type="dxa"/>
          </w:tcPr>
          <w:p>
            <w:pPr>
              <w:pStyle w:val="CeldaAPA"/>
              <w:jc w:val="right"/>
            </w:pPr>
            <w:r>
              <w:rPr/>
              <w:t xml:space="preserve">2,81 %</w:t>
            </w:r>
          </w:p>
        </w:tc>
        <w:tc>
          <w:tcPr>
            <w:tcW w:w="1111" w:type="dxa"/>
          </w:tcPr>
          <w:p>
            <w:pPr>
              <w:pStyle w:val="CeldaAPA"/>
              <w:jc w:val="right"/>
            </w:pPr>
            <w:r>
              <w:rPr/>
              <w:t xml:space="preserve">4,99 %</w:t>
            </w:r>
          </w:p>
        </w:tc>
        <w:tc>
          <w:tcPr>
            <w:tcW w:w="1111" w:type="dxa"/>
          </w:tcPr>
          <w:p>
            <w:pPr>
              <w:pStyle w:val="CeldaAPA"/>
              <w:jc w:val="right"/>
            </w:pPr>
            <w:r>
              <w:rPr/>
              <w:t xml:space="preserve">2,93 %</w:t>
            </w:r>
          </w:p>
        </w:tc>
      </w:tr>
      <w:tr>
        <w:tc>
          <w:tcPr>
            <w:tcW w:w="3538" w:type="dxa"/>
          </w:tcPr>
          <w:p>
            <w:pPr>
              <w:pStyle w:val="CeldaAPA"/>
              <w:jc w:val="left"/>
            </w:pPr>
            <w:r>
              <w:rPr/>
              <w:t xml:space="preserve">Hormigón</w:t>
            </w:r>
          </w:p>
        </w:tc>
        <w:tc>
          <w:tcPr>
            <w:tcW w:w="1175" w:type="dxa"/>
          </w:tcPr>
          <w:p>
            <w:pPr>
              <w:pStyle w:val="CeldaAPA"/>
              <w:jc w:val="right"/>
            </w:pPr>
            <w:r>
              <w:rPr/>
              <w:t xml:space="preserve">10,00 %</w:t>
            </w:r>
          </w:p>
        </w:tc>
        <w:tc>
          <w:tcPr>
            <w:tcW w:w="1251" w:type="dxa"/>
          </w:tcPr>
          <w:p>
            <w:pPr>
              <w:pStyle w:val="CeldaAPA"/>
              <w:jc w:val="right"/>
            </w:pPr>
            <w:r>
              <w:rPr/>
              <w:t xml:space="preserve">44 %</w:t>
            </w:r>
          </w:p>
        </w:tc>
        <w:tc>
          <w:tcPr>
            <w:tcW w:w="1175" w:type="dxa"/>
          </w:tcPr>
          <w:p>
            <w:pPr>
              <w:pStyle w:val="CeldaAPA"/>
              <w:jc w:val="right"/>
            </w:pPr>
            <w:r>
              <w:rPr/>
              <w:t xml:space="preserve">5,60 %</w:t>
            </w:r>
          </w:p>
        </w:tc>
        <w:tc>
          <w:tcPr>
            <w:tcW w:w="1111" w:type="dxa"/>
          </w:tcPr>
          <w:p>
            <w:pPr>
              <w:pStyle w:val="CeldaAPA"/>
              <w:jc w:val="right"/>
            </w:pPr>
            <w:r>
              <w:rPr/>
              <w:t xml:space="preserve">12,32 %</w:t>
            </w:r>
          </w:p>
        </w:tc>
        <w:tc>
          <w:tcPr>
            <w:tcW w:w="1111" w:type="dxa"/>
          </w:tcPr>
          <w:p>
            <w:pPr>
              <w:pStyle w:val="CeldaAPA"/>
              <w:jc w:val="right"/>
            </w:pPr>
            <w:r>
              <w:rPr/>
              <w:t xml:space="preserve">7,23 %</w:t>
            </w:r>
          </w:p>
        </w:tc>
      </w:tr>
      <w:tr>
        <w:tc>
          <w:tcPr>
            <w:tcW w:w="3538" w:type="dxa"/>
            <w:tcBorders>
              <w:bottom w:val="single" w:sz="8" w:space="0" w:color="000000"/>
            </w:tcBorders>
          </w:tcPr>
          <w:p>
            <w:pPr>
              <w:pStyle w:val="CeldaAPA"/>
              <w:jc w:val="left"/>
            </w:pPr>
            <w:r>
              <w:rPr/>
              <w:t xml:space="preserve">Acero</w:t>
            </w:r>
          </w:p>
        </w:tc>
        <w:tc>
          <w:tcPr>
            <w:tcW w:w="1175" w:type="dxa"/>
            <w:tcBorders>
              <w:bottom w:val="single" w:sz="8" w:space="0" w:color="000000"/>
            </w:tcBorders>
          </w:tcPr>
          <w:p>
            <w:pPr>
              <w:pStyle w:val="CeldaAPA"/>
              <w:jc w:val="right"/>
            </w:pPr>
            <w:r>
              <w:rPr/>
              <w:t xml:space="preserve">16,75 %</w:t>
            </w:r>
          </w:p>
        </w:tc>
        <w:tc>
          <w:tcPr>
            <w:tcW w:w="1251" w:type="dxa"/>
            <w:tcBorders>
              <w:bottom w:val="single" w:sz="8" w:space="0" w:color="000000"/>
            </w:tcBorders>
          </w:tcPr>
          <w:p>
            <w:pPr>
              <w:pStyle w:val="CeldaAPA"/>
              <w:jc w:val="right"/>
            </w:pPr>
            <w:r>
              <w:rPr/>
              <w:t xml:space="preserve">42 %</w:t>
            </w:r>
          </w:p>
        </w:tc>
        <w:tc>
          <w:tcPr>
            <w:tcW w:w="1175" w:type="dxa"/>
            <w:tcBorders>
              <w:bottom w:val="single" w:sz="8" w:space="0" w:color="000000"/>
            </w:tcBorders>
          </w:tcPr>
          <w:p>
            <w:pPr>
              <w:pStyle w:val="CeldaAPA"/>
              <w:jc w:val="right"/>
            </w:pPr>
            <w:r>
              <w:rPr/>
              <w:t xml:space="preserve">9,72 %</w:t>
            </w:r>
          </w:p>
        </w:tc>
        <w:tc>
          <w:tcPr>
            <w:tcW w:w="1111" w:type="dxa"/>
            <w:tcBorders>
              <w:bottom w:val="single" w:sz="8" w:space="0" w:color="000000"/>
            </w:tcBorders>
          </w:tcPr>
          <w:p>
            <w:pPr>
              <w:pStyle w:val="CeldaAPA"/>
              <w:jc w:val="right"/>
            </w:pPr>
            <w:r>
              <w:rPr/>
              <w:t xml:space="preserve">16,57 %</w:t>
            </w:r>
          </w:p>
        </w:tc>
        <w:tc>
          <w:tcPr>
            <w:tcW w:w="1111" w:type="dxa"/>
            <w:tcBorders>
              <w:bottom w:val="single" w:sz="8" w:space="0" w:color="000000"/>
            </w:tcBorders>
          </w:tcPr>
          <w:p>
            <w:pPr>
              <w:pStyle w:val="CeldaAPA"/>
              <w:jc w:val="right"/>
            </w:pPr>
            <w:r>
              <w:rPr/>
              <w:t xml:space="preserve">9,27 %</w:t>
            </w:r>
          </w:p>
        </w:tc>
      </w:tr>
    </w:tbl>
    <w:p>
      <w:pPr>
        <w:pStyle w:val="NotaAPA"/>
      </w:pPr>
      <w:r>
        <w:rPr>
          <w:iCs/>
          <w:i/>
        </w:rPr>
        <w:t xml:space="preserve">Nota.</w:t>
      </w:r>
      <w:r>
        <w:t xml:space="preserve"> </w:t>
      </w:r>
      <w:r>
        <w:t xml:space="preserve">Elaboración propia con el modelo de costos (Anexo K). Moda: valor más probable de la distribución triangular; media MC: promedio de los 20.000 escenarios de la simulación de Monte Carlo. El IDM sin SGC del plastoformo (EPS) y del acero es el documentado en la primera losa; el de las viguetas es un supuesto del autor y el del hormigón proviene de la literatura (Tabla 29). IDM con SGC = IDM sin SGC</w:t>
      </w:r>
      <w:r>
        <w:t xml:space="preserve"> </w:t>
      </w:r>
      <m:oMath>
        <m:r>
          <m:rPr>
            <m:sty m:val="p"/>
          </m:rPr>
          <m:t>×</m:t>
        </m:r>
      </m:oMath>
      <w:r>
        <w:t xml:space="preserve"> </w:t>
      </w:r>
      <w:r>
        <w:t xml:space="preserve">(1</w:t>
      </w:r>
      <w:r>
        <w:t xml:space="preserve"> </w:t>
      </w:r>
      <m:oMath>
        <m:r>
          <m:rPr>
            <m:sty m:val="p"/>
          </m:rPr>
          <m:t>−</m:t>
        </m:r>
      </m:oMath>
      <w:r>
        <w:t xml:space="preserve"> </w:t>
      </w:r>
      <w:r>
        <w:t xml:space="preserve">eficacia), según la ecuación (19); las fuentes de las eficacias se detallan en el Anexo K.</w:t>
      </w:r>
    </w:p>
    <w:p>
      <w:pPr>
        <w:pStyle w:val="Caption"/>
      </w:pPr>
      <w:bookmarkStart w:id="1463" w:name="fig13"/>
      <w:r>
        <w:t xml:space="preserve"/>
      </w:r>
      <w:r>
        <w:rPr>
          <w:bCs/>
          <w:b/>
        </w:rPr>
        <w:t xml:space="preserve">Figura 13</w:t>
      </w:r>
      <w:r>
        <w:br/>
      </w:r>
      <w:r>
        <w:rPr>
          <w:iCs/>
          <w:i/>
        </w:rPr>
        <w:t xml:space="preserve">Costo de no calidad por componente sin SGC y con SGC, con los valores más probables de los parámetros</w:t>
      </w:r>
      <w:bookmarkEnd w:id="1463"/>
    </w:p>
    <w:p>
      <w:pPr>
        <w:pStyle w:val="FiguraAPA"/>
      </w:pPr>
      <w:r>
        <w:drawing>
          <wp:inline>
            <wp:extent cx="5468039" cy="2951005"/>
            <wp:effectExtent b="0" l="0" r="0" t="0"/>
            <wp:docPr descr="image" title="" id="192" name="Picture"/>
            <a:graphic>
              <a:graphicData uri="http://schemas.openxmlformats.org/drawingml/2006/picture">
                <pic:pic>
                  <pic:nvPicPr>
                    <pic:cNvPr descr="/home/user/TesisSGC/07_Entregables/scripts/_trabajo_sencilla/imagenes/graf_55b82a834bb753874ca5.png" id="193" name="Picture"/>
                    <pic:cNvPicPr>
                      <a:picLocks noChangeArrowheads="1" noChangeAspect="1"/>
                    </pic:cNvPicPr>
                  </pic:nvPicPr>
                  <pic:blipFill>
                    <a:blip r:embed="rId191"/>
                    <a:stretch>
                      <a:fillRect/>
                    </a:stretch>
                  </pic:blipFill>
                  <pic:spPr bwMode="auto">
                    <a:xfrm>
                      <a:off x="0" y="0"/>
                      <a:ext cx="5468039" cy="2951005"/>
                    </a:xfrm>
                    <a:prstGeom prst="rect">
                      <a:avLst/>
                    </a:prstGeom>
                    <a:noFill/>
                    <a:ln w="9525">
                      <a:noFill/>
                      <a:headEnd/>
                      <a:tailEnd/>
                    </a:ln>
                  </pic:spPr>
                </pic:pic>
              </a:graphicData>
            </a:graphic>
          </wp:inline>
        </w:drawing>
      </w:r>
    </w:p>
    <w:p>
      <w:pPr>
        <w:pStyle w:val="NotaAPA"/>
      </w:pPr>
      <w:r>
        <w:rPr>
          <w:iCs/>
          <w:i/>
        </w:rPr>
        <w:t xml:space="preserve">Nota.</w:t>
      </w:r>
      <w:r>
        <w:t xml:space="preserve"> </w:t>
      </w:r>
      <w:r>
        <w:t xml:space="preserve">Elaboración propia con el modelo de costos (Anexo K). El costo de cada material es su costo teórico por m</w:t>
      </w:r>
      <w:r>
        <w:rPr>
          <w:vertAlign w:val="superscript"/>
        </w:rPr>
        <w:t xml:space="preserve">2</w:t>
      </w:r>
      <w:r>
        <w:t xml:space="preserve"> </w:t>
      </w:r>
      <w:r>
        <w:t xml:space="preserve">multiplicado por su índice de desperdicio (primer término de la ecuación 18); el de los retrabajos es la fracción</w:t>
      </w:r>
      <w:r>
        <w:t xml:space="preserve"> </w:t>
      </w:r>
      <m:oMath>
        <m:r>
          <m:t>ρ</m:t>
        </m:r>
      </m:oMath>
      <w:r>
        <w:t xml:space="preserve"> </w:t>
      </w:r>
      <w:r>
        <w:t xml:space="preserve">del costo directo teórico. Precios constantes del contrato.</w:t>
      </w:r>
    </w:p>
    <w:p>
      <w:pPr>
        <w:pStyle w:val="Heading2"/>
      </w:pPr>
      <w:bookmarkStart w:id="195" w:name="tit138"/>
      <w:r>
        <w:t xml:space="preserve">3.3. Resultado del modelo con los valores más probables</w:t>
      </w:r>
      <w:bookmarkEnd w:id="195"/>
    </w:p>
    <w:p>
      <w:pPr>
        <w:pStyle w:val="FirstParagraph"/>
      </w:pPr>
      <w:r>
        <w:t xml:space="preserve">Con los valores más probables de todos los parámetros, el costo unitario de ejecución bajó de Bs 275,38/m</w:t>
      </w:r>
      <w:r>
        <w:rPr>
          <w:vertAlign w:val="superscript"/>
        </w:rPr>
        <w:t xml:space="preserve">2</w:t>
      </w:r>
      <w:r>
        <w:t xml:space="preserve"> </w:t>
      </w:r>
      <w:r>
        <w:t xml:space="preserve">sin SGC a Bs 271,46/m</w:t>
      </w:r>
      <w:r>
        <w:rPr>
          <w:vertAlign w:val="superscript"/>
        </w:rPr>
        <w:t xml:space="preserve">2</w:t>
      </w:r>
      <w:r>
        <w:t xml:space="preserve"> </w:t>
      </w:r>
      <w:r>
        <w:t xml:space="preserve">con SGC, una reducción relativa de 1,43 % (Tabla 48). El SGC redujo el costo de no calidad de Bs 19,60 a Bs 10,81/m</w:t>
      </w:r>
      <w:r>
        <w:rPr>
          <w:vertAlign w:val="superscript"/>
        </w:rPr>
        <w:t xml:space="preserve">2</w:t>
      </w:r>
      <w:r>
        <w:t xml:space="preserve"> </w:t>
      </w:r>
      <w:r>
        <w:t xml:space="preserve">y el índice de desperdicio ponderado de 7,47 % a 4,25 %, y añadió un costo de prevención y evaluación de Bs 4,86/m</w:t>
      </w:r>
      <w:r>
        <w:rPr>
          <w:vertAlign w:val="superscript"/>
        </w:rPr>
        <w:t xml:space="preserve">2</w:t>
      </w:r>
      <w:r>
        <w:t xml:space="preserve">. Cada componente del costo de no calidad disminuyó en la proporción de su eficacia más probable (Figura 13). En el saldo de 2.234,60 m</w:t>
      </w:r>
      <w:r>
        <w:rPr>
          <w:vertAlign w:val="superscript"/>
        </w:rPr>
        <w:t xml:space="preserve">2</w:t>
      </w:r>
      <w:r>
        <w:t xml:space="preserve">, la diferencia de costo unitario equivalió a un ahorro de Bs 8.780. En ambos escenarios, la suma del costo directo teórico, el costo de no calidad y el costo de la calidad reprodujo, salvo el redondeo, el costo unitario calculado por el programa (ecuación 17); esa comprobación manual es la verificación del modelo prevista en la Sección 2.8.</w:t>
      </w:r>
    </w:p>
    <w:p>
      <w:pPr>
        <w:pStyle w:val="Caption"/>
      </w:pPr>
      <w:bookmarkStart w:id="1464" w:name="tab48"/>
      <w:r>
        <w:t xml:space="preserve"/>
      </w:r>
      <w:r>
        <w:rPr>
          <w:bCs/>
          <w:b/>
        </w:rPr>
        <w:t xml:space="preserve">Tabla 48</w:t>
      </w:r>
      <w:r>
        <w:br/>
      </w:r>
      <w:r>
        <w:rPr>
          <w:iCs/>
          <w:i/>
        </w:rPr>
        <w:t xml:space="preserve">Resultado del modelo de costos con los valores más probables de los parámetros</w:t>
      </w:r>
      <w:bookmarkEnd w:id="1464"/>
    </w:p>
    <w:tbl>
      <w:tblPr>
        <w:tblStyle w:val="Table"/>
        <w:tblW w:w="9359" w:type="dxa"/>
        <w:jc w:val="left"/>
        <w:tblLayout w:type="fixed"/>
        <w:tblCellMar>
          <w:top w:w="0" w:type="dxa"/>
          <w:left w:w="85" w:type="dxa"/>
          <w:bottom w:w="0" w:type="dxa"/>
          <w:right w:w="85" w:type="dxa"/>
        </w:tblCellMar>
        <w:tblLook w:firstRow="1" w:lastRow="0" w:firstColumn="0" w:lastColumn="0" w:noHBand="0" w:noVBand="0" w:val="0020"/>
      </w:tblPr>
      <w:tblGrid>
        <w:gridCol w:w="6139"/>
        <w:gridCol w:w="1358"/>
        <w:gridCol w:w="1862"/>
      </w:tblGrid>
      <w:tr>
        <w:trPr>
          <w:cantSplit/>
          <w:tblHeader w:val="true"/>
        </w:trPr>
        <w:tc>
          <w:tcPr>
            <w:tcW w:w="6139" w:type="dxa"/>
            <w:tcBorders>
              <w:top w:val="single" w:sz="8" w:space="0" w:color="000000"/>
              <w:bottom w:val="single" w:sz="4" w:space="0" w:color="000000"/>
            </w:tcBorders>
          </w:tcPr>
          <w:p>
            <w:pPr>
              <w:pStyle w:val="CeldaAPA"/>
              <w:jc w:val="center"/>
            </w:pPr>
            <w:r>
              <w:rPr>
                <w:bCs/>
                <w:b/>
              </w:rPr>
              <w:t xml:space="preserve">Indicador</w:t>
            </w:r>
          </w:p>
        </w:tc>
        <w:tc>
          <w:tcPr>
            <w:tcW w:w="1358" w:type="dxa"/>
            <w:tcBorders>
              <w:top w:val="single" w:sz="8" w:space="0" w:color="000000"/>
              <w:bottom w:val="single" w:sz="4" w:space="0" w:color="000000"/>
            </w:tcBorders>
          </w:tcPr>
          <w:p>
            <w:pPr>
              <w:pStyle w:val="CeldaAPA"/>
              <w:jc w:val="center"/>
            </w:pPr>
            <w:r>
              <w:rPr>
                <w:bCs/>
                <w:b/>
              </w:rPr>
              <w:t xml:space="preserve">Sin SGC (control)</w:t>
            </w:r>
          </w:p>
        </w:tc>
        <w:tc>
          <w:tcPr>
            <w:tcW w:w="1862" w:type="dxa"/>
            <w:tcBorders>
              <w:top w:val="single" w:sz="8" w:space="0" w:color="000000"/>
              <w:bottom w:val="single" w:sz="4" w:space="0" w:color="000000"/>
            </w:tcBorders>
          </w:tcPr>
          <w:p>
            <w:pPr>
              <w:pStyle w:val="CeldaAPA"/>
              <w:jc w:val="center"/>
            </w:pPr>
            <w:r>
              <w:rPr>
                <w:bCs/>
                <w:b/>
              </w:rPr>
              <w:t xml:space="preserve">Con SGC (tratamiento)</w:t>
            </w:r>
          </w:p>
        </w:tc>
      </w:tr>
      <w:tr>
        <w:tc>
          <w:tcPr>
            <w:tcW w:w="6139" w:type="dxa"/>
          </w:tcPr>
          <w:p>
            <w:pPr>
              <w:pStyle w:val="CeldaAPA"/>
              <w:jc w:val="left"/>
            </w:pPr>
            <w:r>
              <w:rPr/>
              <w:t xml:space="preserve">Costo directo teórico,</w:t>
            </w:r>
            <w:r>
              <w:rPr/>
              <w:t xml:space="preserve"> </w:t>
            </w:r>
            <m:oMath>
              <m:r>
                <m:t>C</m:t>
              </m:r>
              <m:sSub>
                <m:e>
                  <m:r>
                    <m:t>D</m:t>
                  </m:r>
                </m:e>
                <m:sub>
                  <m:r>
                    <m:t>t</m:t>
                  </m:r>
                  <m:r>
                    <m:t>e</m:t>
                  </m:r>
                  <m:r>
                    <m:t>o</m:t>
                  </m:r>
                </m:sub>
              </m:sSub>
            </m:oMath>
            <w:r>
              <w:rPr/>
              <w:t xml:space="preserve"> </w:t>
            </w:r>
            <w:r>
              <w:rPr/>
              <w:t xml:space="preserve">(Bs/m</w:t>
            </w:r>
            <w:r>
              <w:rPr>
                <w:vertAlign w:val="superscript"/>
              </w:rPr>
              <w:t xml:space="preserve">2</w:t>
            </w:r>
            <w:r>
              <w:rPr/>
              <w:t xml:space="preserve">)</w:t>
            </w:r>
          </w:p>
        </w:tc>
        <w:tc>
          <w:tcPr>
            <w:tcW w:w="1358" w:type="dxa"/>
          </w:tcPr>
          <w:p>
            <w:pPr>
              <w:pStyle w:val="CeldaAPA"/>
              <w:jc w:val="right"/>
            </w:pPr>
            <w:r>
              <w:rPr/>
              <w:t xml:space="preserve">255,78</w:t>
            </w:r>
          </w:p>
        </w:tc>
        <w:tc>
          <w:tcPr>
            <w:tcW w:w="1862" w:type="dxa"/>
          </w:tcPr>
          <w:p>
            <w:pPr>
              <w:pStyle w:val="CeldaAPA"/>
              <w:jc w:val="right"/>
            </w:pPr>
            <w:r>
              <w:rPr/>
              <w:t xml:space="preserve">255,78</w:t>
            </w:r>
          </w:p>
        </w:tc>
      </w:tr>
      <w:tr>
        <w:tc>
          <w:tcPr>
            <w:tcW w:w="6139" w:type="dxa"/>
          </w:tcPr>
          <w:p>
            <w:pPr>
              <w:pStyle w:val="CeldaAPA"/>
              <w:jc w:val="left"/>
            </w:pPr>
            <w:r>
              <w:rPr/>
              <w:t xml:space="preserve">Costo de no calidad,</w:t>
            </w:r>
            <w:r>
              <w:rPr/>
              <w:t xml:space="preserve"> </w:t>
            </w:r>
            <m:oMath>
              <m:r>
                <m:t>C</m:t>
              </m:r>
              <m:r>
                <m:t>N</m:t>
              </m:r>
              <m:r>
                <m:t>C</m:t>
              </m:r>
            </m:oMath>
            <w:r>
              <w:rPr/>
              <w:t xml:space="preserve"> </w:t>
            </w:r>
            <w:r>
              <w:rPr/>
              <w:t xml:space="preserve">(Bs/m</w:t>
            </w:r>
            <w:r>
              <w:rPr>
                <w:vertAlign w:val="superscript"/>
              </w:rPr>
              <w:t xml:space="preserve">2</w:t>
            </w:r>
            <w:r>
              <w:rPr/>
              <w:t xml:space="preserve">)</w:t>
            </w:r>
          </w:p>
        </w:tc>
        <w:tc>
          <w:tcPr>
            <w:tcW w:w="1358" w:type="dxa"/>
          </w:tcPr>
          <w:p>
            <w:pPr>
              <w:pStyle w:val="CeldaAPA"/>
              <w:jc w:val="right"/>
            </w:pPr>
            <w:r>
              <w:rPr/>
              <w:t xml:space="preserve">19,60</w:t>
            </w:r>
          </w:p>
        </w:tc>
        <w:tc>
          <w:tcPr>
            <w:tcW w:w="1862" w:type="dxa"/>
          </w:tcPr>
          <w:p>
            <w:pPr>
              <w:pStyle w:val="CeldaAPA"/>
              <w:jc w:val="right"/>
            </w:pPr>
            <w:r>
              <w:rPr/>
              <w:t xml:space="preserve">10,81</w:t>
            </w:r>
          </w:p>
        </w:tc>
      </w:tr>
      <w:tr>
        <w:tc>
          <w:tcPr>
            <w:tcW w:w="6139" w:type="dxa"/>
          </w:tcPr>
          <w:p>
            <w:pPr>
              <w:pStyle w:val="CeldaAPA"/>
              <w:jc w:val="left"/>
            </w:pPr>
            <w:r>
              <w:rPr/>
              <w:t xml:space="preserve">Costo de no calidad en porcentaje del costo unitario</w:t>
            </w:r>
          </w:p>
        </w:tc>
        <w:tc>
          <w:tcPr>
            <w:tcW w:w="1358" w:type="dxa"/>
          </w:tcPr>
          <w:p>
            <w:pPr>
              <w:pStyle w:val="CeldaAPA"/>
              <w:jc w:val="right"/>
            </w:pPr>
            <w:r>
              <w:rPr/>
              <w:t xml:space="preserve">7,12 %</w:t>
            </w:r>
          </w:p>
        </w:tc>
        <w:tc>
          <w:tcPr>
            <w:tcW w:w="1862" w:type="dxa"/>
          </w:tcPr>
          <w:p>
            <w:pPr>
              <w:pStyle w:val="CeldaAPA"/>
              <w:jc w:val="right"/>
            </w:pPr>
            <w:r>
              <w:rPr/>
              <w:t xml:space="preserve">3,98 %</w:t>
            </w:r>
          </w:p>
        </w:tc>
      </w:tr>
      <w:tr>
        <w:tc>
          <w:tcPr>
            <w:tcW w:w="6139" w:type="dxa"/>
          </w:tcPr>
          <w:p>
            <w:pPr>
              <w:pStyle w:val="CeldaAPA"/>
              <w:jc w:val="left"/>
            </w:pPr>
            <w:r>
              <w:rPr/>
              <w:t xml:space="preserve">Costo de la calidad del SGC,</w:t>
            </w:r>
            <w:r>
              <w:rPr/>
              <w:t xml:space="preserve"> </w:t>
            </w:r>
            <m:oMath>
              <m:r>
                <m:t>C</m:t>
              </m:r>
              <m:r>
                <m:t>C</m:t>
              </m:r>
            </m:oMath>
            <w:r>
              <w:rPr/>
              <w:t xml:space="preserve"> </w:t>
            </w:r>
            <w:r>
              <w:rPr/>
              <w:t xml:space="preserve">(Bs/m</w:t>
            </w:r>
            <w:r>
              <w:rPr>
                <w:vertAlign w:val="superscript"/>
              </w:rPr>
              <w:t xml:space="preserve">2</w:t>
            </w:r>
            <w:r>
              <w:rPr/>
              <w:t xml:space="preserve">)</w:t>
            </w:r>
          </w:p>
        </w:tc>
        <w:tc>
          <w:tcPr>
            <w:tcW w:w="1358" w:type="dxa"/>
          </w:tcPr>
          <w:p>
            <w:pPr>
              <w:pStyle w:val="CeldaAPA"/>
              <w:jc w:val="right"/>
            </w:pPr>
            <w:r>
              <w:rPr/>
              <w:t xml:space="preserve">0,00</w:t>
            </w:r>
          </w:p>
        </w:tc>
        <w:tc>
          <w:tcPr>
            <w:tcW w:w="1862" w:type="dxa"/>
          </w:tcPr>
          <w:p>
            <w:pPr>
              <w:pStyle w:val="CeldaAPA"/>
              <w:jc w:val="right"/>
            </w:pPr>
            <w:r>
              <w:rPr/>
              <w:t xml:space="preserve">4,86</w:t>
            </w:r>
          </w:p>
        </w:tc>
      </w:tr>
      <w:tr>
        <w:tc>
          <w:tcPr>
            <w:tcW w:w="6139" w:type="dxa"/>
          </w:tcPr>
          <w:p>
            <w:pPr>
              <w:pStyle w:val="CeldaAPA"/>
              <w:jc w:val="left"/>
            </w:pPr>
            <w:r>
              <w:rPr/>
              <w:t xml:space="preserve">Costo de la calidad en porcentaje del costo unitario</w:t>
            </w:r>
          </w:p>
        </w:tc>
        <w:tc>
          <w:tcPr>
            <w:tcW w:w="1358" w:type="dxa"/>
          </w:tcPr>
          <w:p>
            <w:pPr>
              <w:pStyle w:val="CeldaAPA"/>
              <w:jc w:val="right"/>
            </w:pPr>
            <w:r>
              <w:rPr/>
              <w:t xml:space="preserve">0,00 %</w:t>
            </w:r>
          </w:p>
        </w:tc>
        <w:tc>
          <w:tcPr>
            <w:tcW w:w="1862" w:type="dxa"/>
          </w:tcPr>
          <w:p>
            <w:pPr>
              <w:pStyle w:val="CeldaAPA"/>
              <w:jc w:val="right"/>
            </w:pPr>
            <w:r>
              <w:rPr/>
              <w:t xml:space="preserve">1,79 %</w:t>
            </w:r>
          </w:p>
        </w:tc>
      </w:tr>
      <w:tr>
        <w:tc>
          <w:tcPr>
            <w:tcW w:w="6139" w:type="dxa"/>
          </w:tcPr>
          <w:p>
            <w:pPr>
              <w:pStyle w:val="CeldaAPA"/>
              <w:jc w:val="left"/>
            </w:pPr>
            <w:r>
              <w:rPr/>
              <w:t xml:space="preserve">Costo unitario de ejecución,</w:t>
            </w:r>
            <w:r>
              <w:rPr/>
              <w:t xml:space="preserve"> </w:t>
            </w:r>
            <m:oMath>
              <m:r>
                <m:t>C</m:t>
              </m:r>
              <m:r>
                <m:t>U</m:t>
              </m:r>
            </m:oMath>
            <w:r>
              <w:rPr/>
              <w:t xml:space="preserve"> </w:t>
            </w:r>
            <w:r>
              <w:rPr/>
              <w:t xml:space="preserve">(Bs/m</w:t>
            </w:r>
            <w:r>
              <w:rPr>
                <w:vertAlign w:val="superscript"/>
              </w:rPr>
              <w:t xml:space="preserve">2</w:t>
            </w:r>
            <w:r>
              <w:rPr/>
              <w:t xml:space="preserve">)</w:t>
            </w:r>
          </w:p>
        </w:tc>
        <w:tc>
          <w:tcPr>
            <w:tcW w:w="1358" w:type="dxa"/>
          </w:tcPr>
          <w:p>
            <w:pPr>
              <w:pStyle w:val="CeldaAPA"/>
              <w:jc w:val="right"/>
            </w:pPr>
            <w:r>
              <w:rPr/>
              <w:t xml:space="preserve">275,38</w:t>
            </w:r>
          </w:p>
        </w:tc>
        <w:tc>
          <w:tcPr>
            <w:tcW w:w="1862" w:type="dxa"/>
          </w:tcPr>
          <w:p>
            <w:pPr>
              <w:pStyle w:val="CeldaAPA"/>
              <w:jc w:val="right"/>
            </w:pPr>
            <w:r>
              <w:rPr/>
              <w:t xml:space="preserve">271,46</w:t>
            </w:r>
          </w:p>
        </w:tc>
      </w:tr>
      <w:tr>
        <w:tc>
          <w:tcPr>
            <w:tcW w:w="6139" w:type="dxa"/>
          </w:tcPr>
          <w:p>
            <w:pPr>
              <w:pStyle w:val="CeldaAPA"/>
              <w:jc w:val="left"/>
            </w:pPr>
            <w:r>
              <w:rPr/>
              <w:t xml:space="preserve">Índice de desperdicio ponderado,</w:t>
            </w:r>
            <w:r>
              <w:rPr/>
              <w:t xml:space="preserve"> </w:t>
            </w:r>
            <m:oMath>
              <m:r>
                <m:t>I</m:t>
              </m:r>
              <m:r>
                <m:t>D</m:t>
              </m:r>
              <m:r>
                <m:t>M</m:t>
              </m:r>
            </m:oMath>
          </w:p>
        </w:tc>
        <w:tc>
          <w:tcPr>
            <w:tcW w:w="1358" w:type="dxa"/>
          </w:tcPr>
          <w:p>
            <w:pPr>
              <w:pStyle w:val="CeldaAPA"/>
              <w:jc w:val="right"/>
            </w:pPr>
            <w:r>
              <w:rPr/>
              <w:t xml:space="preserve">7,47 %</w:t>
            </w:r>
          </w:p>
        </w:tc>
        <w:tc>
          <w:tcPr>
            <w:tcW w:w="1862" w:type="dxa"/>
          </w:tcPr>
          <w:p>
            <w:pPr>
              <w:pStyle w:val="CeldaAPA"/>
              <w:jc w:val="right"/>
            </w:pPr>
            <w:r>
              <w:rPr/>
              <w:t xml:space="preserve">4,25 %</w:t>
            </w:r>
          </w:p>
        </w:tc>
      </w:tr>
      <w:tr>
        <w:tc>
          <w:tcPr>
            <w:tcW w:w="6139" w:type="dxa"/>
          </w:tcPr>
          <w:p>
            <w:pPr>
              <w:pStyle w:val="CeldaAPA"/>
              <w:jc w:val="left"/>
            </w:pPr>
            <w:r>
              <w:rPr/>
              <w:t xml:space="preserve">Reducción relativa del costo unitario,</w:t>
            </w:r>
            <w:r>
              <w:rPr/>
              <w:t xml:space="preserve"> </w:t>
            </w:r>
            <m:oMath>
              <m:r>
                <m:t>r</m:t>
              </m:r>
            </m:oMath>
          </w:p>
        </w:tc>
        <w:tc>
          <w:tcPr>
            <w:tcW w:w="1358" w:type="dxa"/>
          </w:tcPr>
          <w:p>
            <w:pPr>
              <w:pStyle w:val="CeldaAPA"/>
              <w:jc w:val="right"/>
            </w:pPr>
            <w:r>
              <w:rPr/>
              <w:t xml:space="preserve">—</w:t>
            </w:r>
          </w:p>
        </w:tc>
        <w:tc>
          <w:tcPr>
            <w:tcW w:w="1862" w:type="dxa"/>
          </w:tcPr>
          <w:p>
            <w:pPr>
              <w:pStyle w:val="CeldaAPA"/>
              <w:jc w:val="right"/>
            </w:pPr>
            <w:r>
              <w:rPr/>
              <w:t xml:space="preserve">1,43 %</w:t>
            </w:r>
          </w:p>
        </w:tc>
      </w:tr>
      <w:tr>
        <w:tc>
          <w:tcPr>
            <w:tcW w:w="6139" w:type="dxa"/>
            <w:tcBorders>
              <w:bottom w:val="single" w:sz="8" w:space="0" w:color="000000"/>
            </w:tcBorders>
          </w:tcPr>
          <w:p>
            <w:pPr>
              <w:pStyle w:val="CeldaAPA"/>
              <w:jc w:val="left"/>
            </w:pPr>
            <w:r>
              <w:rPr/>
              <w:t xml:space="preserve">Ahorro en el saldo de 2.234,60 m</w:t>
            </w:r>
            <w:r>
              <w:rPr>
                <w:vertAlign w:val="superscript"/>
              </w:rPr>
              <w:t xml:space="preserve">2</w:t>
            </w:r>
            <w:r>
              <w:rPr/>
              <w:t xml:space="preserve"> </w:t>
            </w:r>
            <w:r>
              <w:rPr/>
              <w:t xml:space="preserve">(Bs)</w:t>
            </w:r>
          </w:p>
        </w:tc>
        <w:tc>
          <w:tcPr>
            <w:tcW w:w="1358" w:type="dxa"/>
            <w:tcBorders>
              <w:bottom w:val="single" w:sz="8" w:space="0" w:color="000000"/>
            </w:tcBorders>
          </w:tcPr>
          <w:p>
            <w:pPr>
              <w:pStyle w:val="CeldaAPA"/>
              <w:jc w:val="right"/>
            </w:pPr>
            <w:r>
              <w:rPr/>
              <w:t xml:space="preserve">—</w:t>
            </w:r>
          </w:p>
        </w:tc>
        <w:tc>
          <w:tcPr>
            <w:tcW w:w="1862" w:type="dxa"/>
            <w:tcBorders>
              <w:bottom w:val="single" w:sz="8" w:space="0" w:color="000000"/>
            </w:tcBorders>
          </w:tcPr>
          <w:p>
            <w:pPr>
              <w:pStyle w:val="CeldaAPA"/>
              <w:jc w:val="right"/>
            </w:pPr>
            <w:r>
              <w:rPr/>
              <w:t xml:space="preserve">8.780</w:t>
            </w:r>
          </w:p>
        </w:tc>
      </w:tr>
    </w:tbl>
    <w:p>
      <w:pPr>
        <w:pStyle w:val="NotaAPA"/>
      </w:pPr>
      <w:r>
        <w:rPr>
          <w:iCs/>
          <w:i/>
        </w:rPr>
        <w:t xml:space="preserve">Nota.</w:t>
      </w:r>
      <w:r>
        <w:t xml:space="preserve"> </w:t>
      </w:r>
      <w:r>
        <w:t xml:space="preserve">Elaboración propia con el modelo de costos (Anexo K), con las modas de las distribuciones triangulares y a precios constantes del contrato.</w:t>
      </w:r>
      <w:r>
        <w:t xml:space="preserve"> </w:t>
      </w:r>
      <m:oMath>
        <m:r>
          <m:t>C</m:t>
        </m:r>
        <m:r>
          <m:t>U</m:t>
        </m:r>
        <m:r>
          <m:rPr>
            <m:sty m:val="p"/>
          </m:rPr>
          <m:t>=</m:t>
        </m:r>
        <m:r>
          <m:t>C</m:t>
        </m:r>
        <m:sSub>
          <m:e>
            <m:r>
              <m:t>D</m:t>
            </m:r>
          </m:e>
          <m:sub>
            <m:r>
              <m:t>t</m:t>
            </m:r>
            <m:r>
              <m:t>e</m:t>
            </m:r>
            <m:r>
              <m:t>o</m:t>
            </m:r>
          </m:sub>
        </m:sSub>
        <m:r>
          <m:rPr>
            <m:sty m:val="p"/>
          </m:rPr>
          <m:t>+</m:t>
        </m:r>
        <m:r>
          <m:t>C</m:t>
        </m:r>
        <m:r>
          <m:t>N</m:t>
        </m:r>
        <m:r>
          <m:t>C</m:t>
        </m:r>
        <m:r>
          <m:rPr>
            <m:sty m:val="p"/>
          </m:rPr>
          <m:t>+</m:t>
        </m:r>
        <m:r>
          <m:t>C</m:t>
        </m:r>
        <m:r>
          <m:t>C</m:t>
        </m:r>
      </m:oMath>
      <w:r>
        <w:t xml:space="preserve"> </w:t>
      </w:r>
      <w:r>
        <w:t xml:space="preserve">(ecuación 17);</w:t>
      </w:r>
      <w:r>
        <w:t xml:space="preserve"> </w:t>
      </w:r>
      <m:oMath>
        <m:r>
          <m:t>r</m:t>
        </m:r>
      </m:oMath>
      <w:r>
        <w:t xml:space="preserve"> </w:t>
      </w:r>
      <w:r>
        <w:t xml:space="preserve">según la ecuación (20); ahorro</w:t>
      </w:r>
      <w:r>
        <w:t xml:space="preserve"> </w:t>
      </w:r>
      <m:oMath>
        <m:r>
          <m:rPr>
            <m:sty m:val="p"/>
          </m:rPr>
          <m:t>=</m:t>
        </m:r>
        <m:d>
          <m:dPr>
            <m:begChr m:val="("/>
            <m:endChr m:val=")"/>
            <m:sepChr m:val=""/>
            <m:grow/>
          </m:dPr>
          <m:e>
            <m:r>
              <m:t>C</m:t>
            </m:r>
            <m:sSub>
              <m:e>
                <m:r>
                  <m:t>U</m:t>
                </m:r>
              </m:e>
              <m:sub>
                <m:r>
                  <m:rPr>
                    <m:nor/>
                    <m:sty m:val="p"/>
                  </m:rPr>
                  <m:t>sin</m:t>
                </m:r>
              </m:sub>
            </m:sSub>
            <m:r>
              <m:rPr>
                <m:sty m:val="p"/>
              </m:rPr>
              <m:t>−</m:t>
            </m:r>
            <m:r>
              <m:t>C</m:t>
            </m:r>
            <m:sSub>
              <m:e>
                <m:r>
                  <m:t>U</m:t>
                </m:r>
              </m:e>
              <m:sub>
                <m:r>
                  <m:rPr>
                    <m:nor/>
                    <m:sty m:val="p"/>
                  </m:rPr>
                  <m:t>con</m:t>
                </m:r>
              </m:sub>
            </m:sSub>
          </m:e>
        </m:d>
        <m:r>
          <m:rPr>
            <m:sty m:val="p"/>
          </m:rPr>
          <m:t>×</m:t>
        </m:r>
        <m:r>
          <m:t>2.234</m:t>
        </m:r>
        <m:r>
          <m:rPr>
            <m:sty m:val="p"/>
          </m:rPr>
          <m:t>,</m:t>
        </m:r>
        <m:r>
          <m:t>60</m:t>
        </m:r>
      </m:oMath>
      <w:r>
        <w:t xml:space="preserve"> m</w:t>
      </w:r>
      <w:r>
        <w:rPr>
          <w:vertAlign w:val="superscript"/>
        </w:rPr>
        <w:t xml:space="preserve">2</w:t>
      </w:r>
      <w:r>
        <w:t xml:space="preserve">. Los porcentajes del costo de no calidad y del costo de la calidad se refieren al costo unitario de cada escenario. El escenario de control no incluye costos de prevención ni de evaluación, porque en la primera losa no se registraron.</w:t>
      </w:r>
    </w:p>
    <w:p>
      <w:pPr>
        <w:pStyle w:val="Heading2"/>
      </w:pPr>
      <w:bookmarkStart w:id="202" w:name="tit139"/>
      <w:r>
        <w:t xml:space="preserve">3.4. Resultados de la simulación de Monte Carlo</w:t>
      </w:r>
      <w:bookmarkEnd w:id="202"/>
    </w:p>
    <w:p>
      <w:pPr>
        <w:pStyle w:val="FirstParagraph"/>
      </w:pPr>
      <w:r>
        <w:t xml:space="preserve">La simulación generó 20.000 escenarios con la semilla 2026. En cada uno se muestrearon los parámetros inciertos y se calcularon el escenario de control y el de tratamiento con los mismos valores de la línea base; la Tabla 49 resume los resultados. El costo unitario medio fue de Bs 278,59/m</w:t>
      </w:r>
      <w:r>
        <w:rPr>
          <w:vertAlign w:val="superscript"/>
        </w:rPr>
        <w:t xml:space="preserve">2</w:t>
      </w:r>
      <w:r>
        <w:t xml:space="preserve"> </w:t>
      </w:r>
      <w:r>
        <w:t xml:space="preserve">sin SGC y de Bs 274,48/m</w:t>
      </w:r>
      <w:r>
        <w:rPr>
          <w:vertAlign w:val="superscript"/>
        </w:rPr>
        <w:t xml:space="preserve">2</w:t>
      </w:r>
      <w:r>
        <w:t xml:space="preserve"> </w:t>
      </w:r>
      <w:r>
        <w:t xml:space="preserve">con SGC. La media del escenario de control coincidió, salvo el error de muestreo, con el precio contractual de la losa usado en la calibración, de Bs 278,65/m</w:t>
      </w:r>
      <w:r>
        <w:rPr>
          <w:vertAlign w:val="superscript"/>
        </w:rPr>
        <w:t xml:space="preserve">2</w:t>
      </w:r>
      <w:r>
        <w:t xml:space="preserve">. En la distribución acumulada, la curva del escenario con SGC quedó a la izquierda de la del escenario de control en todo su recorrido, es decir, con un costo menor para cada nivel de probabilidad (Figura 15).</w:t>
      </w:r>
    </w:p>
    <w:p>
      <w:pPr>
        <w:pStyle w:val="BodyText"/>
      </w:pPr>
      <w:r>
        <w:t xml:space="preserve">La reducción relativa del costo unitario tuvo una media de 1,47 %, una desviación estándar de 0,99 % y una mediana de 1,40 %; el 90 % central de los escenarios quedó entre -0,05 % y 3,21 % (Figura 14). Una pequeña parte de los escenarios tuvo una reducción negativa, en la que el SGC costó más de lo que ahorró, y una parte mínima alcanzó el umbral de la hipótesis general; sus probabilidades se presentan en la Sección 3.5. El error estándar de la media de</w:t>
      </w:r>
      <w:r>
        <w:t xml:space="preserve"> </w:t>
      </w:r>
      <m:oMath>
        <m:r>
          <m:t>r</m:t>
        </m:r>
      </m:oMath>
      <w:r>
        <w:t xml:space="preserve"> </w:t>
      </w:r>
      <w:r>
        <w:t xml:space="preserve">al final de las iteraciones fue de 0,0070 %, valor despreciable frente al umbral de la hipótesis; la media acumulada de</w:t>
      </w:r>
      <w:r>
        <w:t xml:space="preserve"> </w:t>
      </w:r>
      <m:oMath>
        <m:r>
          <m:t>r</m:t>
        </m:r>
      </m:oMath>
      <w:r>
        <w:t xml:space="preserve"> </w:t>
      </w:r>
      <w:r>
        <w:t xml:space="preserve">se presenta en la Figura 17.</w:t>
      </w:r>
    </w:p>
    <w:p>
      <w:pPr>
        <w:pStyle w:val="BodyText"/>
      </w:pPr>
      <w:r>
        <w:t xml:space="preserve">El costo de no calidad medio bajó de Bs 22,80 a Bs 12,58/m</w:t>
      </w:r>
      <w:r>
        <w:rPr>
          <w:vertAlign w:val="superscript"/>
        </w:rPr>
        <w:t xml:space="preserve">2</w:t>
      </w:r>
      <w:r>
        <w:t xml:space="preserve">, una reducción del 44,82 %, a cambio de un costo de la calidad medio de Bs 6,11/m</w:t>
      </w:r>
      <w:r>
        <w:rPr>
          <w:vertAlign w:val="superscript"/>
        </w:rPr>
        <w:t xml:space="preserve">2</w:t>
      </w:r>
      <w:r>
        <w:t xml:space="preserve">; el índice de desperdicio ponderado medio bajó de 8,16 % a 4,70 %. En el saldo de 2.234,60 m</w:t>
      </w:r>
      <w:r>
        <w:rPr>
          <w:vertAlign w:val="superscript"/>
        </w:rPr>
        <w:t xml:space="preserve">2</w:t>
      </w:r>
      <w:r>
        <w:t xml:space="preserve">, el ahorro esperado fue de Bs 9.177, con un intervalo entre los percentiles 5 y 95 de Bs -328 a Bs 20.328. El límite inferior negativo indica que en al menos el 5 % de los escenarios el costo del SGC superó la reducción de las pérdidas y de los retrabajos.</w:t>
      </w:r>
    </w:p>
    <w:p>
      <w:pPr>
        <w:pStyle w:val="Caption"/>
      </w:pPr>
      <w:bookmarkStart w:id="1465" w:name="tab49"/>
      <w:r>
        <w:t xml:space="preserve"/>
      </w:r>
      <w:r>
        <w:rPr>
          <w:bCs/>
          <w:b/>
        </w:rPr>
        <w:t xml:space="preserve">Tabla 49</w:t>
      </w:r>
      <w:r>
        <w:br/>
      </w:r>
      <w:r>
        <w:rPr>
          <w:iCs/>
          <w:i/>
        </w:rPr>
        <w:t xml:space="preserve">Resultados de la simulación de Monte Carlo del costo de ejecución del saldo de la losa</w:t>
      </w:r>
      <w:bookmarkEnd w:id="1465"/>
    </w:p>
    <w:tbl>
      <w:tblPr>
        <w:tblStyle w:val="Table"/>
        <w:tblW w:w="9360" w:type="dxa"/>
        <w:jc w:val="left"/>
        <w:tblLayout w:type="fixed"/>
        <w:tblCellMar>
          <w:top w:w="0" w:type="dxa"/>
          <w:left w:w="85" w:type="dxa"/>
          <w:bottom w:w="0" w:type="dxa"/>
          <w:right w:w="85" w:type="dxa"/>
        </w:tblCellMar>
        <w:tblLook w:firstRow="1" w:lastRow="0" w:firstColumn="0" w:lastColumn="0" w:noHBand="0" w:noVBand="0" w:val="0020"/>
      </w:tblPr>
      <w:tblGrid>
        <w:gridCol w:w="4582"/>
        <w:gridCol w:w="1008"/>
        <w:gridCol w:w="884"/>
        <w:gridCol w:w="964"/>
        <w:gridCol w:w="961"/>
        <w:gridCol w:w="961"/>
      </w:tblGrid>
      <w:tr>
        <w:trPr>
          <w:cantSplit/>
          <w:tblHeader w:val="true"/>
        </w:trPr>
        <w:tc>
          <w:tcPr>
            <w:tcW w:w="4582" w:type="dxa"/>
            <w:tcBorders>
              <w:top w:val="single" w:sz="8" w:space="0" w:color="000000"/>
              <w:bottom w:val="single" w:sz="4" w:space="0" w:color="000000"/>
            </w:tcBorders>
          </w:tcPr>
          <w:p>
            <w:pPr>
              <w:pStyle w:val="CeldaAPA"/>
              <w:jc w:val="center"/>
            </w:pPr>
            <w:r>
              <w:rPr>
                <w:bCs/>
                <w:b/>
              </w:rPr>
              <w:t xml:space="preserve">Indicador</w:t>
            </w:r>
          </w:p>
        </w:tc>
        <w:tc>
          <w:tcPr>
            <w:tcW w:w="1008" w:type="dxa"/>
            <w:tcBorders>
              <w:top w:val="single" w:sz="8" w:space="0" w:color="000000"/>
              <w:bottom w:val="single" w:sz="4" w:space="0" w:color="000000"/>
            </w:tcBorders>
          </w:tcPr>
          <w:p>
            <w:pPr>
              <w:pStyle w:val="CeldaAPA"/>
              <w:jc w:val="center"/>
            </w:pPr>
            <w:r>
              <w:rPr>
                <w:bCs/>
                <w:b/>
              </w:rPr>
              <w:t xml:space="preserve">Media</w:t>
            </w:r>
          </w:p>
        </w:tc>
        <w:tc>
          <w:tcPr>
            <w:tcW w:w="884" w:type="dxa"/>
            <w:tcBorders>
              <w:top w:val="single" w:sz="8" w:space="0" w:color="000000"/>
              <w:bottom w:val="single" w:sz="4" w:space="0" w:color="000000"/>
            </w:tcBorders>
          </w:tcPr>
          <w:p>
            <w:pPr>
              <w:pStyle w:val="CeldaAPA"/>
              <w:jc w:val="center"/>
            </w:pPr>
            <w:r>
              <w:rPr>
                <w:bCs/>
                <w:b/>
              </w:rPr>
              <w:t xml:space="preserve">Desv. est.</w:t>
            </w:r>
          </w:p>
        </w:tc>
        <w:tc>
          <w:tcPr>
            <w:tcW w:w="964" w:type="dxa"/>
            <w:tcBorders>
              <w:top w:val="single" w:sz="8" w:space="0" w:color="000000"/>
              <w:bottom w:val="single" w:sz="4" w:space="0" w:color="000000"/>
            </w:tcBorders>
          </w:tcPr>
          <w:p>
            <w:pPr>
              <w:pStyle w:val="CeldaAPA"/>
              <w:jc w:val="center"/>
            </w:pPr>
            <w:r>
              <w:rPr>
                <w:bCs/>
                <w:b/>
              </w:rPr>
              <w:t xml:space="preserve">P5</w:t>
            </w:r>
          </w:p>
        </w:tc>
        <w:tc>
          <w:tcPr>
            <w:tcW w:w="961" w:type="dxa"/>
            <w:tcBorders>
              <w:top w:val="single" w:sz="8" w:space="0" w:color="000000"/>
              <w:bottom w:val="single" w:sz="4" w:space="0" w:color="000000"/>
            </w:tcBorders>
          </w:tcPr>
          <w:p>
            <w:pPr>
              <w:pStyle w:val="CeldaAPA"/>
              <w:jc w:val="center"/>
            </w:pPr>
            <w:r>
              <w:rPr>
                <w:bCs/>
                <w:b/>
              </w:rPr>
              <w:t xml:space="preserve">P50</w:t>
            </w:r>
          </w:p>
        </w:tc>
        <w:tc>
          <w:tcPr>
            <w:tcW w:w="961" w:type="dxa"/>
            <w:tcBorders>
              <w:top w:val="single" w:sz="8" w:space="0" w:color="000000"/>
              <w:bottom w:val="single" w:sz="4" w:space="0" w:color="000000"/>
            </w:tcBorders>
          </w:tcPr>
          <w:p>
            <w:pPr>
              <w:pStyle w:val="CeldaAPA"/>
              <w:jc w:val="center"/>
            </w:pPr>
            <w:r>
              <w:rPr>
                <w:bCs/>
                <w:b/>
              </w:rPr>
              <w:t xml:space="preserve">P95</w:t>
            </w:r>
          </w:p>
        </w:tc>
      </w:tr>
      <w:tr>
        <w:tc>
          <w:tcPr>
            <w:tcW w:w="4582" w:type="dxa"/>
          </w:tcPr>
          <w:p>
            <w:pPr>
              <w:pStyle w:val="CeldaAPA"/>
              <w:jc w:val="left"/>
            </w:pPr>
            <w:r>
              <w:rPr/>
              <w:t xml:space="preserve">Costo unitario sin SGC (Bs/m</w:t>
            </w:r>
            <w:r>
              <w:rPr>
                <w:vertAlign w:val="superscript"/>
              </w:rPr>
              <w:t xml:space="preserve">2</w:t>
            </w:r>
            <w:r>
              <w:rPr/>
              <w:t xml:space="preserve">)</w:t>
            </w:r>
          </w:p>
        </w:tc>
        <w:tc>
          <w:tcPr>
            <w:tcW w:w="1008" w:type="dxa"/>
          </w:tcPr>
          <w:p>
            <w:pPr>
              <w:pStyle w:val="CeldaAPA"/>
              <w:jc w:val="right"/>
            </w:pPr>
            <w:r>
              <w:rPr/>
              <w:t xml:space="preserve">278,59</w:t>
            </w:r>
          </w:p>
        </w:tc>
        <w:tc>
          <w:tcPr>
            <w:tcW w:w="884" w:type="dxa"/>
          </w:tcPr>
          <w:p>
            <w:pPr>
              <w:pStyle w:val="CeldaAPA"/>
              <w:jc w:val="right"/>
            </w:pPr>
            <w:r>
              <w:rPr/>
              <w:t xml:space="preserve">3,96</w:t>
            </w:r>
          </w:p>
        </w:tc>
        <w:tc>
          <w:tcPr>
            <w:tcW w:w="964" w:type="dxa"/>
          </w:tcPr>
          <w:p>
            <w:pPr>
              <w:pStyle w:val="CeldaAPA"/>
              <w:jc w:val="right"/>
            </w:pPr>
            <w:r>
              <w:rPr/>
              <w:t xml:space="preserve">272,38</w:t>
            </w:r>
          </w:p>
        </w:tc>
        <w:tc>
          <w:tcPr>
            <w:tcW w:w="961" w:type="dxa"/>
          </w:tcPr>
          <w:p>
            <w:pPr>
              <w:pStyle w:val="CeldaAPA"/>
              <w:jc w:val="right"/>
            </w:pPr>
            <w:r>
              <w:rPr/>
              <w:t xml:space="preserve">278,40</w:t>
            </w:r>
          </w:p>
        </w:tc>
        <w:tc>
          <w:tcPr>
            <w:tcW w:w="961" w:type="dxa"/>
          </w:tcPr>
          <w:p>
            <w:pPr>
              <w:pStyle w:val="CeldaAPA"/>
              <w:jc w:val="right"/>
            </w:pPr>
            <w:r>
              <w:rPr/>
              <w:t xml:space="preserve">285,35</w:t>
            </w:r>
          </w:p>
        </w:tc>
      </w:tr>
      <w:tr>
        <w:tc>
          <w:tcPr>
            <w:tcW w:w="4582" w:type="dxa"/>
          </w:tcPr>
          <w:p>
            <w:pPr>
              <w:pStyle w:val="CeldaAPA"/>
              <w:jc w:val="left"/>
            </w:pPr>
            <w:r>
              <w:rPr/>
              <w:t xml:space="preserve">Costo unitario con SGC (Bs/m</w:t>
            </w:r>
            <w:r>
              <w:rPr>
                <w:vertAlign w:val="superscript"/>
              </w:rPr>
              <w:t xml:space="preserve">2</w:t>
            </w:r>
            <w:r>
              <w:rPr/>
              <w:t xml:space="preserve">)</w:t>
            </w:r>
          </w:p>
        </w:tc>
        <w:tc>
          <w:tcPr>
            <w:tcW w:w="1008" w:type="dxa"/>
          </w:tcPr>
          <w:p>
            <w:pPr>
              <w:pStyle w:val="CeldaAPA"/>
              <w:jc w:val="right"/>
            </w:pPr>
            <w:r>
              <w:rPr/>
              <w:t xml:space="preserve">274,48</w:t>
            </w:r>
          </w:p>
        </w:tc>
        <w:tc>
          <w:tcPr>
            <w:tcW w:w="884" w:type="dxa"/>
          </w:tcPr>
          <w:p>
            <w:pPr>
              <w:pStyle w:val="CeldaAPA"/>
              <w:jc w:val="right"/>
            </w:pPr>
            <w:r>
              <w:rPr/>
              <w:t xml:space="preserve">2,98</w:t>
            </w:r>
          </w:p>
        </w:tc>
        <w:tc>
          <w:tcPr>
            <w:tcW w:w="964" w:type="dxa"/>
          </w:tcPr>
          <w:p>
            <w:pPr>
              <w:pStyle w:val="CeldaAPA"/>
              <w:jc w:val="right"/>
            </w:pPr>
            <w:r>
              <w:rPr/>
              <w:t xml:space="preserve">269,95</w:t>
            </w:r>
          </w:p>
        </w:tc>
        <w:tc>
          <w:tcPr>
            <w:tcW w:w="961" w:type="dxa"/>
          </w:tcPr>
          <w:p>
            <w:pPr>
              <w:pStyle w:val="CeldaAPA"/>
              <w:jc w:val="right"/>
            </w:pPr>
            <w:r>
              <w:rPr/>
              <w:t xml:space="preserve">274,25</w:t>
            </w:r>
          </w:p>
        </w:tc>
        <w:tc>
          <w:tcPr>
            <w:tcW w:w="961" w:type="dxa"/>
          </w:tcPr>
          <w:p>
            <w:pPr>
              <w:pStyle w:val="CeldaAPA"/>
              <w:jc w:val="right"/>
            </w:pPr>
            <w:r>
              <w:rPr/>
              <w:t xml:space="preserve">279,73</w:t>
            </w:r>
          </w:p>
        </w:tc>
      </w:tr>
      <w:tr>
        <w:tc>
          <w:tcPr>
            <w:tcW w:w="4582" w:type="dxa"/>
          </w:tcPr>
          <w:p>
            <w:pPr>
              <w:pStyle w:val="CeldaAPA"/>
              <w:jc w:val="left"/>
            </w:pPr>
            <w:r>
              <w:rPr/>
              <w:t xml:space="preserve">Reducción del costo unitario,</w:t>
            </w:r>
            <w:r>
              <w:rPr/>
              <w:t xml:space="preserve"> </w:t>
            </w:r>
            <m:oMath>
              <m:r>
                <m:t>r</m:t>
              </m:r>
            </m:oMath>
          </w:p>
        </w:tc>
        <w:tc>
          <w:tcPr>
            <w:tcW w:w="1008" w:type="dxa"/>
          </w:tcPr>
          <w:p>
            <w:pPr>
              <w:pStyle w:val="CeldaAPA"/>
              <w:jc w:val="right"/>
            </w:pPr>
            <w:r>
              <w:rPr/>
              <w:t xml:space="preserve">1,47 %</w:t>
            </w:r>
          </w:p>
        </w:tc>
        <w:tc>
          <w:tcPr>
            <w:tcW w:w="884" w:type="dxa"/>
          </w:tcPr>
          <w:p>
            <w:pPr>
              <w:pStyle w:val="CeldaAPA"/>
              <w:jc w:val="right"/>
            </w:pPr>
            <w:r>
              <w:rPr/>
              <w:t xml:space="preserve">0,99 %</w:t>
            </w:r>
          </w:p>
        </w:tc>
        <w:tc>
          <w:tcPr>
            <w:tcW w:w="964" w:type="dxa"/>
          </w:tcPr>
          <w:p>
            <w:pPr>
              <w:pStyle w:val="CeldaAPA"/>
              <w:jc w:val="right"/>
            </w:pPr>
            <w:r>
              <w:rPr/>
              <w:t xml:space="preserve">-0,05 %</w:t>
            </w:r>
          </w:p>
        </w:tc>
        <w:tc>
          <w:tcPr>
            <w:tcW w:w="961" w:type="dxa"/>
          </w:tcPr>
          <w:p>
            <w:pPr>
              <w:pStyle w:val="CeldaAPA"/>
              <w:jc w:val="right"/>
            </w:pPr>
            <w:r>
              <w:rPr/>
              <w:t xml:space="preserve">1,40 %</w:t>
            </w:r>
          </w:p>
        </w:tc>
        <w:tc>
          <w:tcPr>
            <w:tcW w:w="961" w:type="dxa"/>
          </w:tcPr>
          <w:p>
            <w:pPr>
              <w:pStyle w:val="CeldaAPA"/>
              <w:jc w:val="right"/>
            </w:pPr>
            <w:r>
              <w:rPr/>
              <w:t xml:space="preserve">3,21 %</w:t>
            </w:r>
          </w:p>
        </w:tc>
      </w:tr>
      <w:tr>
        <w:tc>
          <w:tcPr>
            <w:tcW w:w="4582" w:type="dxa"/>
          </w:tcPr>
          <w:p>
            <w:pPr>
              <w:pStyle w:val="CeldaAPA"/>
              <w:jc w:val="left"/>
            </w:pPr>
            <w:r>
              <w:rPr/>
              <w:t xml:space="preserve">Costo de no calidad sin SGC (Bs/m</w:t>
            </w:r>
            <w:r>
              <w:rPr>
                <w:vertAlign w:val="superscript"/>
              </w:rPr>
              <w:t xml:space="preserve">2</w:t>
            </w:r>
            <w:r>
              <w:rPr/>
              <w:t xml:space="preserve">)</w:t>
            </w:r>
          </w:p>
        </w:tc>
        <w:tc>
          <w:tcPr>
            <w:tcW w:w="1008" w:type="dxa"/>
          </w:tcPr>
          <w:p>
            <w:pPr>
              <w:pStyle w:val="CeldaAPA"/>
              <w:jc w:val="right"/>
            </w:pPr>
            <w:r>
              <w:rPr/>
              <w:t xml:space="preserve">22,80</w:t>
            </w:r>
          </w:p>
        </w:tc>
        <w:tc>
          <w:tcPr>
            <w:tcW w:w="884" w:type="dxa"/>
          </w:tcPr>
          <w:p>
            <w:pPr>
              <w:pStyle w:val="CeldaAPA"/>
              <w:jc w:val="right"/>
            </w:pPr>
            <w:r>
              <w:rPr/>
              <w:t xml:space="preserve">3,96</w:t>
            </w:r>
          </w:p>
        </w:tc>
        <w:tc>
          <w:tcPr>
            <w:tcW w:w="964" w:type="dxa"/>
          </w:tcPr>
          <w:p>
            <w:pPr>
              <w:pStyle w:val="CeldaAPA"/>
              <w:jc w:val="right"/>
            </w:pPr>
            <w:r>
              <w:rPr/>
              <w:t xml:space="preserve">16,60</w:t>
            </w:r>
          </w:p>
        </w:tc>
        <w:tc>
          <w:tcPr>
            <w:tcW w:w="961" w:type="dxa"/>
          </w:tcPr>
          <w:p>
            <w:pPr>
              <w:pStyle w:val="CeldaAPA"/>
              <w:jc w:val="right"/>
            </w:pPr>
            <w:r>
              <w:rPr/>
              <w:t xml:space="preserve">22,62</w:t>
            </w:r>
          </w:p>
        </w:tc>
        <w:tc>
          <w:tcPr>
            <w:tcW w:w="961" w:type="dxa"/>
          </w:tcPr>
          <w:p>
            <w:pPr>
              <w:pStyle w:val="CeldaAPA"/>
              <w:jc w:val="right"/>
            </w:pPr>
            <w:r>
              <w:rPr/>
              <w:t xml:space="preserve">29,57</w:t>
            </w:r>
          </w:p>
        </w:tc>
      </w:tr>
      <w:tr>
        <w:tc>
          <w:tcPr>
            <w:tcW w:w="4582" w:type="dxa"/>
          </w:tcPr>
          <w:p>
            <w:pPr>
              <w:pStyle w:val="CeldaAPA"/>
              <w:jc w:val="left"/>
            </w:pPr>
            <w:r>
              <w:rPr/>
              <w:t xml:space="preserve">Costo de no calidad con SGC (Bs/m</w:t>
            </w:r>
            <w:r>
              <w:rPr>
                <w:vertAlign w:val="superscript"/>
              </w:rPr>
              <w:t xml:space="preserve">2</w:t>
            </w:r>
            <w:r>
              <w:rPr/>
              <w:t xml:space="preserve">)</w:t>
            </w:r>
          </w:p>
        </w:tc>
        <w:tc>
          <w:tcPr>
            <w:tcW w:w="1008" w:type="dxa"/>
          </w:tcPr>
          <w:p>
            <w:pPr>
              <w:pStyle w:val="CeldaAPA"/>
              <w:jc w:val="right"/>
            </w:pPr>
            <w:r>
              <w:rPr/>
              <w:t xml:space="preserve">12,58</w:t>
            </w:r>
          </w:p>
        </w:tc>
        <w:tc>
          <w:tcPr>
            <w:tcW w:w="884" w:type="dxa"/>
          </w:tcPr>
          <w:p>
            <w:pPr>
              <w:pStyle w:val="CeldaAPA"/>
              <w:jc w:val="right"/>
            </w:pPr>
            <w:r>
              <w:rPr/>
              <w:t xml:space="preserve">2,79</w:t>
            </w:r>
          </w:p>
        </w:tc>
        <w:tc>
          <w:tcPr>
            <w:tcW w:w="964" w:type="dxa"/>
          </w:tcPr>
          <w:p>
            <w:pPr>
              <w:pStyle w:val="CeldaAPA"/>
              <w:jc w:val="right"/>
            </w:pPr>
            <w:r>
              <w:rPr/>
              <w:t xml:space="preserve">8,42</w:t>
            </w:r>
          </w:p>
        </w:tc>
        <w:tc>
          <w:tcPr>
            <w:tcW w:w="961" w:type="dxa"/>
          </w:tcPr>
          <w:p>
            <w:pPr>
              <w:pStyle w:val="CeldaAPA"/>
              <w:jc w:val="right"/>
            </w:pPr>
            <w:r>
              <w:rPr/>
              <w:t xml:space="preserve">12,35</w:t>
            </w:r>
          </w:p>
        </w:tc>
        <w:tc>
          <w:tcPr>
            <w:tcW w:w="961" w:type="dxa"/>
          </w:tcPr>
          <w:p>
            <w:pPr>
              <w:pStyle w:val="CeldaAPA"/>
              <w:jc w:val="right"/>
            </w:pPr>
            <w:r>
              <w:rPr/>
              <w:t xml:space="preserve">17,60</w:t>
            </w:r>
          </w:p>
        </w:tc>
      </w:tr>
      <w:tr>
        <w:tc>
          <w:tcPr>
            <w:tcW w:w="4582" w:type="dxa"/>
          </w:tcPr>
          <w:p>
            <w:pPr>
              <w:pStyle w:val="CeldaAPA"/>
              <w:jc w:val="left"/>
            </w:pPr>
            <w:r>
              <w:rPr/>
              <w:t xml:space="preserve">Costo de la calidad del SGC (Bs/m</w:t>
            </w:r>
            <w:r>
              <w:rPr>
                <w:vertAlign w:val="superscript"/>
              </w:rPr>
              <w:t xml:space="preserve">2</w:t>
            </w:r>
            <w:r>
              <w:rPr/>
              <w:t xml:space="preserve">)</w:t>
            </w:r>
          </w:p>
        </w:tc>
        <w:tc>
          <w:tcPr>
            <w:tcW w:w="1008" w:type="dxa"/>
          </w:tcPr>
          <w:p>
            <w:pPr>
              <w:pStyle w:val="CeldaAPA"/>
              <w:jc w:val="right"/>
            </w:pPr>
            <w:r>
              <w:rPr/>
              <w:t xml:space="preserve">6,11</w:t>
            </w:r>
          </w:p>
        </w:tc>
        <w:tc>
          <w:tcPr>
            <w:tcW w:w="884" w:type="dxa"/>
          </w:tcPr>
          <w:p>
            <w:pPr>
              <w:pStyle w:val="CeldaAPA"/>
              <w:jc w:val="right"/>
            </w:pPr>
            <w:r>
              <w:rPr/>
              <w:t xml:space="preserve">1,03</w:t>
            </w:r>
          </w:p>
        </w:tc>
        <w:tc>
          <w:tcPr>
            <w:tcW w:w="964" w:type="dxa"/>
          </w:tcPr>
          <w:p>
            <w:pPr>
              <w:pStyle w:val="CeldaAPA"/>
              <w:jc w:val="right"/>
            </w:pPr>
            <w:r>
              <w:rPr/>
              <w:t xml:space="preserve">4,56</w:t>
            </w:r>
          </w:p>
        </w:tc>
        <w:tc>
          <w:tcPr>
            <w:tcW w:w="961" w:type="dxa"/>
          </w:tcPr>
          <w:p>
            <w:pPr>
              <w:pStyle w:val="CeldaAPA"/>
              <w:jc w:val="right"/>
            </w:pPr>
            <w:r>
              <w:rPr/>
              <w:t xml:space="preserve">6,04</w:t>
            </w:r>
          </w:p>
        </w:tc>
        <w:tc>
          <w:tcPr>
            <w:tcW w:w="961" w:type="dxa"/>
          </w:tcPr>
          <w:p>
            <w:pPr>
              <w:pStyle w:val="CeldaAPA"/>
              <w:jc w:val="right"/>
            </w:pPr>
            <w:r>
              <w:rPr/>
              <w:t xml:space="preserve">7,93</w:t>
            </w:r>
          </w:p>
        </w:tc>
      </w:tr>
      <w:tr>
        <w:tc>
          <w:tcPr>
            <w:tcW w:w="4582" w:type="dxa"/>
          </w:tcPr>
          <w:p>
            <w:pPr>
              <w:pStyle w:val="CeldaAPA"/>
              <w:jc w:val="left"/>
            </w:pPr>
            <w:r>
              <w:rPr/>
              <w:t xml:space="preserve">IDM ponderado sin SGC</w:t>
            </w:r>
          </w:p>
        </w:tc>
        <w:tc>
          <w:tcPr>
            <w:tcW w:w="1008" w:type="dxa"/>
          </w:tcPr>
          <w:p>
            <w:pPr>
              <w:pStyle w:val="CeldaAPA"/>
              <w:jc w:val="right"/>
            </w:pPr>
            <w:r>
              <w:rPr/>
              <w:t xml:space="preserve">8,16 %</w:t>
            </w:r>
          </w:p>
        </w:tc>
        <w:tc>
          <w:tcPr>
            <w:tcW w:w="884" w:type="dxa"/>
          </w:tcPr>
          <w:p>
            <w:pPr>
              <w:pStyle w:val="CeldaAPA"/>
              <w:jc w:val="right"/>
            </w:pPr>
            <w:r>
              <w:rPr/>
              <w:t xml:space="preserve">1,30 %</w:t>
            </w:r>
          </w:p>
        </w:tc>
        <w:tc>
          <w:tcPr>
            <w:tcW w:w="964" w:type="dxa"/>
          </w:tcPr>
          <w:p>
            <w:pPr>
              <w:pStyle w:val="CeldaAPA"/>
              <w:jc w:val="right"/>
            </w:pPr>
            <w:r>
              <w:rPr/>
              <w:t xml:space="preserve">6,08 %</w:t>
            </w:r>
          </w:p>
        </w:tc>
        <w:tc>
          <w:tcPr>
            <w:tcW w:w="961" w:type="dxa"/>
          </w:tcPr>
          <w:p>
            <w:pPr>
              <w:pStyle w:val="CeldaAPA"/>
              <w:jc w:val="right"/>
            </w:pPr>
            <w:r>
              <w:rPr/>
              <w:t xml:space="preserve">8,13 %</w:t>
            </w:r>
          </w:p>
        </w:tc>
        <w:tc>
          <w:tcPr>
            <w:tcW w:w="961" w:type="dxa"/>
          </w:tcPr>
          <w:p>
            <w:pPr>
              <w:pStyle w:val="CeldaAPA"/>
              <w:jc w:val="right"/>
            </w:pPr>
            <w:r>
              <w:rPr/>
              <w:t xml:space="preserve">10,37 %</w:t>
            </w:r>
          </w:p>
        </w:tc>
      </w:tr>
      <w:tr>
        <w:tc>
          <w:tcPr>
            <w:tcW w:w="4582" w:type="dxa"/>
          </w:tcPr>
          <w:p>
            <w:pPr>
              <w:pStyle w:val="CeldaAPA"/>
              <w:jc w:val="left"/>
            </w:pPr>
            <w:r>
              <w:rPr/>
              <w:t xml:space="preserve">IDM ponderado con SGC</w:t>
            </w:r>
          </w:p>
        </w:tc>
        <w:tc>
          <w:tcPr>
            <w:tcW w:w="1008" w:type="dxa"/>
          </w:tcPr>
          <w:p>
            <w:pPr>
              <w:pStyle w:val="CeldaAPA"/>
              <w:jc w:val="right"/>
            </w:pPr>
            <w:r>
              <w:rPr/>
              <w:t xml:space="preserve">4,70 %</w:t>
            </w:r>
          </w:p>
        </w:tc>
        <w:tc>
          <w:tcPr>
            <w:tcW w:w="884" w:type="dxa"/>
          </w:tcPr>
          <w:p>
            <w:pPr>
              <w:pStyle w:val="CeldaAPA"/>
              <w:jc w:val="right"/>
            </w:pPr>
            <w:r>
              <w:rPr/>
              <w:t xml:space="preserve">1,00 %</w:t>
            </w:r>
          </w:p>
        </w:tc>
        <w:tc>
          <w:tcPr>
            <w:tcW w:w="964" w:type="dxa"/>
          </w:tcPr>
          <w:p>
            <w:pPr>
              <w:pStyle w:val="CeldaAPA"/>
              <w:jc w:val="right"/>
            </w:pPr>
            <w:r>
              <w:rPr/>
              <w:t xml:space="preserve">3,17 %</w:t>
            </w:r>
          </w:p>
        </w:tc>
        <w:tc>
          <w:tcPr>
            <w:tcW w:w="961" w:type="dxa"/>
          </w:tcPr>
          <w:p>
            <w:pPr>
              <w:pStyle w:val="CeldaAPA"/>
              <w:jc w:val="right"/>
            </w:pPr>
            <w:r>
              <w:rPr/>
              <w:t xml:space="preserve">4,62 %</w:t>
            </w:r>
          </w:p>
        </w:tc>
        <w:tc>
          <w:tcPr>
            <w:tcW w:w="961" w:type="dxa"/>
          </w:tcPr>
          <w:p>
            <w:pPr>
              <w:pStyle w:val="CeldaAPA"/>
              <w:jc w:val="right"/>
            </w:pPr>
            <w:r>
              <w:rPr/>
              <w:t xml:space="preserve">6,46 %</w:t>
            </w:r>
          </w:p>
        </w:tc>
      </w:tr>
      <w:tr>
        <w:tc>
          <w:tcPr>
            <w:tcW w:w="4582" w:type="dxa"/>
            <w:tcBorders>
              <w:bottom w:val="single" w:sz="8" w:space="0" w:color="000000"/>
            </w:tcBorders>
          </w:tcPr>
          <w:p>
            <w:pPr>
              <w:pStyle w:val="CeldaAPA"/>
              <w:jc w:val="left"/>
            </w:pPr>
            <w:r>
              <w:rPr/>
              <w:t xml:space="preserve">Ahorro en el saldo de 2.234,60 m</w:t>
            </w:r>
            <w:r>
              <w:rPr>
                <w:vertAlign w:val="superscript"/>
              </w:rPr>
              <w:t xml:space="preserve">2</w:t>
            </w:r>
            <w:r>
              <w:rPr/>
              <w:t xml:space="preserve"> </w:t>
            </w:r>
            <w:r>
              <w:rPr/>
              <w:t xml:space="preserve">(Bs)</w:t>
            </w:r>
          </w:p>
        </w:tc>
        <w:tc>
          <w:tcPr>
            <w:tcW w:w="1008" w:type="dxa"/>
            <w:tcBorders>
              <w:bottom w:val="single" w:sz="8" w:space="0" w:color="000000"/>
            </w:tcBorders>
          </w:tcPr>
          <w:p>
            <w:pPr>
              <w:pStyle w:val="CeldaAPA"/>
              <w:jc w:val="right"/>
            </w:pPr>
            <w:r>
              <w:rPr/>
              <w:t xml:space="preserve">9.177</w:t>
            </w:r>
          </w:p>
        </w:tc>
        <w:tc>
          <w:tcPr>
            <w:tcW w:w="884" w:type="dxa"/>
            <w:tcBorders>
              <w:bottom w:val="single" w:sz="8" w:space="0" w:color="000000"/>
            </w:tcBorders>
          </w:tcPr>
          <w:p>
            <w:pPr>
              <w:pStyle w:val="CeldaAPA"/>
              <w:jc w:val="right"/>
            </w:pPr>
            <w:r>
              <w:rPr/>
              <w:t xml:space="preserve">6.296</w:t>
            </w:r>
          </w:p>
        </w:tc>
        <w:tc>
          <w:tcPr>
            <w:tcW w:w="964" w:type="dxa"/>
            <w:tcBorders>
              <w:bottom w:val="single" w:sz="8" w:space="0" w:color="000000"/>
            </w:tcBorders>
          </w:tcPr>
          <w:p>
            <w:pPr>
              <w:pStyle w:val="CeldaAPA"/>
              <w:jc w:val="right"/>
            </w:pPr>
            <w:r>
              <w:rPr/>
              <w:t xml:space="preserve">-328</w:t>
            </w:r>
          </w:p>
        </w:tc>
        <w:tc>
          <w:tcPr>
            <w:tcW w:w="961" w:type="dxa"/>
            <w:tcBorders>
              <w:bottom w:val="single" w:sz="8" w:space="0" w:color="000000"/>
            </w:tcBorders>
          </w:tcPr>
          <w:p>
            <w:pPr>
              <w:pStyle w:val="CeldaAPA"/>
              <w:jc w:val="right"/>
            </w:pPr>
            <w:r>
              <w:rPr/>
              <w:t xml:space="preserve">8.699</w:t>
            </w:r>
          </w:p>
        </w:tc>
        <w:tc>
          <w:tcPr>
            <w:tcW w:w="961" w:type="dxa"/>
            <w:tcBorders>
              <w:bottom w:val="single" w:sz="8" w:space="0" w:color="000000"/>
            </w:tcBorders>
          </w:tcPr>
          <w:p>
            <w:pPr>
              <w:pStyle w:val="CeldaAPA"/>
              <w:jc w:val="right"/>
            </w:pPr>
            <w:r>
              <w:rPr/>
              <w:t xml:space="preserve">20.328</w:t>
            </w:r>
          </w:p>
        </w:tc>
      </w:tr>
    </w:tbl>
    <w:p>
      <w:pPr>
        <w:pStyle w:val="NotaAPA"/>
      </w:pPr>
      <w:r>
        <w:rPr>
          <w:iCs/>
          <w:i/>
        </w:rPr>
        <w:t xml:space="preserve">Nota.</w:t>
      </w:r>
      <w:r>
        <w:t xml:space="preserve"> </w:t>
      </w:r>
      <w:r>
        <w:t xml:space="preserve">Elaboración propia con el modelo de costos (Anexo K); 20.000 escenarios con semilla fija y precios constantes del contrato. P5, P50 y P95: percentiles 5, 50 y 95. El ahorro en el saldo es</w:t>
      </w:r>
      <w:r>
        <w:t xml:space="preserve"> </w:t>
      </w:r>
      <m:oMath>
        <m:d>
          <m:dPr>
            <m:begChr m:val="("/>
            <m:endChr m:val=")"/>
            <m:sepChr m:val=""/>
            <m:grow/>
          </m:dPr>
          <m:e>
            <m:r>
              <m:t>C</m:t>
            </m:r>
            <m:sSub>
              <m:e>
                <m:r>
                  <m:t>U</m:t>
                </m:r>
              </m:e>
              <m:sub>
                <m:r>
                  <m:rPr>
                    <m:nor/>
                    <m:sty m:val="p"/>
                  </m:rPr>
                  <m:t>sin</m:t>
                </m:r>
              </m:sub>
            </m:sSub>
            <m:r>
              <m:rPr>
                <m:sty m:val="p"/>
              </m:rPr>
              <m:t>−</m:t>
            </m:r>
            <m:r>
              <m:t>C</m:t>
            </m:r>
            <m:sSub>
              <m:e>
                <m:r>
                  <m:t>U</m:t>
                </m:r>
              </m:e>
              <m:sub>
                <m:r>
                  <m:rPr>
                    <m:nor/>
                    <m:sty m:val="p"/>
                  </m:rPr>
                  <m:t>con</m:t>
                </m:r>
              </m:sub>
            </m:sSub>
          </m:e>
        </m:d>
        <m:r>
          <m:rPr>
            <m:sty m:val="p"/>
          </m:rPr>
          <m:t>×</m:t>
        </m:r>
        <m:r>
          <m:t>2.234</m:t>
        </m:r>
        <m:r>
          <m:rPr>
            <m:sty m:val="p"/>
          </m:rPr>
          <m:t>,</m:t>
        </m:r>
        <m:r>
          <m:t>60</m:t>
        </m:r>
      </m:oMath>
      <w:r>
        <w:t xml:space="preserve"> m</w:t>
      </w:r>
      <w:r>
        <w:rPr>
          <w:vertAlign w:val="superscript"/>
        </w:rPr>
        <w:t xml:space="preserve">2</w:t>
      </w:r>
      <w:r>
        <w:t xml:space="preserve">; un valor negativo indica que el costo del SGC superó la reducción de las pérdidas y de los retrabajos.</w:t>
      </w:r>
    </w:p>
    <w:p>
      <w:pPr>
        <w:pStyle w:val="Caption"/>
      </w:pPr>
      <w:bookmarkStart w:id="1466" w:name="fig14"/>
      <w:r>
        <w:t xml:space="preserve"/>
      </w:r>
      <w:r>
        <w:rPr>
          <w:bCs/>
          <w:b/>
        </w:rPr>
        <w:t xml:space="preserve">Figura 14</w:t>
      </w:r>
      <w:r>
        <w:br/>
      </w:r>
      <w:r>
        <w:rPr>
          <w:iCs/>
          <w:i/>
        </w:rPr>
        <w:t xml:space="preserve">Distribución de la reducción relativa del costo unitario en los escenarios simulados</w:t>
      </w:r>
      <w:bookmarkEnd w:id="1466"/>
    </w:p>
    <w:p>
      <w:pPr>
        <w:pStyle w:val="FiguraAPA"/>
      </w:pPr>
      <w:r>
        <w:drawing>
          <wp:inline>
            <wp:extent cx="5468039" cy="2951005"/>
            <wp:effectExtent b="0" l="0" r="0" t="0"/>
            <wp:docPr descr="image" title="" id="197" name="Picture"/>
            <a:graphic>
              <a:graphicData uri="http://schemas.openxmlformats.org/drawingml/2006/picture">
                <pic:pic>
                  <pic:nvPicPr>
                    <pic:cNvPr descr="/home/user/TesisSGC/07_Entregables/scripts/_trabajo_sencilla/imagenes/graf_9ef296eb97059bc3a84c.png" id="198" name="Picture"/>
                    <pic:cNvPicPr>
                      <a:picLocks noChangeArrowheads="1" noChangeAspect="1"/>
                    </pic:cNvPicPr>
                  </pic:nvPicPr>
                  <pic:blipFill>
                    <a:blip r:embed="rId196"/>
                    <a:stretch>
                      <a:fillRect/>
                    </a:stretch>
                  </pic:blipFill>
                  <pic:spPr bwMode="auto">
                    <a:xfrm>
                      <a:off x="0" y="0"/>
                      <a:ext cx="5468039" cy="2951005"/>
                    </a:xfrm>
                    <a:prstGeom prst="rect">
                      <a:avLst/>
                    </a:prstGeom>
                    <a:noFill/>
                    <a:ln w="9525">
                      <a:noFill/>
                      <a:headEnd/>
                      <a:tailEnd/>
                    </a:ln>
                  </pic:spPr>
                </pic:pic>
              </a:graphicData>
            </a:graphic>
          </wp:inline>
        </w:drawing>
      </w:r>
    </w:p>
    <w:p>
      <w:pPr>
        <w:pStyle w:val="NotaAPA"/>
      </w:pPr>
      <w:r>
        <w:rPr>
          <w:iCs/>
          <w:i/>
        </w:rPr>
        <w:t xml:space="preserve">Nota.</w:t>
      </w:r>
      <w:r>
        <w:t xml:space="preserve"> </w:t>
      </w:r>
      <w:r>
        <w:t xml:space="preserve">Elaboración propia con el modelo de costos (Anexo K); 20.000 escenarios. La línea continua indica la media de</w:t>
      </w:r>
      <w:r>
        <w:t xml:space="preserve"> </w:t>
      </w:r>
      <m:oMath>
        <m:r>
          <m:t>r</m:t>
        </m:r>
      </m:oMath>
      <w:r>
        <w:t xml:space="preserve"> </w:t>
      </w:r>
      <w:r>
        <w:t xml:space="preserve">y la discontinua, el umbral de la hipótesis general (5 %).</w:t>
      </w:r>
    </w:p>
    <w:p>
      <w:pPr>
        <w:pStyle w:val="Caption"/>
      </w:pPr>
      <w:bookmarkStart w:id="1467" w:name="fig15"/>
      <w:r>
        <w:t xml:space="preserve"/>
      </w:r>
      <w:r>
        <w:rPr>
          <w:bCs/>
          <w:b/>
        </w:rPr>
        <w:t xml:space="preserve">Figura 15</w:t>
      </w:r>
      <w:r>
        <w:br/>
      </w:r>
      <w:r>
        <w:rPr>
          <w:iCs/>
          <w:i/>
        </w:rPr>
        <w:t xml:space="preserve">Distribución acumulada del costo unitario de ejecución sin SGC y con SGC</w:t>
      </w:r>
      <w:bookmarkEnd w:id="1467"/>
    </w:p>
    <w:p>
      <w:pPr>
        <w:pStyle w:val="FiguraAPA"/>
      </w:pPr>
      <w:r>
        <w:drawing>
          <wp:inline>
            <wp:extent cx="5468039" cy="2951005"/>
            <wp:effectExtent b="0" l="0" r="0" t="0"/>
            <wp:docPr descr="image" title="" id="200" name="Picture"/>
            <a:graphic>
              <a:graphicData uri="http://schemas.openxmlformats.org/drawingml/2006/picture">
                <pic:pic>
                  <pic:nvPicPr>
                    <pic:cNvPr descr="/home/user/TesisSGC/07_Entregables/scripts/_trabajo_sencilla/imagenes/graf_1c38635263e098e8860d.png" id="201" name="Picture"/>
                    <pic:cNvPicPr>
                      <a:picLocks noChangeArrowheads="1" noChangeAspect="1"/>
                    </pic:cNvPicPr>
                  </pic:nvPicPr>
                  <pic:blipFill>
                    <a:blip r:embed="rId199"/>
                    <a:stretch>
                      <a:fillRect/>
                    </a:stretch>
                  </pic:blipFill>
                  <pic:spPr bwMode="auto">
                    <a:xfrm>
                      <a:off x="0" y="0"/>
                      <a:ext cx="5468039" cy="2951005"/>
                    </a:xfrm>
                    <a:prstGeom prst="rect">
                      <a:avLst/>
                    </a:prstGeom>
                    <a:noFill/>
                    <a:ln w="9525">
                      <a:noFill/>
                      <a:headEnd/>
                      <a:tailEnd/>
                    </a:ln>
                  </pic:spPr>
                </pic:pic>
              </a:graphicData>
            </a:graphic>
          </wp:inline>
        </w:drawing>
      </w:r>
    </w:p>
    <w:p>
      <w:pPr>
        <w:pStyle w:val="NotaAPA"/>
      </w:pPr>
      <w:r>
        <w:rPr>
          <w:iCs/>
          <w:i/>
        </w:rPr>
        <w:t xml:space="preserve">Nota.</w:t>
      </w:r>
      <w:r>
        <w:t xml:space="preserve"> </w:t>
      </w:r>
      <w:r>
        <w:t xml:space="preserve">Elaboración propia con el modelo de costos (Anexo K). La línea punteada indica el precio contractual de la losa, Bs 278,65/m</w:t>
      </w:r>
      <w:r>
        <w:rPr>
          <w:vertAlign w:val="superscript"/>
        </w:rPr>
        <w:t xml:space="preserve">2</w:t>
      </w:r>
      <w:r>
        <w:t xml:space="preserve">, que suma el precio del ítem 13 (Bs 215,68/m</w:t>
      </w:r>
      <w:r>
        <w:rPr>
          <w:vertAlign w:val="superscript"/>
        </w:rPr>
        <w:t xml:space="preserve">2</w:t>
      </w:r>
      <w:r>
        <w:t xml:space="preserve">) y el del acero de la losa medido en el ítem 8 (Bs 62,98/m</w:t>
      </w:r>
      <w:r>
        <w:rPr>
          <w:vertAlign w:val="superscript"/>
        </w:rPr>
        <w:t xml:space="preserve">2</w:t>
      </w:r>
      <w:r>
        <w:t xml:space="preserve">).</w:t>
      </w:r>
    </w:p>
    <w:p>
      <w:pPr>
        <w:pStyle w:val="Heading2"/>
      </w:pPr>
      <w:bookmarkStart w:id="203" w:name="tit140"/>
      <w:r>
        <w:t xml:space="preserve">3.5. Contraste de hipótesis</w:t>
      </w:r>
      <w:bookmarkEnd w:id="203"/>
    </w:p>
    <w:p>
      <w:pPr>
        <w:pStyle w:val="FirstParagraph"/>
      </w:pPr>
      <w:r>
        <w:t xml:space="preserve">Las probabilidades de la Tabla 50 se estimaron como la proporción de los 20.000 escenarios en que se cumplió la condición de cada hipótesis alterna, y se compararon con el criterio de 0,95 de las reglas de decisión de la Tabla 45, equivalente a un nivel de significancia de 0,05 en un contraste unilateral.</w:t>
      </w:r>
    </w:p>
    <w:p>
      <w:pPr>
        <w:pStyle w:val="BodyText"/>
      </w:pPr>
      <w:r>
        <w:t xml:space="preserve">Para la hipótesis general, la probabilidad de que la reducción del costo unitario fuera igual o mayor que el 5 % resultó de 0,0008, muy inferior al criterio de 0,95. La decisión fue, por tanto, «No se acepta H1 (se mantiene H0)»: con el umbral del 5 % planteado en la hipótesis, la evaluación</w:t>
      </w:r>
      <w:r>
        <w:t xml:space="preserve"> </w:t>
      </w:r>
      <w:r>
        <w:rPr>
          <w:iCs/>
          <w:i/>
        </w:rPr>
        <w:t xml:space="preserve">ex ante</w:t>
      </w:r>
      <w:r>
        <w:t xml:space="preserve"> </w:t>
      </w:r>
      <w:r>
        <w:t xml:space="preserve">no sustentó una reducción del costo unitario de esa magnitud. La reducción que se alcanzó con una probabilidad del 95 %, es decir, el percentil 5 de</w:t>
      </w:r>
      <w:r>
        <w:t xml:space="preserve"> </w:t>
      </w:r>
      <m:oMath>
        <m:r>
          <m:t>r</m:t>
        </m:r>
      </m:oMath>
      <w:r>
        <w:t xml:space="preserve">, fue de -0,05 %, prácticamente nula, y la probabilidad de que el SGC redujera el costo unitario en cualquier magnitud,</w:t>
      </w:r>
      <w:r>
        <w:t xml:space="preserve"> </w:t>
      </w:r>
      <m:oMath>
        <m:r>
          <m:t>P</m:t>
        </m:r>
        <m:d>
          <m:dPr>
            <m:begChr m:val="("/>
            <m:endChr m:val=")"/>
            <m:sepChr m:val=""/>
            <m:grow/>
          </m:dPr>
          <m:e>
            <m:r>
              <m:t>r</m:t>
            </m:r>
            <m:r>
              <m:rPr>
                <m:sty m:val="p"/>
              </m:rPr>
              <m:t>&gt;</m:t>
            </m:r>
            <m:r>
              <m:t>0</m:t>
            </m:r>
          </m:e>
        </m:d>
      </m:oMath>
      <w:r>
        <w:t xml:space="preserve">, fue de 0,9422.</w:t>
      </w:r>
    </w:p>
    <w:p>
      <w:pPr>
        <w:pStyle w:val="BodyText"/>
      </w:pPr>
      <w:r>
        <w:t xml:space="preserve">El resultado de la hipótesis general se explica por la composición del costo unitario de la línea base (Tabla 48). El SGC solo actúa sobre el costo de no calidad, que con los valores más probables representó el 7,12 % del costo unitario sin SGC; el resto es el costo directo teórico de construir la losa según los planos, que no depende del sistema. Además, el SGC tiene su propio costo, de Bs 4,86/m</w:t>
      </w:r>
      <w:r>
        <w:rPr>
          <w:vertAlign w:val="superscript"/>
        </w:rPr>
        <w:t xml:space="preserve">2</w:t>
      </w:r>
      <w:r>
        <w:t xml:space="preserve">, el 1,79 % del costo unitario con SGC. Por eso, aun si el sistema eliminara todo el desperdicio y todos los retrabajos, es decir, con una eficacia del 100 %, la reducción máxima teórica sería de 5,35 %, apenas superior al umbral; alcanzar el 5 % exige que el SGC elimine casi la totalidad de las pérdidas (Sección 3.6).</w:t>
      </w:r>
    </w:p>
    <w:p>
      <w:pPr>
        <w:pStyle w:val="BodyText"/>
      </w:pPr>
      <w:r>
        <w:t xml:space="preserve">Para las hipótesis específicas, la probabilidad de que el índice de desperdicio ponderado con SGC fuera menor que el de la línea base resultó de 1,0000, y la de que el costo de no calidad con SGC fuera menor que el de la línea base, de 1,0000. Las decisiones fueron «Se acepta H1» para HE1 y «Se acepta H1» para HE2. Ambas probabilidades resultaron iguales a la unidad porque el modelo asigna al SGC una eficacia positiva en todos los escenarios, con un mínimo del 10 % para cada material y para los retrabajos (Anexo K). La aceptación de HE1 y HE2 es, por tanto, condicional a que el sistema se aplique en obra, condición que se examina con el escenario de SGC no aplicado (Sección 3.6.4).</w:t>
      </w:r>
    </w:p>
    <w:p>
      <w:pPr>
        <w:pStyle w:val="Caption"/>
      </w:pPr>
      <w:bookmarkStart w:id="1468" w:name="tab50"/>
      <w:r>
        <w:t xml:space="preserve"/>
      </w:r>
      <w:r>
        <w:rPr>
          <w:bCs/>
          <w:b/>
        </w:rPr>
        <w:t xml:space="preserve">Tabla 50</w:t>
      </w:r>
      <w:r>
        <w:br/>
      </w:r>
      <w:r>
        <w:rPr>
          <w:iCs/>
          <w:i/>
        </w:rPr>
        <w:t xml:space="preserve">Contraste de las hipótesis con las reglas de decisión probabilísticas</w:t>
      </w:r>
      <w:bookmarkEnd w:id="1468"/>
    </w:p>
    <w:tbl>
      <w:tblPr>
        <w:tblStyle w:val="Table"/>
        <w:tblW w:w="9360" w:type="dxa"/>
        <w:jc w:val="left"/>
        <w:tblLayout w:type="fixed"/>
        <w:tblCellMar>
          <w:top w:w="0" w:type="dxa"/>
          <w:left w:w="85" w:type="dxa"/>
          <w:bottom w:w="0" w:type="dxa"/>
          <w:right w:w="85" w:type="dxa"/>
        </w:tblCellMar>
        <w:tblLook w:firstRow="1" w:lastRow="0" w:firstColumn="0" w:lastColumn="0" w:noHBand="0" w:noVBand="0" w:val="0020"/>
      </w:tblPr>
      <w:tblGrid>
        <w:gridCol w:w="1462"/>
        <w:gridCol w:w="3917"/>
        <w:gridCol w:w="1739"/>
        <w:gridCol w:w="2242"/>
      </w:tblGrid>
      <w:tr>
        <w:trPr>
          <w:cantSplit/>
          <w:tblHeader w:val="true"/>
        </w:trPr>
        <w:tc>
          <w:tcPr>
            <w:tcW w:w="1462" w:type="dxa"/>
            <w:tcBorders>
              <w:top w:val="single" w:sz="8" w:space="0" w:color="000000"/>
              <w:bottom w:val="single" w:sz="4" w:space="0" w:color="000000"/>
            </w:tcBorders>
          </w:tcPr>
          <w:p>
            <w:pPr>
              <w:pStyle w:val="CeldaAPA"/>
              <w:jc w:val="center"/>
            </w:pPr>
            <w:r>
              <w:rPr>
                <w:bCs/>
                <w:b/>
              </w:rPr>
              <w:t xml:space="preserve">Hipótesis</w:t>
            </w:r>
          </w:p>
        </w:tc>
        <w:tc>
          <w:tcPr>
            <w:tcW w:w="3917" w:type="dxa"/>
            <w:tcBorders>
              <w:top w:val="single" w:sz="8" w:space="0" w:color="000000"/>
              <w:bottom w:val="single" w:sz="4" w:space="0" w:color="000000"/>
            </w:tcBorders>
          </w:tcPr>
          <w:p>
            <w:pPr>
              <w:pStyle w:val="CeldaAPA"/>
              <w:jc w:val="center"/>
            </w:pPr>
            <w:r>
              <w:rPr>
                <w:bCs/>
                <w:b/>
              </w:rPr>
              <w:t xml:space="preserve">Criterio de aceptación</w:t>
            </w:r>
          </w:p>
        </w:tc>
        <w:tc>
          <w:tcPr>
            <w:tcW w:w="1739" w:type="dxa"/>
            <w:tcBorders>
              <w:top w:val="single" w:sz="8" w:space="0" w:color="000000"/>
              <w:bottom w:val="single" w:sz="4" w:space="0" w:color="000000"/>
            </w:tcBorders>
          </w:tcPr>
          <w:p>
            <w:pPr>
              <w:pStyle w:val="CeldaAPA"/>
              <w:jc w:val="center"/>
            </w:pPr>
            <w:r>
              <w:rPr>
                <w:bCs/>
                <w:b/>
              </w:rPr>
              <w:t xml:space="preserve">Probabilidad estimada</w:t>
            </w:r>
          </w:p>
        </w:tc>
        <w:tc>
          <w:tcPr>
            <w:tcW w:w="2242" w:type="dxa"/>
            <w:tcBorders>
              <w:top w:val="single" w:sz="8" w:space="0" w:color="000000"/>
              <w:bottom w:val="single" w:sz="4" w:space="0" w:color="000000"/>
            </w:tcBorders>
          </w:tcPr>
          <w:p>
            <w:pPr>
              <w:pStyle w:val="CeldaAPA"/>
              <w:jc w:val="center"/>
            </w:pPr>
            <w:r>
              <w:rPr>
                <w:bCs/>
                <w:b/>
              </w:rPr>
              <w:t xml:space="preserve">Decisión</w:t>
            </w:r>
          </w:p>
        </w:tc>
      </w:tr>
      <w:tr>
        <w:tc>
          <w:tcPr>
            <w:tcW w:w="1462" w:type="dxa"/>
          </w:tcPr>
          <w:p>
            <w:pPr>
              <w:pStyle w:val="CeldaAPA"/>
              <w:jc w:val="left"/>
            </w:pPr>
            <w:r>
              <w:rPr/>
              <w:t xml:space="preserve">General (HG)</w:t>
            </w:r>
          </w:p>
        </w:tc>
        <w:tc>
          <w:tcPr>
            <w:tcW w:w="3917" w:type="dxa"/>
          </w:tcPr>
          <w:p>
            <w:pPr>
              <w:pStyle w:val="CeldaAPA"/>
              <w:jc w:val="left"/>
            </w:pPr>
            <m:oMath>
              <m:r>
                <m:t>P</m:t>
              </m:r>
              <m:d>
                <m:dPr>
                  <m:begChr m:val="("/>
                  <m:endChr m:val=")"/>
                  <m:sepChr m:val=""/>
                  <m:grow/>
                </m:dPr>
                <m:e>
                  <m:r>
                    <m:t>r</m:t>
                  </m:r>
                  <m:r>
                    <m:rPr>
                      <m:sty m:val="p"/>
                    </m:rPr>
                    <m:t>≥</m:t>
                  </m:r>
                  <m:r>
                    <m:t>5</m:t>
                  </m:r>
                  <m:r>
                    <m:t> </m:t>
                  </m:r>
                  <m:r>
                    <m:rPr>
                      <m:sty m:val="p"/>
                    </m:rPr>
                    <m:t>%</m:t>
                  </m:r>
                </m:e>
              </m:d>
              <m:r>
                <m:rPr>
                  <m:sty m:val="p"/>
                </m:rPr>
                <m:t>≥</m:t>
              </m:r>
              <m:r>
                <m:t>0</m:t>
              </m:r>
              <m:r>
                <m:rPr>
                  <m:sty m:val="p"/>
                </m:rPr>
                <m:t>,</m:t>
              </m:r>
              <m:r>
                <m:t>95</m:t>
              </m:r>
            </m:oMath>
          </w:p>
        </w:tc>
        <w:tc>
          <w:tcPr>
            <w:tcW w:w="1739" w:type="dxa"/>
          </w:tcPr>
          <w:p>
            <w:pPr>
              <w:pStyle w:val="CeldaAPA"/>
              <w:jc w:val="left"/>
            </w:pPr>
            <w:r>
              <w:rPr/>
              <w:t xml:space="preserve">0,0008</w:t>
            </w:r>
          </w:p>
        </w:tc>
        <w:tc>
          <w:tcPr>
            <w:tcW w:w="2242" w:type="dxa"/>
          </w:tcPr>
          <w:p>
            <w:pPr>
              <w:pStyle w:val="CeldaAPA"/>
              <w:jc w:val="left"/>
            </w:pPr>
            <w:r>
              <w:rPr/>
              <w:t xml:space="preserve">No se acepta H1 (se mantiene H0)</w:t>
            </w:r>
          </w:p>
        </w:tc>
      </w:tr>
      <w:tr>
        <w:tc>
          <w:tcPr>
            <w:tcW w:w="1462" w:type="dxa"/>
          </w:tcPr>
          <w:p>
            <w:pPr>
              <w:pStyle w:val="CeldaAPA"/>
              <w:jc w:val="left"/>
            </w:pPr>
            <w:r>
              <w:rPr/>
              <w:t xml:space="preserve">Específica 1 (HE1)</w:t>
            </w:r>
          </w:p>
        </w:tc>
        <w:tc>
          <w:tcPr>
            <w:tcW w:w="3917" w:type="dxa"/>
          </w:tcPr>
          <w:p>
            <w:pPr>
              <w:pStyle w:val="CeldaAPA"/>
              <w:jc w:val="left"/>
            </w:pPr>
            <m:oMath>
              <m:r>
                <m:t>P</m:t>
              </m:r>
              <m:d>
                <m:dPr>
                  <m:begChr m:val="("/>
                  <m:endChr m:val=")"/>
                  <m:sepChr m:val=""/>
                  <m:grow/>
                </m:dPr>
                <m:e>
                  <m:r>
                    <m:t>I</m:t>
                  </m:r>
                  <m:r>
                    <m:t>D</m:t>
                  </m:r>
                  <m:sSub>
                    <m:e>
                      <m:r>
                        <m:t>M</m:t>
                      </m:r>
                    </m:e>
                    <m:sub>
                      <m:r>
                        <m:t>c</m:t>
                      </m:r>
                      <m:r>
                        <m:t>o</m:t>
                      </m:r>
                      <m:r>
                        <m:t>n</m:t>
                      </m:r>
                    </m:sub>
                  </m:sSub>
                  <m:r>
                    <m:rPr>
                      <m:sty m:val="p"/>
                    </m:rPr>
                    <m:t>&lt;</m:t>
                  </m:r>
                  <m:r>
                    <m:t>I</m:t>
                  </m:r>
                  <m:r>
                    <m:t>D</m:t>
                  </m:r>
                  <m:sSub>
                    <m:e>
                      <m:r>
                        <m:t>M</m:t>
                      </m:r>
                    </m:e>
                    <m:sub>
                      <m:r>
                        <m:t>s</m:t>
                      </m:r>
                      <m:r>
                        <m:t>i</m:t>
                      </m:r>
                      <m:r>
                        <m:t>n</m:t>
                      </m:r>
                    </m:sub>
                  </m:sSub>
                </m:e>
              </m:d>
              <m:r>
                <m:rPr>
                  <m:sty m:val="p"/>
                </m:rPr>
                <m:t>≥</m:t>
              </m:r>
              <m:r>
                <m:t>0</m:t>
              </m:r>
              <m:r>
                <m:rPr>
                  <m:sty m:val="p"/>
                </m:rPr>
                <m:t>,</m:t>
              </m:r>
              <m:r>
                <m:t>95</m:t>
              </m:r>
            </m:oMath>
          </w:p>
        </w:tc>
        <w:tc>
          <w:tcPr>
            <w:tcW w:w="1739" w:type="dxa"/>
          </w:tcPr>
          <w:p>
            <w:pPr>
              <w:pStyle w:val="CeldaAPA"/>
              <w:jc w:val="left"/>
            </w:pPr>
            <w:r>
              <w:rPr/>
              <w:t xml:space="preserve">1,0000</w:t>
            </w:r>
          </w:p>
        </w:tc>
        <w:tc>
          <w:tcPr>
            <w:tcW w:w="2242" w:type="dxa"/>
          </w:tcPr>
          <w:p>
            <w:pPr>
              <w:pStyle w:val="CeldaAPA"/>
              <w:jc w:val="left"/>
            </w:pPr>
            <w:r>
              <w:rPr/>
              <w:t xml:space="preserve">Se acepta H1</w:t>
            </w:r>
          </w:p>
        </w:tc>
      </w:tr>
      <w:tr>
        <w:tc>
          <w:tcPr>
            <w:tcW w:w="1462" w:type="dxa"/>
            <w:tcBorders>
              <w:bottom w:val="single" w:sz="8" w:space="0" w:color="000000"/>
            </w:tcBorders>
          </w:tcPr>
          <w:p>
            <w:pPr>
              <w:pStyle w:val="CeldaAPA"/>
              <w:jc w:val="left"/>
            </w:pPr>
            <w:r>
              <w:rPr/>
              <w:t xml:space="preserve">Específica 2 (HE2)</w:t>
            </w:r>
          </w:p>
        </w:tc>
        <w:tc>
          <w:tcPr>
            <w:tcW w:w="3917" w:type="dxa"/>
            <w:tcBorders>
              <w:bottom w:val="single" w:sz="8" w:space="0" w:color="000000"/>
            </w:tcBorders>
          </w:tcPr>
          <w:p>
            <w:pPr>
              <w:pStyle w:val="CeldaAPA"/>
              <w:jc w:val="left"/>
            </w:pPr>
            <m:oMath>
              <m:r>
                <m:t>P</m:t>
              </m:r>
              <m:d>
                <m:dPr>
                  <m:begChr m:val="("/>
                  <m:endChr m:val=")"/>
                  <m:sepChr m:val=""/>
                  <m:grow/>
                </m:dPr>
                <m:e>
                  <m:r>
                    <m:t>C</m:t>
                  </m:r>
                  <m:r>
                    <m:t>N</m:t>
                  </m:r>
                  <m:sSub>
                    <m:e>
                      <m:r>
                        <m:t>C</m:t>
                      </m:r>
                    </m:e>
                    <m:sub>
                      <m:r>
                        <m:t>c</m:t>
                      </m:r>
                      <m:r>
                        <m:t>o</m:t>
                      </m:r>
                      <m:r>
                        <m:t>n</m:t>
                      </m:r>
                    </m:sub>
                  </m:sSub>
                  <m:r>
                    <m:rPr>
                      <m:sty m:val="p"/>
                    </m:rPr>
                    <m:t>&lt;</m:t>
                  </m:r>
                  <m:r>
                    <m:t>C</m:t>
                  </m:r>
                  <m:r>
                    <m:t>N</m:t>
                  </m:r>
                  <m:sSub>
                    <m:e>
                      <m:r>
                        <m:t>C</m:t>
                      </m:r>
                    </m:e>
                    <m:sub>
                      <m:r>
                        <m:t>s</m:t>
                      </m:r>
                      <m:r>
                        <m:t>i</m:t>
                      </m:r>
                      <m:r>
                        <m:t>n</m:t>
                      </m:r>
                    </m:sub>
                  </m:sSub>
                </m:e>
              </m:d>
              <m:r>
                <m:rPr>
                  <m:sty m:val="p"/>
                </m:rPr>
                <m:t>≥</m:t>
              </m:r>
              <m:r>
                <m:t>0</m:t>
              </m:r>
              <m:r>
                <m:rPr>
                  <m:sty m:val="p"/>
                </m:rPr>
                <m:t>,</m:t>
              </m:r>
              <m:r>
                <m:t>95</m:t>
              </m:r>
            </m:oMath>
          </w:p>
        </w:tc>
        <w:tc>
          <w:tcPr>
            <w:tcW w:w="1739" w:type="dxa"/>
            <w:tcBorders>
              <w:bottom w:val="single" w:sz="8" w:space="0" w:color="000000"/>
            </w:tcBorders>
          </w:tcPr>
          <w:p>
            <w:pPr>
              <w:pStyle w:val="CeldaAPA"/>
              <w:jc w:val="left"/>
            </w:pPr>
            <w:r>
              <w:rPr/>
              <w:t xml:space="preserve">1,0000</w:t>
            </w:r>
          </w:p>
        </w:tc>
        <w:tc>
          <w:tcPr>
            <w:tcW w:w="2242" w:type="dxa"/>
            <w:tcBorders>
              <w:bottom w:val="single" w:sz="8" w:space="0" w:color="000000"/>
            </w:tcBorders>
          </w:tcPr>
          <w:p>
            <w:pPr>
              <w:pStyle w:val="CeldaAPA"/>
              <w:jc w:val="left"/>
            </w:pPr>
            <w:r>
              <w:rPr/>
              <w:t xml:space="preserve">Se acepta H1</w:t>
            </w:r>
          </w:p>
        </w:tc>
      </w:tr>
    </w:tbl>
    <w:p>
      <w:pPr>
        <w:pStyle w:val="NotaAPA"/>
      </w:pPr>
      <w:r>
        <w:rPr>
          <w:iCs/>
          <w:i/>
        </w:rPr>
        <w:t xml:space="preserve">Nota.</w:t>
      </w:r>
      <w:r>
        <w:t xml:space="preserve"> </w:t>
      </w:r>
      <w:r>
        <w:t xml:space="preserve">Elaboración propia con el modelo de costos (Anexo K). Probabilidad estimada: proporción de los 20.000 escenarios en que se cumple la condición de la hipótesis alterna (H1); reglas de decisión de la Tabla 45, equivalentes a un nivel de significancia de 0,05 en un contraste unilateral. H0: hipótesis nula;</w:t>
      </w:r>
      <w:r>
        <w:t xml:space="preserve"> </w:t>
      </w:r>
      <m:oMath>
        <m:r>
          <m:t>I</m:t>
        </m:r>
        <m:r>
          <m:t>D</m:t>
        </m:r>
        <m:r>
          <m:t>M</m:t>
        </m:r>
      </m:oMath>
      <w:r>
        <w:t xml:space="preserve">: índice de desperdicio ponderado;</w:t>
      </w:r>
      <w:r>
        <w:t xml:space="preserve"> </w:t>
      </w:r>
      <m:oMath>
        <m:r>
          <m:t>C</m:t>
        </m:r>
        <m:r>
          <m:t>N</m:t>
        </m:r>
        <m:r>
          <m:t>C</m:t>
        </m:r>
      </m:oMath>
      <w:r>
        <w:t xml:space="preserve">: costo de no calidad.</w:t>
      </w:r>
    </w:p>
    <w:p>
      <w:pPr>
        <w:pStyle w:val="Heading2"/>
      </w:pPr>
      <w:bookmarkStart w:id="211" w:name="tit141"/>
      <w:r>
        <w:t xml:space="preserve">3.6. Sensibilidad, punto de equilibrio y escenarios complementarios</w:t>
      </w:r>
      <w:bookmarkEnd w:id="211"/>
    </w:p>
    <w:p>
      <w:pPr>
        <w:pStyle w:val="Heading3"/>
      </w:pPr>
      <w:bookmarkStart w:id="207" w:name="tit142"/>
      <w:r>
        <w:t xml:space="preserve">3.6.1. Sensibilidad a los parámetros del modelo</w:t>
      </w:r>
      <w:bookmarkEnd w:id="207"/>
    </w:p>
    <w:p>
      <w:pPr>
        <w:pStyle w:val="FirstParagraph"/>
      </w:pPr>
      <w:r>
        <w:t xml:space="preserve">La Figura 16 muestra el resultado de llevar cada parámetro a su mínimo y a su máximo, con los demás en su valor más probable. Los parámetros que más variaron la reducción del costo unitario fueron el costo del SGC, la fracción de retrabajo sin SGC y la eficacia del SGC sobre los retrabajos, seguidos de la eficacia sobre el acero y del desperdicio de hormigón de la línea base; los parámetros de las viguetas y del EPS tuvieron el menor efecto. El costo del SGC fue el único parámetro que, en uno de sus extremos, su valor máximo, volvió negativa la reducción, y ninguno alcanzó el umbral del 5 % en su extremo favorable. La correlación de rangos de Spearman entre los valores simulados de los parámetros y</w:t>
      </w:r>
      <w:r>
        <w:t xml:space="preserve"> </w:t>
      </w:r>
      <m:oMath>
        <m:r>
          <m:t>r</m:t>
        </m:r>
      </m:oMath>
      <w:r>
        <w:t xml:space="preserve"> </w:t>
      </w:r>
      <w:r>
        <w:t xml:space="preserve">identificó los mismos tres parámetros principales: la fracción de retrabajo sin SGC, la eficacia sobre los retrabajos y el costo del SGC, este último con signo negativo (archivo</w:t>
      </w:r>
      <w:r>
        <w:t xml:space="preserve"> </w:t>
      </w:r>
      <w:r>
        <w:rPr>
          <w:rStyle w:val="VerbatimChar"/>
        </w:rPr>
        <w:t xml:space="preserve">resumen_resultados.json</w:t>
      </w:r>
      <w:r>
        <w:t xml:space="preserve"> </w:t>
      </w:r>
      <w:r>
        <w:t xml:space="preserve">del modelo).</w:t>
      </w:r>
    </w:p>
    <w:p>
      <w:pPr>
        <w:pStyle w:val="Caption"/>
      </w:pPr>
      <w:bookmarkStart w:id="1469" w:name="fig16"/>
      <w:r>
        <w:t xml:space="preserve"/>
      </w:r>
      <w:r>
        <w:rPr>
          <w:bCs/>
          <w:b/>
        </w:rPr>
        <w:t xml:space="preserve">Figura 16</w:t>
      </w:r>
      <w:r>
        <w:br/>
      </w:r>
      <w:r>
        <w:rPr>
          <w:iCs/>
          <w:i/>
        </w:rPr>
        <w:t xml:space="preserve">Sensibilidad de la reducción del costo unitario a cada parámetro del modelo</w:t>
      </w:r>
      <w:bookmarkEnd w:id="1469"/>
    </w:p>
    <w:p>
      <w:pPr>
        <w:pStyle w:val="FiguraAPA"/>
      </w:pPr>
      <w:r>
        <w:drawing>
          <wp:inline>
            <wp:extent cx="4636079" cy="4430031"/>
            <wp:effectExtent b="0" l="0" r="0" t="0"/>
            <wp:docPr descr="image" title="" id="205" name="Picture"/>
            <a:graphic>
              <a:graphicData uri="http://schemas.openxmlformats.org/drawingml/2006/picture">
                <pic:pic>
                  <pic:nvPicPr>
                    <pic:cNvPr descr="/home/user/TesisSGC/07_Entregables/scripts/_trabajo_sencilla/imagenes/graf_a6c41bd17a0d01c5c74a.png" id="206" name="Picture"/>
                    <pic:cNvPicPr>
                      <a:picLocks noChangeArrowheads="1" noChangeAspect="1"/>
                    </pic:cNvPicPr>
                  </pic:nvPicPr>
                  <pic:blipFill>
                    <a:blip r:embed="rId204"/>
                    <a:stretch>
                      <a:fillRect/>
                    </a:stretch>
                  </pic:blipFill>
                  <pic:spPr bwMode="auto">
                    <a:xfrm>
                      <a:off x="0" y="0"/>
                      <a:ext cx="4636079" cy="4430031"/>
                    </a:xfrm>
                    <a:prstGeom prst="rect">
                      <a:avLst/>
                    </a:prstGeom>
                    <a:noFill/>
                    <a:ln w="9525">
                      <a:noFill/>
                      <a:headEnd/>
                      <a:tailEnd/>
                    </a:ln>
                  </pic:spPr>
                </pic:pic>
              </a:graphicData>
            </a:graphic>
          </wp:inline>
        </w:drawing>
      </w:r>
    </w:p>
    <w:p>
      <w:pPr>
        <w:pStyle w:val="NotaAPA"/>
      </w:pPr>
      <w:r>
        <w:rPr>
          <w:iCs/>
          <w:i/>
        </w:rPr>
        <w:t xml:space="preserve">Nota.</w:t>
      </w:r>
      <w:r>
        <w:t xml:space="preserve"> </w:t>
      </w:r>
      <w:r>
        <w:t xml:space="preserve">Elaboración propia con el modelo de costos (Anexo K). Cada barra muestra la reducción</w:t>
      </w:r>
      <w:r>
        <w:t xml:space="preserve"> </w:t>
      </w:r>
      <m:oMath>
        <m:r>
          <m:t>r</m:t>
        </m:r>
      </m:oMath>
      <w:r>
        <w:t xml:space="preserve"> </w:t>
      </w:r>
      <w:r>
        <w:t xml:space="preserve">que se obtiene al llevar el parámetro a su mínimo y a su máximo, con los demás en su valor más probable. La línea continua indica el caso con los valores más probables (1,43 %) y la discontinua, el umbral de la hipótesis general (5 %). En el costo del SGC, el extremo izquierdo de la barra corresponde a su valor máximo.</w:t>
      </w:r>
    </w:p>
    <w:p>
      <w:pPr>
        <w:pStyle w:val="Heading3"/>
      </w:pPr>
      <w:bookmarkStart w:id="208" w:name="tit143"/>
      <w:r>
        <w:t xml:space="preserve">3.6.2. Punto de equilibrio de la eficacia del SGC</w:t>
      </w:r>
      <w:bookmarkEnd w:id="208"/>
    </w:p>
    <w:p>
      <w:pPr>
        <w:pStyle w:val="FirstParagraph"/>
      </w:pPr>
      <w:r>
        <w:t xml:space="preserve">Con una eficacia uniforme, igual para todos los materiales y para los retrabajos, y con los demás parámetros en su valor más probable, el SGC compensó su propio costo, es decir,</w:t>
      </w:r>
      <w:r>
        <w:t xml:space="preserve"> </w:t>
      </w:r>
      <m:oMath>
        <m:r>
          <m:t>r</m:t>
        </m:r>
        <m:r>
          <m:rPr>
            <m:sty m:val="p"/>
          </m:rPr>
          <m:t>=</m:t>
        </m:r>
        <m:r>
          <m:t>0</m:t>
        </m:r>
      </m:oMath>
      <w:r>
        <w:t xml:space="preserve">, con una eficacia de 24,8 %, y alcanzó el umbral de la hipótesis general con una eficacia de 95,1 %; con una eficacia del 100 %, la reducción fue de 5,35 %. La eficacia necesaria para alcanzar el umbral superó los máximos de todos los rangos de eficacia adoptados de la literatura, que son del 70 % para las viguetas, el EPS y el hormigón, del 80 % para el acero y del 89 % para los retrabajos (Anexo K).</w:t>
      </w:r>
    </w:p>
    <w:p>
      <w:pPr>
        <w:pStyle w:val="Heading3"/>
      </w:pPr>
      <w:bookmarkStart w:id="209" w:name="tit144"/>
      <w:r>
        <w:t xml:space="preserve">3.6.3. Robustez ante variantes de los supuestos</w:t>
      </w:r>
      <w:bookmarkEnd w:id="209"/>
    </w:p>
    <w:p>
      <w:pPr>
        <w:pStyle w:val="FirstParagraph"/>
      </w:pPr>
      <w:r>
        <w:t xml:space="preserve">La Tabla 51 presenta el resultado del modelo con variantes de los supuestos principales. En todas ellas, la probabilidad de alcanzar el umbral del 5 % fue prácticamente nula. Excluir del costo del SGC los ensayos del hormigón, que el contrato ya pone a cargo de la contratista, y suponer un desperdicio de hormigón y de acero más alto aumentaron ligeramente la reducción media, mientras que el rendimiento de mano de obra de</w:t>
      </w:r>
      <w:r>
        <w:t xml:space="preserve"> </w:t>
      </w:r>
      <w:r>
        <w:t xml:space="preserve">Alcón Aranda (2009, p. 151)</w:t>
      </w:r>
      <w:r>
        <w:t xml:space="preserve">, que reduce el factor de calibración del análisis de precios unitarios, la disminuyó. Dos variantes cambiaron el balance del sistema: con una eficacia más baja, la reducción media fue prácticamente nula y el costo disminuyó solo en cerca de la mitad de los escenarios; con el costo del SGC duplicado, la reducción media fue negativa y el costo disminuyó en menos de un tercio de los escenarios.</w:t>
      </w:r>
    </w:p>
    <w:p>
      <w:pPr>
        <w:pStyle w:val="Caption"/>
      </w:pPr>
      <w:bookmarkStart w:id="1470" w:name="tab51"/>
      <w:r>
        <w:t xml:space="preserve"/>
      </w:r>
      <w:r>
        <w:rPr>
          <w:bCs/>
          <w:b/>
        </w:rPr>
        <w:t xml:space="preserve">Tabla 51</w:t>
      </w:r>
      <w:r>
        <w:br/>
      </w:r>
      <w:r>
        <w:rPr>
          <w:iCs/>
          <w:i/>
        </w:rPr>
        <w:t xml:space="preserve">Robustez del resultado ante variantes de los supuestos principales</w:t>
      </w:r>
      <w:bookmarkEnd w:id="1470"/>
    </w:p>
    <w:tbl>
      <w:tblPr>
        <w:tblStyle w:val="Table"/>
        <w:tblW w:w="9360" w:type="dxa"/>
        <w:jc w:val="left"/>
        <w:tblLayout w:type="fixed"/>
        <w:tblCellMar>
          <w:top w:w="0" w:type="dxa"/>
          <w:left w:w="85" w:type="dxa"/>
          <w:bottom w:w="0" w:type="dxa"/>
          <w:right w:w="85" w:type="dxa"/>
        </w:tblCellMar>
        <w:tblLook w:firstRow="1" w:lastRow="0" w:firstColumn="0" w:lastColumn="0" w:noHBand="0" w:noVBand="0" w:val="0020"/>
      </w:tblPr>
      <w:tblGrid>
        <w:gridCol w:w="4285"/>
        <w:gridCol w:w="964"/>
        <w:gridCol w:w="954"/>
        <w:gridCol w:w="1124"/>
        <w:gridCol w:w="836"/>
        <w:gridCol w:w="1197"/>
      </w:tblGrid>
      <w:tr>
        <w:trPr>
          <w:cantSplit/>
          <w:tblHeader w:val="true"/>
        </w:trPr>
        <w:tc>
          <w:tcPr>
            <w:tcW w:w="4285" w:type="dxa"/>
            <w:tcBorders>
              <w:top w:val="single" w:sz="8" w:space="0" w:color="000000"/>
              <w:bottom w:val="single" w:sz="4" w:space="0" w:color="000000"/>
            </w:tcBorders>
          </w:tcPr>
          <w:p>
            <w:pPr>
              <w:pStyle w:val="CeldaAPA"/>
              <w:jc w:val="center"/>
            </w:pPr>
            <w:r>
              <w:rPr>
                <w:bCs/>
                <w:b/>
              </w:rPr>
              <w:t xml:space="preserve">Variante</w:t>
            </w:r>
          </w:p>
        </w:tc>
        <w:tc>
          <w:tcPr>
            <w:tcW w:w="964" w:type="dxa"/>
            <w:tcBorders>
              <w:top w:val="single" w:sz="8" w:space="0" w:color="000000"/>
              <w:bottom w:val="single" w:sz="4" w:space="0" w:color="000000"/>
            </w:tcBorders>
          </w:tcPr>
          <w:p>
            <w:pPr>
              <w:pStyle w:val="CeldaAPA"/>
              <w:jc w:val="center"/>
            </w:pPr>
            <m:oMath>
              <m:r>
                <m:t>r</m:t>
              </m:r>
            </m:oMath>
            <w:r>
              <w:rPr>
                <w:bCs/>
                <w:b/>
              </w:rPr>
              <w:t xml:space="preserve"> </w:t>
            </w:r>
            <w:r>
              <w:rPr>
                <w:bCs/>
                <w:b/>
              </w:rPr>
              <w:t xml:space="preserve">media</w:t>
            </w:r>
          </w:p>
        </w:tc>
        <w:tc>
          <w:tcPr>
            <w:tcW w:w="954" w:type="dxa"/>
            <w:tcBorders>
              <w:top w:val="single" w:sz="8" w:space="0" w:color="000000"/>
              <w:bottom w:val="single" w:sz="4" w:space="0" w:color="000000"/>
            </w:tcBorders>
          </w:tcPr>
          <w:p>
            <w:pPr>
              <w:pStyle w:val="CeldaAPA"/>
              <w:jc w:val="center"/>
            </w:pPr>
            <m:oMath>
              <m:r>
                <m:t>r</m:t>
              </m:r>
            </m:oMath>
            <w:r>
              <w:rPr>
                <w:bCs/>
                <w:b/>
              </w:rPr>
              <w:t xml:space="preserve"> </w:t>
            </w:r>
            <w:r>
              <w:rPr>
                <w:bCs/>
                <w:b/>
              </w:rPr>
              <w:t xml:space="preserve">P5</w:t>
            </w:r>
          </w:p>
        </w:tc>
        <w:tc>
          <w:tcPr>
            <w:tcW w:w="1124" w:type="dxa"/>
            <w:tcBorders>
              <w:top w:val="single" w:sz="8" w:space="0" w:color="000000"/>
              <w:bottom w:val="single" w:sz="4" w:space="0" w:color="000000"/>
            </w:tcBorders>
          </w:tcPr>
          <w:p>
            <w:pPr>
              <w:pStyle w:val="CeldaAPA"/>
              <w:jc w:val="center"/>
            </w:pPr>
            <m:oMath>
              <m:r>
                <m:t>P</m:t>
              </m:r>
              <m:d>
                <m:dPr>
                  <m:begChr m:val="("/>
                  <m:endChr m:val=")"/>
                  <m:sepChr m:val=""/>
                  <m:grow/>
                </m:dPr>
                <m:e>
                  <m:r>
                    <m:t>r</m:t>
                  </m:r>
                  <m:r>
                    <m:rPr>
                      <m:sty m:val="p"/>
                    </m:rPr>
                    <m:t>&gt;</m:t>
                  </m:r>
                  <m:r>
                    <m:t>0</m:t>
                  </m:r>
                </m:e>
              </m:d>
            </m:oMath>
          </w:p>
        </w:tc>
        <w:tc>
          <w:tcPr>
            <w:tcW w:w="836" w:type="dxa"/>
            <w:tcBorders>
              <w:top w:val="single" w:sz="8" w:space="0" w:color="000000"/>
              <w:bottom w:val="single" w:sz="4" w:space="0" w:color="000000"/>
            </w:tcBorders>
          </w:tcPr>
          <w:p>
            <w:pPr>
              <w:pStyle w:val="CeldaAPA"/>
              <w:jc w:val="center"/>
            </w:pPr>
            <m:oMath>
              <m:r>
                <m:t>P</m:t>
              </m:r>
              <m:d>
                <m:dPr>
                  <m:begChr m:val="("/>
                  <m:endChr m:val=")"/>
                  <m:sepChr m:val=""/>
                  <m:grow/>
                </m:dPr>
                <m:e>
                  <m:r>
                    <m:t>r</m:t>
                  </m:r>
                  <m:r>
                    <m:rPr>
                      <m:sty m:val="p"/>
                    </m:rPr>
                    <m:t>≥</m:t>
                  </m:r>
                  <m:r>
                    <m:t>5</m:t>
                  </m:r>
                  <m:r>
                    <m:t> </m:t>
                  </m:r>
                  <m:r>
                    <m:rPr>
                      <m:sty m:val="p"/>
                    </m:rPr>
                    <m:t>%</m:t>
                  </m:r>
                </m:e>
              </m:d>
            </m:oMath>
          </w:p>
        </w:tc>
        <w:tc>
          <w:tcPr>
            <w:tcW w:w="1197" w:type="dxa"/>
            <w:tcBorders>
              <w:top w:val="single" w:sz="8" w:space="0" w:color="000000"/>
              <w:bottom w:val="single" w:sz="4" w:space="0" w:color="000000"/>
            </w:tcBorders>
          </w:tcPr>
          <w:p>
            <w:pPr>
              <w:pStyle w:val="CeldaAPA"/>
              <w:jc w:val="center"/>
            </w:pPr>
            <m:oMath>
              <m:r>
                <m:t>r</m:t>
              </m:r>
            </m:oMath>
            <w:r>
              <w:rPr>
                <w:bCs/>
                <w:b/>
              </w:rPr>
              <w:t xml:space="preserve"> </w:t>
            </w:r>
            <w:r>
              <w:rPr>
                <w:bCs/>
                <w:b/>
              </w:rPr>
              <w:t xml:space="preserve">con eficacia 100 %</w:t>
            </w:r>
          </w:p>
        </w:tc>
      </w:tr>
      <w:tr>
        <w:tc>
          <w:tcPr>
            <w:tcW w:w="4285" w:type="dxa"/>
          </w:tcPr>
          <w:p>
            <w:pPr>
              <w:pStyle w:val="CeldaAPA"/>
              <w:jc w:val="left"/>
            </w:pPr>
            <w:r>
              <w:rPr/>
              <w:t xml:space="preserve">Caso principal</w:t>
            </w:r>
          </w:p>
        </w:tc>
        <w:tc>
          <w:tcPr>
            <w:tcW w:w="964" w:type="dxa"/>
          </w:tcPr>
          <w:p>
            <w:pPr>
              <w:pStyle w:val="CeldaAPA"/>
              <w:jc w:val="right"/>
            </w:pPr>
            <w:r>
              <w:rPr/>
              <w:t xml:space="preserve">1,47 %</w:t>
            </w:r>
          </w:p>
        </w:tc>
        <w:tc>
          <w:tcPr>
            <w:tcW w:w="954" w:type="dxa"/>
          </w:tcPr>
          <w:p>
            <w:pPr>
              <w:pStyle w:val="CeldaAPA"/>
              <w:jc w:val="right"/>
            </w:pPr>
            <w:r>
              <w:rPr/>
              <w:t xml:space="preserve">-0,05 %</w:t>
            </w:r>
          </w:p>
        </w:tc>
        <w:tc>
          <w:tcPr>
            <w:tcW w:w="1124" w:type="dxa"/>
          </w:tcPr>
          <w:p>
            <w:pPr>
              <w:pStyle w:val="CeldaAPA"/>
              <w:jc w:val="right"/>
            </w:pPr>
            <w:r>
              <w:rPr/>
              <w:t xml:space="preserve">0,942</w:t>
            </w:r>
          </w:p>
        </w:tc>
        <w:tc>
          <w:tcPr>
            <w:tcW w:w="836" w:type="dxa"/>
          </w:tcPr>
          <w:p>
            <w:pPr>
              <w:pStyle w:val="CeldaAPA"/>
              <w:jc w:val="right"/>
            </w:pPr>
            <w:r>
              <w:rPr/>
              <w:t xml:space="preserve">0,001</w:t>
            </w:r>
          </w:p>
        </w:tc>
        <w:tc>
          <w:tcPr>
            <w:tcW w:w="1197" w:type="dxa"/>
          </w:tcPr>
          <w:p>
            <w:pPr>
              <w:pStyle w:val="CeldaAPA"/>
              <w:jc w:val="right"/>
            </w:pPr>
            <w:r>
              <w:rPr/>
              <w:t xml:space="preserve">5,35 %</w:t>
            </w:r>
          </w:p>
        </w:tc>
      </w:tr>
      <w:tr>
        <w:tc>
          <w:tcPr>
            <w:tcW w:w="4285" w:type="dxa"/>
          </w:tcPr>
          <w:p>
            <w:pPr>
              <w:pStyle w:val="CeldaAPA"/>
              <w:jc w:val="left"/>
            </w:pPr>
            <w:r>
              <w:rPr/>
              <w:t xml:space="preserve">Sin ensayos de hormigón en el costo del SGC (obligación contractual)</w:t>
            </w:r>
          </w:p>
        </w:tc>
        <w:tc>
          <w:tcPr>
            <w:tcW w:w="964" w:type="dxa"/>
          </w:tcPr>
          <w:p>
            <w:pPr>
              <w:pStyle w:val="CeldaAPA"/>
              <w:jc w:val="right"/>
            </w:pPr>
            <w:r>
              <w:rPr/>
              <w:t xml:space="preserve">1,67 %</w:t>
            </w:r>
          </w:p>
        </w:tc>
        <w:tc>
          <w:tcPr>
            <w:tcW w:w="954" w:type="dxa"/>
          </w:tcPr>
          <w:p>
            <w:pPr>
              <w:pStyle w:val="CeldaAPA"/>
              <w:jc w:val="right"/>
            </w:pPr>
            <w:r>
              <w:rPr/>
              <w:t xml:space="preserve">0,15 %</w:t>
            </w:r>
          </w:p>
        </w:tc>
        <w:tc>
          <w:tcPr>
            <w:tcW w:w="1124" w:type="dxa"/>
          </w:tcPr>
          <w:p>
            <w:pPr>
              <w:pStyle w:val="CeldaAPA"/>
              <w:jc w:val="right"/>
            </w:pPr>
            <w:r>
              <w:rPr/>
              <w:t xml:space="preserve">0,968</w:t>
            </w:r>
          </w:p>
        </w:tc>
        <w:tc>
          <w:tcPr>
            <w:tcW w:w="836" w:type="dxa"/>
          </w:tcPr>
          <w:p>
            <w:pPr>
              <w:pStyle w:val="CeldaAPA"/>
              <w:jc w:val="right"/>
            </w:pPr>
            <w:r>
              <w:rPr/>
              <w:t xml:space="preserve">0,001</w:t>
            </w:r>
          </w:p>
        </w:tc>
        <w:tc>
          <w:tcPr>
            <w:tcW w:w="1197" w:type="dxa"/>
          </w:tcPr>
          <w:p>
            <w:pPr>
              <w:pStyle w:val="CeldaAPA"/>
              <w:jc w:val="right"/>
            </w:pPr>
            <w:r>
              <w:rPr/>
              <w:t xml:space="preserve">5,55 %</w:t>
            </w:r>
          </w:p>
        </w:tc>
      </w:tr>
      <w:tr>
        <w:tc>
          <w:tcPr>
            <w:tcW w:w="4285" w:type="dxa"/>
          </w:tcPr>
          <w:p>
            <w:pPr>
              <w:pStyle w:val="CeldaAPA"/>
              <w:jc w:val="left"/>
            </w:pPr>
            <w:r>
              <w:rPr/>
              <w:t xml:space="preserve">Mano de obra del APU según Alcón (2009): 1,00 h/m² de albañil y de ayudante</w:t>
            </w:r>
          </w:p>
        </w:tc>
        <w:tc>
          <w:tcPr>
            <w:tcW w:w="964" w:type="dxa"/>
          </w:tcPr>
          <w:p>
            <w:pPr>
              <w:pStyle w:val="CeldaAPA"/>
              <w:jc w:val="right"/>
            </w:pPr>
            <w:r>
              <w:rPr/>
              <w:t xml:space="preserve">1,26 %</w:t>
            </w:r>
          </w:p>
        </w:tc>
        <w:tc>
          <w:tcPr>
            <w:tcW w:w="954" w:type="dxa"/>
          </w:tcPr>
          <w:p>
            <w:pPr>
              <w:pStyle w:val="CeldaAPA"/>
              <w:jc w:val="right"/>
            </w:pPr>
            <w:r>
              <w:rPr/>
              <w:t xml:space="preserve">-0,23 %</w:t>
            </w:r>
          </w:p>
        </w:tc>
        <w:tc>
          <w:tcPr>
            <w:tcW w:w="1124" w:type="dxa"/>
          </w:tcPr>
          <w:p>
            <w:pPr>
              <w:pStyle w:val="CeldaAPA"/>
              <w:jc w:val="right"/>
            </w:pPr>
            <w:r>
              <w:rPr/>
              <w:t xml:space="preserve">0,912</w:t>
            </w:r>
          </w:p>
        </w:tc>
        <w:tc>
          <w:tcPr>
            <w:tcW w:w="836" w:type="dxa"/>
          </w:tcPr>
          <w:p>
            <w:pPr>
              <w:pStyle w:val="CeldaAPA"/>
              <w:jc w:val="right"/>
            </w:pPr>
            <w:r>
              <w:rPr/>
              <w:t xml:space="preserve">0,000</w:t>
            </w:r>
          </w:p>
        </w:tc>
        <w:tc>
          <w:tcPr>
            <w:tcW w:w="1197" w:type="dxa"/>
          </w:tcPr>
          <w:p>
            <w:pPr>
              <w:pStyle w:val="CeldaAPA"/>
              <w:jc w:val="right"/>
            </w:pPr>
            <w:r>
              <w:rPr/>
              <w:t xml:space="preserve">4,92 %</w:t>
            </w:r>
          </w:p>
        </w:tc>
      </w:tr>
      <w:tr>
        <w:tc>
          <w:tcPr>
            <w:tcW w:w="4285" w:type="dxa"/>
          </w:tcPr>
          <w:p>
            <w:pPr>
              <w:pStyle w:val="CeldaAPA"/>
              <w:jc w:val="left"/>
            </w:pPr>
            <w:r>
              <w:rPr/>
              <w:t xml:space="preserve">Eficacia del SGC más baja (moda y máximo reducidos)</w:t>
            </w:r>
          </w:p>
        </w:tc>
        <w:tc>
          <w:tcPr>
            <w:tcW w:w="964" w:type="dxa"/>
          </w:tcPr>
          <w:p>
            <w:pPr>
              <w:pStyle w:val="CeldaAPA"/>
              <w:jc w:val="right"/>
            </w:pPr>
            <w:r>
              <w:rPr/>
              <w:t xml:space="preserve">0,06 %</w:t>
            </w:r>
          </w:p>
        </w:tc>
        <w:tc>
          <w:tcPr>
            <w:tcW w:w="954" w:type="dxa"/>
          </w:tcPr>
          <w:p>
            <w:pPr>
              <w:pStyle w:val="CeldaAPA"/>
              <w:jc w:val="right"/>
            </w:pPr>
            <w:r>
              <w:rPr/>
              <w:t xml:space="preserve">-0,97 %</w:t>
            </w:r>
          </w:p>
        </w:tc>
        <w:tc>
          <w:tcPr>
            <w:tcW w:w="1124" w:type="dxa"/>
          </w:tcPr>
          <w:p>
            <w:pPr>
              <w:pStyle w:val="CeldaAPA"/>
              <w:jc w:val="right"/>
            </w:pPr>
            <w:r>
              <w:rPr/>
              <w:t xml:space="preserve">0,527</w:t>
            </w:r>
          </w:p>
        </w:tc>
        <w:tc>
          <w:tcPr>
            <w:tcW w:w="836" w:type="dxa"/>
          </w:tcPr>
          <w:p>
            <w:pPr>
              <w:pStyle w:val="CeldaAPA"/>
              <w:jc w:val="right"/>
            </w:pPr>
            <w:r>
              <w:rPr/>
              <w:t xml:space="preserve">0,000</w:t>
            </w:r>
          </w:p>
        </w:tc>
        <w:tc>
          <w:tcPr>
            <w:tcW w:w="1197" w:type="dxa"/>
          </w:tcPr>
          <w:p>
            <w:pPr>
              <w:pStyle w:val="CeldaAPA"/>
              <w:jc w:val="right"/>
            </w:pPr>
            <w:r>
              <w:rPr/>
              <w:t xml:space="preserve">5,35 %</w:t>
            </w:r>
          </w:p>
        </w:tc>
      </w:tr>
      <w:tr>
        <w:tc>
          <w:tcPr>
            <w:tcW w:w="4285" w:type="dxa"/>
          </w:tcPr>
          <w:p>
            <w:pPr>
              <w:pStyle w:val="CeldaAPA"/>
              <w:jc w:val="left"/>
            </w:pPr>
            <w:r>
              <w:rPr/>
              <w:t xml:space="preserve">Costo del SGC duplicado</w:t>
            </w:r>
          </w:p>
        </w:tc>
        <w:tc>
          <w:tcPr>
            <w:tcW w:w="964" w:type="dxa"/>
          </w:tcPr>
          <w:p>
            <w:pPr>
              <w:pStyle w:val="CeldaAPA"/>
              <w:jc w:val="right"/>
            </w:pPr>
            <w:r>
              <w:rPr/>
              <w:t xml:space="preserve">-0,73 %</w:t>
            </w:r>
          </w:p>
        </w:tc>
        <w:tc>
          <w:tcPr>
            <w:tcW w:w="954" w:type="dxa"/>
          </w:tcPr>
          <w:p>
            <w:pPr>
              <w:pStyle w:val="CeldaAPA"/>
              <w:jc w:val="right"/>
            </w:pPr>
            <w:r>
              <w:rPr/>
              <w:t xml:space="preserve">-2,65 %</w:t>
            </w:r>
          </w:p>
        </w:tc>
        <w:tc>
          <w:tcPr>
            <w:tcW w:w="1124" w:type="dxa"/>
          </w:tcPr>
          <w:p>
            <w:pPr>
              <w:pStyle w:val="CeldaAPA"/>
              <w:jc w:val="right"/>
            </w:pPr>
            <w:r>
              <w:rPr/>
              <w:t xml:space="preserve">0,266</w:t>
            </w:r>
          </w:p>
        </w:tc>
        <w:tc>
          <w:tcPr>
            <w:tcW w:w="836" w:type="dxa"/>
          </w:tcPr>
          <w:p>
            <w:pPr>
              <w:pStyle w:val="CeldaAPA"/>
              <w:jc w:val="right"/>
            </w:pPr>
            <w:r>
              <w:rPr/>
              <w:t xml:space="preserve">0,000</w:t>
            </w:r>
          </w:p>
        </w:tc>
        <w:tc>
          <w:tcPr>
            <w:tcW w:w="1197" w:type="dxa"/>
          </w:tcPr>
          <w:p>
            <w:pPr>
              <w:pStyle w:val="CeldaAPA"/>
              <w:jc w:val="right"/>
            </w:pPr>
            <w:r>
              <w:rPr/>
              <w:t xml:space="preserve">3,58 %</w:t>
            </w:r>
          </w:p>
        </w:tc>
      </w:tr>
      <w:tr>
        <w:tc>
          <w:tcPr>
            <w:tcW w:w="4285" w:type="dxa"/>
            <w:tcBorders>
              <w:bottom w:val="single" w:sz="8" w:space="0" w:color="000000"/>
            </w:tcBorders>
          </w:tcPr>
          <w:p>
            <w:pPr>
              <w:pStyle w:val="CeldaAPA"/>
              <w:jc w:val="left"/>
            </w:pPr>
            <w:r>
              <w:rPr/>
              <w:t xml:space="preserve">Desperdicio de hormigón y acero más alto (moda desplazada al máximo)</w:t>
            </w:r>
          </w:p>
        </w:tc>
        <w:tc>
          <w:tcPr>
            <w:tcW w:w="964" w:type="dxa"/>
            <w:tcBorders>
              <w:bottom w:val="single" w:sz="8" w:space="0" w:color="000000"/>
            </w:tcBorders>
          </w:tcPr>
          <w:p>
            <w:pPr>
              <w:pStyle w:val="CeldaAPA"/>
              <w:jc w:val="right"/>
            </w:pPr>
            <w:r>
              <w:rPr/>
              <w:t xml:space="preserve">1,70 %</w:t>
            </w:r>
          </w:p>
        </w:tc>
        <w:tc>
          <w:tcPr>
            <w:tcW w:w="954" w:type="dxa"/>
            <w:tcBorders>
              <w:bottom w:val="single" w:sz="8" w:space="0" w:color="000000"/>
            </w:tcBorders>
          </w:tcPr>
          <w:p>
            <w:pPr>
              <w:pStyle w:val="CeldaAPA"/>
              <w:jc w:val="right"/>
            </w:pPr>
            <w:r>
              <w:rPr/>
              <w:t xml:space="preserve">0,13 %</w:t>
            </w:r>
          </w:p>
        </w:tc>
        <w:tc>
          <w:tcPr>
            <w:tcW w:w="1124" w:type="dxa"/>
            <w:tcBorders>
              <w:bottom w:val="single" w:sz="8" w:space="0" w:color="000000"/>
            </w:tcBorders>
          </w:tcPr>
          <w:p>
            <w:pPr>
              <w:pStyle w:val="CeldaAPA"/>
              <w:jc w:val="right"/>
            </w:pPr>
            <w:r>
              <w:rPr/>
              <w:t xml:space="preserve">0,964</w:t>
            </w:r>
          </w:p>
        </w:tc>
        <w:tc>
          <w:tcPr>
            <w:tcW w:w="836" w:type="dxa"/>
            <w:tcBorders>
              <w:bottom w:val="single" w:sz="8" w:space="0" w:color="000000"/>
            </w:tcBorders>
          </w:tcPr>
          <w:p>
            <w:pPr>
              <w:pStyle w:val="CeldaAPA"/>
              <w:jc w:val="right"/>
            </w:pPr>
            <w:r>
              <w:rPr/>
              <w:t xml:space="preserve">0,001</w:t>
            </w:r>
          </w:p>
        </w:tc>
        <w:tc>
          <w:tcPr>
            <w:tcW w:w="1197" w:type="dxa"/>
            <w:tcBorders>
              <w:bottom w:val="single" w:sz="8" w:space="0" w:color="000000"/>
            </w:tcBorders>
          </w:tcPr>
          <w:p>
            <w:pPr>
              <w:pStyle w:val="CeldaAPA"/>
              <w:jc w:val="right"/>
            </w:pPr>
            <w:r>
              <w:rPr/>
              <w:t xml:space="preserve">6,98 %</w:t>
            </w:r>
          </w:p>
        </w:tc>
      </w:tr>
    </w:tbl>
    <w:p>
      <w:pPr>
        <w:pStyle w:val="NotaAPA"/>
      </w:pPr>
      <w:r>
        <w:rPr>
          <w:iCs/>
          <w:i/>
        </w:rPr>
        <w:t xml:space="preserve">Nota.</w:t>
      </w:r>
      <w:r>
        <w:t xml:space="preserve"> </w:t>
      </w:r>
      <w:r>
        <w:t xml:space="preserve">Elaboración propia con el modelo de costos y el programa</w:t>
      </w:r>
      <w:r>
        <w:t xml:space="preserve"> </w:t>
      </w:r>
      <w:r>
        <w:rPr>
          <w:rStyle w:val="VerbatimChar"/>
        </w:rPr>
        <w:t xml:space="preserve">variantes.py</w:t>
      </w:r>
      <w:r>
        <w:t xml:space="preserve"> </w:t>
      </w:r>
      <w:r>
        <w:t xml:space="preserve">de la carpeta del modelo (Anexo K); cada variante repite las 20.000 iteraciones con la misma semilla. Caso principal: parámetros del Anexo K. Sin ensayos de hormigón: se excluye su costo del SGC, porque el contrato pone los ensayos a cargo de la contratista</w:t>
      </w:r>
      <w:r>
        <w:t xml:space="preserve"> </w:t>
      </w:r>
      <w:r>
        <w:t xml:space="preserve">(UATF, 2025, p. 102)</w:t>
      </w:r>
      <w:r>
        <w:t xml:space="preserve">. Mano de obra según</w:t>
      </w:r>
      <w:r>
        <w:t xml:space="preserve"> </w:t>
      </w:r>
      <w:r>
        <w:t xml:space="preserve">Alcón Aranda (2009, p. 151)</w:t>
      </w:r>
      <w:r>
        <w:t xml:space="preserve">: rendimiento de 1,00 h/m</w:t>
      </w:r>
      <w:r>
        <w:rPr>
          <w:vertAlign w:val="superscript"/>
        </w:rPr>
        <w:t xml:space="preserve">2</w:t>
      </w:r>
      <w:r>
        <w:t xml:space="preserve"> </w:t>
      </w:r>
      <w:r>
        <w:t xml:space="preserve">de albañil que reporta el autor, aplicado también al ayudante en el análisis de precios unitarios de referencia del ítem 13, lo que reduce el factor de calibración</w:t>
      </w:r>
      <w:r>
        <w:t xml:space="preserve"> </w:t>
      </w:r>
      <m:oMath>
        <m:r>
          <m:t>κ</m:t>
        </m:r>
      </m:oMath>
      <w:r>
        <w:t xml:space="preserve"> </w:t>
      </w:r>
      <w:r>
        <w:t xml:space="preserve">y el precio de valoración de los materiales. Eficacia más baja: la moda de cada eficacia se desplaza a la mitad de la distancia entre el mínimo y la moda original, y el máximo se iguala a la moda original. Costo del SGC duplicado: mínimo, moda y máximo de cada componente multiplicados por dos. Desperdicio más alto: la moda del desperdicio de hormigón y de acero se desplaza al punto medio entre la moda original y el máximo. La última columna es la reducción con una eficacia del 100 %, calculada con los valores más probables.</w:t>
      </w:r>
    </w:p>
    <w:p>
      <w:pPr>
        <w:pStyle w:val="Heading3"/>
      </w:pPr>
      <w:bookmarkStart w:id="210" w:name="tit145"/>
      <w:r>
        <w:t xml:space="preserve">3.6.4. Escenarios complementarios</w:t>
      </w:r>
      <w:bookmarkEnd w:id="210"/>
    </w:p>
    <w:p>
      <w:pPr>
        <w:pStyle w:val="FirstParagraph"/>
      </w:pPr>
      <w:r>
        <w:t xml:space="preserve">En el escenario de SGC no aplicado, el sistema se pagó, pero no se aplicó en obra en el 15 % de los escenarios, con una eficacia nula. La reducción media bajó a 0,90 % y la probabilidad de que el costo disminuyera, a 0,7983. En los escenarios en que el sistema no se aplicó, el desperdicio y el costo de no calidad con SGC fueron iguales a los de la línea base; como esos escenarios fueron el 15 % del total, la probabilidad de HE1 y de HE2 quedó por debajo del criterio de 0,95.</w:t>
      </w:r>
    </w:p>
    <w:p>
      <w:pPr>
        <w:pStyle w:val="BodyText"/>
      </w:pPr>
      <w:r>
        <w:t xml:space="preserve">El escenario con costos ocultos de no calidad añadió a la fracción de retrabajo de la línea base una fracción de fallas ocultas, como las pérdidas de tiempo, las demoras y la pérdida de productividad</w:t>
      </w:r>
      <w:r>
        <w:t xml:space="preserve"> </w:t>
      </w:r>
      <w:r>
        <w:t xml:space="preserve">(Khadim et al., 2023, p. 5418)</w:t>
      </w:r>
      <w:r>
        <w:t xml:space="preserve">, con un máximo igual al promedio del 8,59 % del costo total que</w:t>
      </w:r>
      <w:r>
        <w:t xml:space="preserve"> </w:t>
      </w:r>
      <w:r>
        <w:t xml:space="preserve">Khadim et al. (2023, p. 5421)</w:t>
      </w:r>
      <w:r>
        <w:t xml:space="preserve"> </w:t>
      </w:r>
      <w:r>
        <w:t xml:space="preserve">estimaron en 25 proyectos de edificación; el SGC las redujo con la misma eficacia que a los retrabajos. En ese escenario, la reducción media fue de 3,22 %, con un percentil 5 de 0,90 %, y la probabilidad de alcanzar el umbral del 5 % fue de 0,1316, también inferior al criterio de 0,95.</w:t>
      </w:r>
    </w:p>
    <w:p>
      <w:pPr>
        <w:pStyle w:val="Heading2"/>
      </w:pPr>
      <w:bookmarkStart w:id="212" w:name="tit146"/>
      <w:r>
        <w:t xml:space="preserve">3.7. Beneficio de la conciliación de cantidades</w:t>
      </w:r>
      <w:bookmarkEnd w:id="212"/>
    </w:p>
    <w:p>
      <w:pPr>
        <w:pStyle w:val="FirstParagraph"/>
      </w:pPr>
      <w:r>
        <w:t xml:space="preserve">El modelo de costos mide el efecto del SGC sobre el costo de ejecutar la losa, pero no incluye el control de las cantidades medidas y pagadas, que es la función del procedimiento de conciliación PCM-04 (Sección 2.6.6). Para estimar la magnitud de ese beneficio, los controles de la Tabla 38 se aplicaron a las diferencias de cantidades documentadas en la ejecución de la primera losa y en el cierre del contrato, y cada diferencia se valoró al precio unitario del contrato (Tabla 52). Se trata de inconsistencias documentales que la Supervisión y la Fiscalización deben verificar con los respaldos que no formaron parte de la documentación revisada, y no de pagos indebidos confirmados.</w:t>
      </w:r>
    </w:p>
    <w:p>
      <w:pPr>
        <w:pStyle w:val="BodyText"/>
      </w:pPr>
      <w:r>
        <w:t xml:space="preserve">Las dos diferencias de mayor magnitud se encontraron en el cómputo de cierre de la versión digital de la planilla. En él, la línea de acero de la losa figuró como 3 </w:t>
      </w:r>
      <m:oMath>
        <m:r>
          <m:rPr>
            <m:sty m:val="p"/>
          </m:rPr>
          <m:t>×</m:t>
        </m:r>
      </m:oMath>
      <w:r>
        <w:t xml:space="preserve"> 4.171,18 kg para una sola losa ejecutada: 8.342,36 kg más que en la Planilla N.</w:t>
      </w:r>
      <w:r>
        <w:rPr>
          <w:vertAlign w:val="superscript"/>
        </w:rPr>
        <w:t xml:space="preserve">o</w:t>
      </w:r>
      <w:r>
        <w:t xml:space="preserve"> 2, equivalentes a unos Bs 139.783 a precio contractual. En el mismo cómputo, el acero de los demás elementos bajó 10.257,78 kg sin un desglose que lo explique, de modo que el total del ítem 8 disminuyó en lugar de aumentar. La planilla de cierre firmada, que esta tesis adopta como versión oficial, descontó 1.862,81 kg del acero acumulado hasta la Planilla N.</w:t>
      </w:r>
      <w:r>
        <w:rPr>
          <w:vertAlign w:val="superscript"/>
        </w:rPr>
        <w:t xml:space="preserve">o</w:t>
      </w:r>
      <w:r>
        <w:t xml:space="preserve"> 2, por Bs 31.212,95, y su versión digital descontó 1.915,16 kg, por Bs 32.090,11; la diferencia entre ambas versiones fue de 52,35 kg de acero, unos Bs 877,17, además del pago de la limpieza general.</w:t>
      </w:r>
    </w:p>
    <w:p>
      <w:pPr>
        <w:pStyle w:val="BodyText"/>
      </w:pPr>
      <w:r>
        <w:t xml:space="preserve">El control de cuantía también habría dado una alerta sobre el acero de la losa pagado en la Planilla N.</w:t>
      </w:r>
      <w:r>
        <w:rPr>
          <w:vertAlign w:val="superscript"/>
        </w:rPr>
        <w:t xml:space="preserve">o</w:t>
      </w:r>
      <w:r>
        <w:t xml:space="preserve"> 2, cuya cuantía de 3,76 kg/m</w:t>
      </w:r>
      <w:r>
        <w:rPr>
          <w:vertAlign w:val="superscript"/>
        </w:rPr>
        <w:t xml:space="preserve">2</w:t>
      </w:r>
      <w:r>
        <w:t xml:space="preserve"> </w:t>
      </w:r>
      <w:r>
        <w:t xml:space="preserve">superó en un 16,75 % a la cuantía teórica de los planos, por encima de la tolerancia de</w:t>
      </w:r>
      <w:r>
        <w:t xml:space="preserve"> </w:t>
      </w:r>
      <m:oMath>
        <m:r>
          <m:rPr>
            <m:sty m:val="p"/>
          </m:rPr>
          <m:t>±</m:t>
        </m:r>
        <m:r>
          <m:t>5</m:t>
        </m:r>
      </m:oMath>
      <w:r>
        <w:t xml:space="preserve"> %; esa alerta habría exigido la planilla de armado, que no existió, y la definición de los nervios y de los negativos que los planos no detallan. El control del ítem de pago habría obligado, además, a definir con el análisis de precios unitarios contractual si el ítem 13 incluye el acero de la parrilla y de los negativos, como indica su especificación técnica, mientras que ese acero se pagó en el ítem 8. Fuera del acero, la excavación del ítem 4 se corrigió en</w:t>
      </w:r>
      <w:r>
        <w:t xml:space="preserve"> </w:t>
      </w:r>
      <m:oMath>
        <m:r>
          <m:rPr>
            <m:sty m:val="p"/>
          </m:rPr>
          <m:t>−</m:t>
        </m:r>
      </m:oMath>
      <w:r>
        <w:t xml:space="preserve">5,66 m</w:t>
      </w:r>
      <w:r>
        <w:rPr>
          <w:vertAlign w:val="superscript"/>
        </w:rPr>
        <w:t xml:space="preserve">3</w:t>
      </w:r>
      <w:r>
        <w:t xml:space="preserve"> </w:t>
      </w:r>
      <w:r>
        <w:t xml:space="preserve">(Bs </w:t>
      </w:r>
      <m:oMath>
        <m:r>
          <m:rPr>
            <m:sty m:val="p"/>
          </m:rPr>
          <m:t>−</m:t>
        </m:r>
      </m:oMath>
      <w:r>
        <w:t xml:space="preserve">403,14) en la Planilla N.</w:t>
      </w:r>
      <w:r>
        <w:rPr>
          <w:vertAlign w:val="superscript"/>
        </w:rPr>
        <w:t xml:space="preserve">o</w:t>
      </w:r>
      <w:r>
        <w:t xml:space="preserve"> 2, después de haberse certificado en la N.</w:t>
      </w:r>
      <w:r>
        <w:rPr>
          <w:vertAlign w:val="superscript"/>
        </w:rPr>
        <w:t xml:space="preserve">o</w:t>
      </w:r>
      <w:r>
        <w:t xml:space="preserve"> 1.</w:t>
      </w:r>
    </w:p>
    <w:p>
      <w:pPr>
        <w:pStyle w:val="BodyText"/>
      </w:pPr>
      <w:r>
        <w:t xml:space="preserve">Ninguna de estas diferencias se detectó en la planilla del mes en que se originó: las del cómputo de cierre aparecieron al resolverse el contrato, más de tres meses después de aprobada la planilla que certificó la primera losa; la cuantía del acero de la losa no se contrastó con los planos y la excavación del ítem 4 se corrigió en la planilla siguiente. Con el PCM-04, cada una habría generado una alerta antes de presentar la planilla correspondiente (Tabla 39). El componente del SGC que realiza esta conciliación, el control de almacén y conciliación de cantidades, tiene un costo más probable de Bs 820 para todo el saldo (Anexo K). Las diferencias de la Tabla 52 son de distinta naturaleza que el ahorro estimado por el modelo, porque se refieren a cantidades medidas y pagadas y no al costo de ejecutar la losa; aun así, varias de ellas superan por sí solas el ahorro esperado del SGC en todo el saldo, de Bs 9.177.</w:t>
      </w:r>
    </w:p>
    <w:p>
      <w:pPr>
        <w:pStyle w:val="Caption"/>
      </w:pPr>
      <w:bookmarkStart w:id="1471" w:name="tab52"/>
      <w:r>
        <w:t xml:space="preserve"/>
      </w:r>
      <w:r>
        <w:rPr>
          <w:bCs/>
          <w:b/>
        </w:rPr>
        <w:t xml:space="preserve">Tabla 52</w:t>
      </w:r>
      <w:r>
        <w:br/>
      </w:r>
      <w:r>
        <w:rPr>
          <w:iCs/>
          <w:i/>
        </w:rPr>
        <w:t xml:space="preserve">Diferencias de cantidades documentadas y control del PCM-04 que las habría detectado</w:t>
      </w:r>
      <w:bookmarkEnd w:id="1471"/>
    </w:p>
    <w:tbl>
      <w:tblPr>
        <w:tblStyle w:val="Table"/>
        <w:tblW w:w="9360" w:type="dxa"/>
        <w:jc w:val="left"/>
        <w:tblLayout w:type="fixed"/>
        <w:tblCellMar>
          <w:top w:w="0" w:type="dxa"/>
          <w:left w:w="85" w:type="dxa"/>
          <w:bottom w:w="0" w:type="dxa"/>
          <w:right w:w="85" w:type="dxa"/>
        </w:tblCellMar>
        <w:tblLook w:firstRow="1" w:lastRow="0" w:firstColumn="0" w:lastColumn="0" w:noHBand="0" w:noVBand="0" w:val="0020"/>
      </w:tblPr>
      <w:tblGrid>
        <w:gridCol w:w="3559"/>
        <w:gridCol w:w="2067"/>
        <w:gridCol w:w="1550"/>
        <w:gridCol w:w="2184"/>
      </w:tblGrid>
      <w:tr>
        <w:trPr>
          <w:cantSplit/>
          <w:tblHeader w:val="true"/>
        </w:trPr>
        <w:tc>
          <w:tcPr>
            <w:tcW w:w="3559" w:type="dxa"/>
            <w:tcBorders>
              <w:top w:val="single" w:sz="8" w:space="0" w:color="000000"/>
              <w:bottom w:val="single" w:sz="4" w:space="0" w:color="000000"/>
            </w:tcBorders>
          </w:tcPr>
          <w:p>
            <w:pPr>
              <w:pStyle w:val="CeldaAPA"/>
              <w:jc w:val="center"/>
            </w:pPr>
            <w:r>
              <w:rPr>
                <w:bCs/>
                <w:b/>
              </w:rPr>
              <w:t xml:space="preserve">Diferencia documentada</w:t>
            </w:r>
          </w:p>
        </w:tc>
        <w:tc>
          <w:tcPr>
            <w:tcW w:w="2067" w:type="dxa"/>
            <w:tcBorders>
              <w:top w:val="single" w:sz="8" w:space="0" w:color="000000"/>
              <w:bottom w:val="single" w:sz="4" w:space="0" w:color="000000"/>
            </w:tcBorders>
          </w:tcPr>
          <w:p>
            <w:pPr>
              <w:pStyle w:val="CeldaAPA"/>
              <w:jc w:val="center"/>
            </w:pPr>
            <w:r>
              <w:rPr>
                <w:bCs/>
                <w:b/>
              </w:rPr>
              <w:t xml:space="preserve">Magnitud</w:t>
            </w:r>
          </w:p>
        </w:tc>
        <w:tc>
          <w:tcPr>
            <w:tcW w:w="1550" w:type="dxa"/>
            <w:tcBorders>
              <w:top w:val="single" w:sz="8" w:space="0" w:color="000000"/>
              <w:bottom w:val="single" w:sz="4" w:space="0" w:color="000000"/>
            </w:tcBorders>
          </w:tcPr>
          <w:p>
            <w:pPr>
              <w:pStyle w:val="CeldaAPA"/>
              <w:jc w:val="center"/>
            </w:pPr>
            <w:r>
              <w:rPr>
                <w:bCs/>
                <w:b/>
              </w:rPr>
              <w:t xml:space="preserve">Valor a precio contractual (Bs)</w:t>
            </w:r>
          </w:p>
        </w:tc>
        <w:tc>
          <w:tcPr>
            <w:tcW w:w="2184" w:type="dxa"/>
            <w:tcBorders>
              <w:top w:val="single" w:sz="8" w:space="0" w:color="000000"/>
              <w:bottom w:val="single" w:sz="4" w:space="0" w:color="000000"/>
            </w:tcBorders>
          </w:tcPr>
          <w:p>
            <w:pPr>
              <w:pStyle w:val="CeldaAPA"/>
              <w:jc w:val="center"/>
            </w:pPr>
            <w:r>
              <w:rPr>
                <w:bCs/>
                <w:b/>
              </w:rPr>
              <w:t xml:space="preserve">Control del PCM-04 y umbral</w:t>
            </w:r>
          </w:p>
        </w:tc>
      </w:tr>
      <w:tr>
        <w:tc>
          <w:tcPr>
            <w:tcW w:w="3559" w:type="dxa"/>
          </w:tcPr>
          <w:p>
            <w:pPr>
              <w:pStyle w:val="CeldaAPA"/>
              <w:jc w:val="left"/>
            </w:pPr>
            <w:r>
              <w:rPr/>
              <w:t xml:space="preserve">Línea «losa alivianada» del cómputo de cierre, versión digital: 3 </w:t>
            </w:r>
            <m:oMath>
              <m:r>
                <m:rPr>
                  <m:sty m:val="p"/>
                </m:rPr>
                <m:t>×</m:t>
              </m:r>
            </m:oMath>
            <w:r>
              <w:rPr/>
              <w:t xml:space="preserve"> 4.171,18 kg para una sola losa ejecutada</w:t>
            </w:r>
          </w:p>
        </w:tc>
        <w:tc>
          <w:tcPr>
            <w:tcW w:w="2067" w:type="dxa"/>
          </w:tcPr>
          <w:p>
            <w:pPr>
              <w:pStyle w:val="CeldaAPA"/>
              <w:jc w:val="left"/>
            </w:pPr>
            <w:r>
              <w:rPr/>
              <w:t xml:space="preserve">+8.342,36 kg; cuantía de 11,28 frente a 3,76 kg/m</w:t>
            </w:r>
            <w:r>
              <w:rPr>
                <w:vertAlign w:val="superscript"/>
              </w:rPr>
              <w:t xml:space="preserve">2</w:t>
            </w:r>
          </w:p>
        </w:tc>
        <w:tc>
          <w:tcPr>
            <w:tcW w:w="1550" w:type="dxa"/>
          </w:tcPr>
          <w:p>
            <w:pPr>
              <w:pStyle w:val="CeldaAPA"/>
              <w:jc w:val="left"/>
            </w:pPr>
            <w:r>
              <w:rPr/>
              <w:t xml:space="preserve">139.783,25</w:t>
            </w:r>
          </w:p>
        </w:tc>
        <w:tc>
          <w:tcPr>
            <w:tcW w:w="2184" w:type="dxa"/>
          </w:tcPr>
          <w:p>
            <w:pPr>
              <w:pStyle w:val="CeldaAPA"/>
              <w:jc w:val="left"/>
            </w:pPr>
            <w:r>
              <w:rPr/>
              <w:t xml:space="preserve">Cuantía de acero de la losa:</w:t>
            </w:r>
            <w:r>
              <w:rPr/>
              <w:t xml:space="preserve"> </w:t>
            </w:r>
            <m:oMath>
              <m:r>
                <m:rPr>
                  <m:sty m:val="p"/>
                </m:rPr>
                <m:t>±</m:t>
              </m:r>
              <m:r>
                <m:t>5</m:t>
              </m:r>
            </m:oMath>
            <w:r>
              <w:rPr/>
              <w:t xml:space="preserve"> % del valor de planos</w:t>
            </w:r>
          </w:p>
        </w:tc>
      </w:tr>
      <w:tr>
        <w:tc>
          <w:tcPr>
            <w:tcW w:w="3559" w:type="dxa"/>
          </w:tcPr>
          <w:p>
            <w:pPr>
              <w:pStyle w:val="CeldaAPA"/>
              <w:jc w:val="left"/>
            </w:pPr>
            <w:r>
              <w:rPr/>
              <w:t xml:space="preserve">Acero de los demás elementos en el mismo cómputo, sin desglose que explique la reducción</w:t>
            </w:r>
          </w:p>
        </w:tc>
        <w:tc>
          <w:tcPr>
            <w:tcW w:w="2067" w:type="dxa"/>
          </w:tcPr>
          <w:p>
            <w:pPr>
              <w:pStyle w:val="CeldaAPA"/>
              <w:jc w:val="left"/>
            </w:pPr>
            <m:oMath>
              <m:r>
                <m:rPr>
                  <m:sty m:val="p"/>
                </m:rPr>
                <m:t>−</m:t>
              </m:r>
            </m:oMath>
            <w:r>
              <w:rPr/>
              <w:t xml:space="preserve">10.257,78 kg</w:t>
            </w:r>
          </w:p>
        </w:tc>
        <w:tc>
          <w:tcPr>
            <w:tcW w:w="1550" w:type="dxa"/>
          </w:tcPr>
          <w:p>
            <w:pPr>
              <w:pStyle w:val="CeldaAPA"/>
              <w:jc w:val="left"/>
            </w:pPr>
            <m:oMath>
              <m:r>
                <m:rPr>
                  <m:sty m:val="p"/>
                </m:rPr>
                <m:t>−</m:t>
              </m:r>
            </m:oMath>
            <w:r>
              <w:rPr/>
              <w:t xml:space="preserve">171.877,72</w:t>
            </w:r>
          </w:p>
        </w:tc>
        <w:tc>
          <w:tcPr>
            <w:tcW w:w="2184" w:type="dxa"/>
          </w:tcPr>
          <w:p>
            <w:pPr>
              <w:pStyle w:val="CeldaAPA"/>
              <w:jc w:val="left"/>
            </w:pPr>
            <w:r>
              <w:rPr/>
              <w:t xml:space="preserve">Pago frente a medición y coherencia entre documentos, por elemento</w:t>
            </w:r>
          </w:p>
        </w:tc>
      </w:tr>
      <w:tr>
        <w:tc>
          <w:tcPr>
            <w:tcW w:w="3559" w:type="dxa"/>
          </w:tcPr>
          <w:p>
            <w:pPr>
              <w:pStyle w:val="CeldaAPA"/>
              <w:jc w:val="left"/>
            </w:pPr>
            <w:r>
              <w:rPr/>
              <w:t xml:space="preserve">Descuento de acero en la planilla de cierre firmada (versión oficial) respecto del acumulado de la Planilla N.</w:t>
            </w:r>
            <w:r>
              <w:rPr>
                <w:vertAlign w:val="superscript"/>
              </w:rPr>
              <w:t xml:space="preserve">o</w:t>
            </w:r>
            <w:r>
              <w:rPr/>
              <w:t xml:space="preserve"> 2</w:t>
            </w:r>
          </w:p>
        </w:tc>
        <w:tc>
          <w:tcPr>
            <w:tcW w:w="2067" w:type="dxa"/>
          </w:tcPr>
          <w:p>
            <w:pPr>
              <w:pStyle w:val="CeldaAPA"/>
              <w:jc w:val="left"/>
            </w:pPr>
            <m:oMath>
              <m:r>
                <m:rPr>
                  <m:sty m:val="p"/>
                </m:rPr>
                <m:t>−</m:t>
              </m:r>
            </m:oMath>
            <w:r>
              <w:rPr/>
              <w:t xml:space="preserve">1.862,81 kg (</w:t>
            </w:r>
            <m:oMath>
              <m:r>
                <m:rPr>
                  <m:sty m:val="p"/>
                </m:rPr>
                <m:t>−</m:t>
              </m:r>
            </m:oMath>
            <w:r>
              <w:rPr/>
              <w:t xml:space="preserve">3,55 %)</w:t>
            </w:r>
          </w:p>
        </w:tc>
        <w:tc>
          <w:tcPr>
            <w:tcW w:w="1550" w:type="dxa"/>
          </w:tcPr>
          <w:p>
            <w:pPr>
              <w:pStyle w:val="CeldaAPA"/>
              <w:jc w:val="left"/>
            </w:pPr>
            <m:oMath>
              <m:r>
                <m:rPr>
                  <m:sty m:val="p"/>
                </m:rPr>
                <m:t>−</m:t>
              </m:r>
            </m:oMath>
            <w:r>
              <w:rPr/>
              <w:t xml:space="preserve">31.212,95</w:t>
            </w:r>
          </w:p>
        </w:tc>
        <w:tc>
          <w:tcPr>
            <w:tcW w:w="2184" w:type="dxa"/>
          </w:tcPr>
          <w:p>
            <w:pPr>
              <w:pStyle w:val="CeldaAPA"/>
              <w:jc w:val="left"/>
            </w:pPr>
            <w:r>
              <w:rPr/>
              <w:t xml:space="preserve">Pago frente a medición: cualquier diferencia</w:t>
            </w:r>
          </w:p>
        </w:tc>
      </w:tr>
      <w:tr>
        <w:tc>
          <w:tcPr>
            <w:tcW w:w="3559" w:type="dxa"/>
          </w:tcPr>
          <w:p>
            <w:pPr>
              <w:pStyle w:val="CeldaAPA"/>
              <w:jc w:val="left"/>
            </w:pPr>
            <w:r>
              <w:rPr/>
              <w:t xml:space="preserve">Diferencia entre la versión firmada y la versión digital de la planilla de cierre</w:t>
            </w:r>
          </w:p>
        </w:tc>
        <w:tc>
          <w:tcPr>
            <w:tcW w:w="2067" w:type="dxa"/>
          </w:tcPr>
          <w:p>
            <w:pPr>
              <w:pStyle w:val="CeldaAPA"/>
              <w:jc w:val="left"/>
            </w:pPr>
            <w:r>
              <w:rPr/>
              <w:t xml:space="preserve">52,35 kg de acero y la limpieza general</w:t>
            </w:r>
          </w:p>
        </w:tc>
        <w:tc>
          <w:tcPr>
            <w:tcW w:w="1550" w:type="dxa"/>
          </w:tcPr>
          <w:p>
            <w:pPr>
              <w:pStyle w:val="CeldaAPA"/>
              <w:jc w:val="left"/>
            </w:pPr>
            <w:r>
              <w:rPr/>
              <w:t xml:space="preserve">877,17 y 2.566,96</w:t>
            </w:r>
          </w:p>
        </w:tc>
        <w:tc>
          <w:tcPr>
            <w:tcW w:w="2184" w:type="dxa"/>
          </w:tcPr>
          <w:p>
            <w:pPr>
              <w:pStyle w:val="CeldaAPA"/>
              <w:jc w:val="left"/>
            </w:pPr>
            <w:r>
              <w:rPr/>
              <w:t xml:space="preserve">Coherencia entre documentos: cualquier diferencia</w:t>
            </w:r>
          </w:p>
        </w:tc>
      </w:tr>
      <w:tr>
        <w:tc>
          <w:tcPr>
            <w:tcW w:w="3559" w:type="dxa"/>
          </w:tcPr>
          <w:p>
            <w:pPr>
              <w:pStyle w:val="CeldaAPA"/>
              <w:jc w:val="left"/>
            </w:pPr>
            <w:r>
              <w:rPr/>
              <w:t xml:space="preserve">Acero de la losa pagado en la Planilla N.</w:t>
            </w:r>
            <w:r>
              <w:rPr>
                <w:vertAlign w:val="superscript"/>
              </w:rPr>
              <w:t xml:space="preserve">o</w:t>
            </w:r>
            <w:r>
              <w:rPr/>
              <w:t xml:space="preserve"> 2 frente a la cantidad teórica de los planos</w:t>
            </w:r>
          </w:p>
        </w:tc>
        <w:tc>
          <w:tcPr>
            <w:tcW w:w="2067" w:type="dxa"/>
          </w:tcPr>
          <w:p>
            <w:pPr>
              <w:pStyle w:val="CeldaAPA"/>
              <w:jc w:val="left"/>
            </w:pPr>
            <w:r>
              <w:rPr/>
              <w:t xml:space="preserve">+598,38 kg (+16,75 %); 3,76 frente a 3,22 kg/m</w:t>
            </w:r>
            <w:r>
              <w:rPr>
                <w:vertAlign w:val="superscript"/>
              </w:rPr>
              <w:t xml:space="preserve">2</w:t>
            </w:r>
          </w:p>
        </w:tc>
        <w:tc>
          <w:tcPr>
            <w:tcW w:w="1550" w:type="dxa"/>
          </w:tcPr>
          <w:p>
            <w:pPr>
              <w:pStyle w:val="CeldaAPA"/>
              <w:jc w:val="left"/>
            </w:pPr>
            <w:r>
              <w:rPr/>
              <w:t xml:space="preserve">10.026,36</w:t>
            </w:r>
          </w:p>
        </w:tc>
        <w:tc>
          <w:tcPr>
            <w:tcW w:w="2184" w:type="dxa"/>
          </w:tcPr>
          <w:p>
            <w:pPr>
              <w:pStyle w:val="CeldaAPA"/>
              <w:jc w:val="left"/>
            </w:pPr>
            <w:r>
              <w:rPr/>
              <w:t xml:space="preserve">Cuantía de acero de la losa:</w:t>
            </w:r>
            <w:r>
              <w:rPr/>
              <w:t xml:space="preserve"> </w:t>
            </w:r>
            <m:oMath>
              <m:r>
                <m:rPr>
                  <m:sty m:val="p"/>
                </m:rPr>
                <m:t>±</m:t>
              </m:r>
              <m:r>
                <m:t>5</m:t>
              </m:r>
            </m:oMath>
            <w:r>
              <w:rPr/>
              <w:t xml:space="preserve"> %; exige la planilla de armado</w:t>
            </w:r>
          </w:p>
        </w:tc>
      </w:tr>
      <w:tr>
        <w:tc>
          <w:tcPr>
            <w:tcW w:w="3559" w:type="dxa"/>
          </w:tcPr>
          <w:p>
            <w:pPr>
              <w:pStyle w:val="CeldaAPA"/>
              <w:jc w:val="left"/>
            </w:pPr>
            <w:r>
              <w:rPr/>
              <w:t xml:space="preserve">Acero de la losa pagado en el ítem 8, que la especificación técnica también incluye entre los materiales del ítem 13</w:t>
            </w:r>
          </w:p>
        </w:tc>
        <w:tc>
          <w:tcPr>
            <w:tcW w:w="2067" w:type="dxa"/>
          </w:tcPr>
          <w:p>
            <w:pPr>
              <w:pStyle w:val="CeldaAPA"/>
              <w:jc w:val="left"/>
            </w:pPr>
            <w:r>
              <w:rPr/>
              <w:t xml:space="preserve">4.171,18 kg</w:t>
            </w:r>
          </w:p>
        </w:tc>
        <w:tc>
          <w:tcPr>
            <w:tcW w:w="1550" w:type="dxa"/>
          </w:tcPr>
          <w:p>
            <w:pPr>
              <w:pStyle w:val="CeldaAPA"/>
              <w:jc w:val="left"/>
            </w:pPr>
            <w:r>
              <w:rPr/>
              <w:t xml:space="preserve">69.891,62</w:t>
            </w:r>
          </w:p>
        </w:tc>
        <w:tc>
          <w:tcPr>
            <w:tcW w:w="2184" w:type="dxa"/>
          </w:tcPr>
          <w:p>
            <w:pPr>
              <w:pStyle w:val="CeldaAPA"/>
              <w:jc w:val="left"/>
            </w:pPr>
            <w:r>
              <w:rPr/>
              <w:t xml:space="preserve">Ítem de pago: superposición distinta de cero; se define con el APU contractual</w:t>
            </w:r>
          </w:p>
        </w:tc>
      </w:tr>
      <w:tr>
        <w:tc>
          <w:tcPr>
            <w:tcW w:w="3559" w:type="dxa"/>
          </w:tcPr>
          <w:p>
            <w:pPr>
              <w:pStyle w:val="CeldaAPA"/>
              <w:jc w:val="left"/>
            </w:pPr>
            <w:r>
              <w:rPr/>
              <w:t xml:space="preserve">Excavación del ítem 4 certificada en la Planilla N.</w:t>
            </w:r>
            <w:r>
              <w:rPr>
                <w:vertAlign w:val="superscript"/>
              </w:rPr>
              <w:t xml:space="preserve">o</w:t>
            </w:r>
            <w:r>
              <w:rPr/>
              <w:t xml:space="preserve"> 1 y corregida en la N.</w:t>
            </w:r>
            <w:r>
              <w:rPr>
                <w:vertAlign w:val="superscript"/>
              </w:rPr>
              <w:t xml:space="preserve">o</w:t>
            </w:r>
            <w:r>
              <w:rPr/>
              <w:t xml:space="preserve"> 2</w:t>
            </w:r>
          </w:p>
        </w:tc>
        <w:tc>
          <w:tcPr>
            <w:tcW w:w="2067" w:type="dxa"/>
          </w:tcPr>
          <w:p>
            <w:pPr>
              <w:pStyle w:val="CeldaAPA"/>
              <w:jc w:val="left"/>
            </w:pPr>
            <m:oMath>
              <m:r>
                <m:rPr>
                  <m:sty m:val="p"/>
                </m:rPr>
                <m:t>−</m:t>
              </m:r>
            </m:oMath>
            <w:r>
              <w:rPr/>
              <w:t xml:space="preserve">5,66 m</w:t>
            </w:r>
            <w:r>
              <w:rPr>
                <w:vertAlign w:val="superscript"/>
              </w:rPr>
              <w:t xml:space="preserve">3</w:t>
            </w:r>
          </w:p>
        </w:tc>
        <w:tc>
          <w:tcPr>
            <w:tcW w:w="1550" w:type="dxa"/>
          </w:tcPr>
          <w:p>
            <w:pPr>
              <w:pStyle w:val="CeldaAPA"/>
              <w:jc w:val="left"/>
            </w:pPr>
            <m:oMath>
              <m:r>
                <m:rPr>
                  <m:sty m:val="p"/>
                </m:rPr>
                <m:t>−</m:t>
              </m:r>
            </m:oMath>
            <w:r>
              <w:rPr/>
              <w:t xml:space="preserve">403,14</w:t>
            </w:r>
          </w:p>
        </w:tc>
        <w:tc>
          <w:tcPr>
            <w:tcW w:w="2184" w:type="dxa"/>
          </w:tcPr>
          <w:p>
            <w:pPr>
              <w:pStyle w:val="CeldaAPA"/>
              <w:jc w:val="left"/>
            </w:pPr>
            <w:r>
              <w:rPr/>
              <w:t xml:space="preserve">Medición frente a planos:</w:t>
            </w:r>
            <w:r>
              <w:rPr/>
              <w:t xml:space="preserve"> </w:t>
            </w:r>
            <m:oMath>
              <m:r>
                <m:rPr>
                  <m:sty m:val="p"/>
                </m:rPr>
                <m:t>±</m:t>
              </m:r>
              <m:r>
                <m:t>1</m:t>
              </m:r>
            </m:oMath>
            <w:r>
              <w:rPr/>
              <w:t xml:space="preserve"> %</w:t>
            </w:r>
          </w:p>
        </w:tc>
      </w:tr>
      <w:tr>
        <w:tc>
          <w:tcPr>
            <w:tcW w:w="3559" w:type="dxa"/>
            <w:tcBorders>
              <w:bottom w:val="single" w:sz="8" w:space="0" w:color="000000"/>
            </w:tcBorders>
          </w:tcPr>
          <w:p>
            <w:pPr>
              <w:pStyle w:val="CeldaAPA"/>
              <w:jc w:val="left"/>
            </w:pPr>
            <w:r>
              <w:rPr/>
              <w:t xml:space="preserve">Acero autorizado en la tabla de tiempos de la ampliación de plazo N.</w:t>
            </w:r>
            <w:r>
              <w:rPr>
                <w:vertAlign w:val="superscript"/>
              </w:rPr>
              <w:t xml:space="preserve">o</w:t>
            </w:r>
            <w:r>
              <w:rPr/>
              <w:t xml:space="preserve"> 2 frente al contrato modificatorio</w:t>
            </w:r>
          </w:p>
        </w:tc>
        <w:tc>
          <w:tcPr>
            <w:tcW w:w="2067" w:type="dxa"/>
            <w:tcBorders>
              <w:bottom w:val="single" w:sz="8" w:space="0" w:color="000000"/>
            </w:tcBorders>
          </w:tcPr>
          <w:p>
            <w:pPr>
              <w:pStyle w:val="CeldaAPA"/>
              <w:jc w:val="left"/>
            </w:pPr>
            <w:r>
              <w:rPr/>
              <w:t xml:space="preserve">+7.797,95 kg (85.777,46 frente a 77.979,51 kg)</w:t>
            </w:r>
          </w:p>
        </w:tc>
        <w:tc>
          <w:tcPr>
            <w:tcW w:w="1550" w:type="dxa"/>
            <w:tcBorders>
              <w:bottom w:val="single" w:sz="8" w:space="0" w:color="000000"/>
            </w:tcBorders>
          </w:tcPr>
          <w:p>
            <w:pPr>
              <w:pStyle w:val="CeldaAPA"/>
              <w:jc w:val="left"/>
            </w:pPr>
            <w:r>
              <w:rPr/>
              <w:t xml:space="preserve">—</w:t>
            </w:r>
          </w:p>
        </w:tc>
        <w:tc>
          <w:tcPr>
            <w:tcW w:w="2184" w:type="dxa"/>
            <w:tcBorders>
              <w:bottom w:val="single" w:sz="8" w:space="0" w:color="000000"/>
            </w:tcBorders>
          </w:tcPr>
          <w:p>
            <w:pPr>
              <w:pStyle w:val="CeldaAPA"/>
              <w:jc w:val="left"/>
            </w:pPr>
            <w:r>
              <w:rPr/>
              <w:t xml:space="preserve">Coherencia entre documentos: cualquier diferencia</w:t>
            </w:r>
          </w:p>
        </w:tc>
      </w:tr>
    </w:tbl>
    <w:p>
      <w:pPr>
        <w:pStyle w:val="NotaAPA"/>
      </w:pPr>
      <w:r>
        <w:rPr>
          <w:iCs/>
          <w:i/>
        </w:rPr>
        <w:t xml:space="preserve">Nota.</w:t>
      </w:r>
      <w:r>
        <w:t xml:space="preserve"> </w:t>
      </w:r>
      <w:r>
        <w:t xml:space="preserve">Elaboración propia (cálculos propios) con base en</w:t>
      </w:r>
      <w:r>
        <w:t xml:space="preserve"> </w:t>
      </w:r>
      <w:r>
        <w:t xml:space="preserve">UATF (2025, pp. 16, 18–20)</w:t>
      </w:r>
      <w:r>
        <w:t xml:space="preserve">,</w:t>
      </w:r>
      <w:r>
        <w:t xml:space="preserve"> </w:t>
      </w:r>
      <w:r>
        <w:t xml:space="preserve">UATF (s. f.-b, pp. 2, 12, 17, 25)</w:t>
      </w:r>
      <w:r>
        <w:t xml:space="preserve">,</w:t>
      </w:r>
      <w:r>
        <w:t xml:space="preserve"> </w:t>
      </w:r>
      <w:r>
        <w:t xml:space="preserve">UATF (s. f.-c, hoja «Cómputos métricos», filas 375 a 541)</w:t>
      </w:r>
      <w:r>
        <w:t xml:space="preserve">,</w:t>
      </w:r>
      <w:r>
        <w:t xml:space="preserve"> </w:t>
      </w:r>
      <w:r>
        <w:t xml:space="preserve">UATF (s. f.-a, p. 3)</w:t>
      </w:r>
      <w:r>
        <w:t xml:space="preserve"> </w:t>
      </w:r>
      <w:r>
        <w:t xml:space="preserve">y la Tabla 25. Controles y umbrales de la Tabla 38. El acero se valoró con el precio unitario contractual del ítem 8 (Bs 16,75584/kg), y la excavación, con el monto de su corrección. Las filas no son sumables, porque varias se refieren al mismo acero. Son inconsistencias documentales que deben verificar la Supervisión y la Fiscalización; no constituyen pagos indebidos confirmados.</w:t>
      </w:r>
    </w:p>
    <w:p>
      <w:pPr>
        <w:pStyle w:val="Heading2"/>
      </w:pPr>
      <w:bookmarkStart w:id="213" w:name="tit147"/>
      <w:r>
        <w:t xml:space="preserve">3.8. Validación del SGC por juicio de expertos</w:t>
      </w:r>
      <w:bookmarkEnd w:id="213"/>
    </w:p>
    <w:p>
      <w:pPr>
        <w:pStyle w:val="FirstParagraph"/>
      </w:pPr>
      <w:r>
        <w:t xml:space="preserve">La validación de contenido del SGC y de sus instrumentos se planificó con el procedimiento de la Sección 2.8. Al menos tres ingenieros civiles con experiencia en supervisión de obras, control de calidad del hormigón o gestión de la calidad deben calificar, con el formato C.8 del Anexo C, 22 componentes del sistema —15 componentes del diseño y 7 formatos— en cuatro criterios: pertinencia, claridad, suficiencia y aplicabilidad, con una escala de 1 a 4. Para cada componente y criterio se calcula el coeficiente V de Aiken (ecuación 21); se aceptan los componentes con</w:t>
      </w:r>
      <w:r>
        <w:t xml:space="preserve"> </w:t>
      </w:r>
      <m:oMath>
        <m:r>
          <m:t>V</m:t>
        </m:r>
        <m:r>
          <m:rPr>
            <m:sty m:val="p"/>
          </m:rPr>
          <m:t>≥</m:t>
        </m:r>
        <m:r>
          <m:t>0</m:t>
        </m:r>
        <m:r>
          <m:rPr>
            <m:sty m:val="p"/>
          </m:rPr>
          <m:t>,</m:t>
        </m:r>
        <m:r>
          <m:t>70</m:t>
        </m:r>
      </m:oMath>
      <w:r>
        <w:t xml:space="preserve"> </w:t>
      </w:r>
      <w:r>
        <w:t xml:space="preserve">y los demás se corrigen con las observaciones de los expertos, que se registran junto con su opinión sobre la aplicabilidad del sistema. Las fichas firmadas, el cálculo del coeficiente y los currículos resumidos de los expertos se incorporan al Anexo D.</w:t>
      </w:r>
    </w:p>
    <w:p>
      <w:pPr>
        <w:pStyle w:val="BodyText"/>
      </w:pPr>
      <w:r>
        <w:t xml:space="preserve">Hasta el cierre de esta versión no se aplicó el formato a los expertos, por lo que no se reportan coeficientes ni observaciones. La Tabla 53 es la plantilla de resultados que se completará con esa aplicación. La validación no modifica el contraste de las hipótesis de la Sección 3.5, que se basa en el modelo de costos, pero forma parte del OE5 y condiciona la aplicabilidad del SGC y de sus formatos.</w:t>
      </w:r>
    </w:p>
    <w:p>
      <w:pPr>
        <w:pStyle w:val="Caption"/>
      </w:pPr>
      <w:bookmarkStart w:id="1472" w:name="tab53"/>
      <w:r>
        <w:t xml:space="preserve"/>
      </w:r>
      <w:r>
        <w:rPr>
          <w:bCs/>
          <w:b/>
        </w:rPr>
        <w:t xml:space="preserve">Tabla 53</w:t>
      </w:r>
      <w:r>
        <w:br/>
      </w:r>
      <w:r>
        <w:rPr>
          <w:iCs/>
          <w:i/>
        </w:rPr>
        <w:t xml:space="preserve">Coeficiente V de Aiken por criterio de validación del SGC</w:t>
      </w:r>
      <w:bookmarkEnd w:id="1472"/>
    </w:p>
    <w:tbl>
      <w:tblPr>
        <w:tblStyle w:val="Table"/>
        <w:tblW w:w="9360" w:type="dxa"/>
        <w:jc w:val="left"/>
        <w:tblLayout w:type="fixed"/>
        <w:tblCellMar>
          <w:top w:w="0" w:type="dxa"/>
          <w:left w:w="85" w:type="dxa"/>
          <w:bottom w:w="0" w:type="dxa"/>
          <w:right w:w="85" w:type="dxa"/>
        </w:tblCellMar>
        <w:tblLook w:firstRow="1" w:lastRow="0" w:firstColumn="0" w:lastColumn="0" w:noHBand="0" w:noVBand="0" w:val="0020"/>
      </w:tblPr>
      <w:tblGrid>
        <w:gridCol w:w="2500"/>
        <w:gridCol w:w="1123"/>
        <w:gridCol w:w="1179"/>
        <w:gridCol w:w="1179"/>
        <w:gridCol w:w="1916"/>
        <w:gridCol w:w="1463"/>
      </w:tblGrid>
      <w:tr>
        <w:trPr>
          <w:cantSplit/>
          <w:tblHeader w:val="true"/>
        </w:trPr>
        <w:tc>
          <w:tcPr>
            <w:tcW w:w="2500" w:type="dxa"/>
            <w:tcBorders>
              <w:top w:val="single" w:sz="8" w:space="0" w:color="000000"/>
              <w:bottom w:val="single" w:sz="4" w:space="0" w:color="000000"/>
            </w:tcBorders>
          </w:tcPr>
          <w:p>
            <w:pPr>
              <w:pStyle w:val="CeldaAPA"/>
              <w:jc w:val="center"/>
            </w:pPr>
            <w:r>
              <w:rPr>
                <w:bCs/>
                <w:b/>
              </w:rPr>
              <w:t xml:space="preserve">Criterio</w:t>
            </w:r>
          </w:p>
        </w:tc>
        <w:tc>
          <w:tcPr>
            <w:tcW w:w="1123" w:type="dxa"/>
            <w:tcBorders>
              <w:top w:val="single" w:sz="8" w:space="0" w:color="000000"/>
              <w:bottom w:val="single" w:sz="4" w:space="0" w:color="000000"/>
            </w:tcBorders>
          </w:tcPr>
          <w:p>
            <w:pPr>
              <w:pStyle w:val="CeldaAPA"/>
              <w:jc w:val="center"/>
            </w:pPr>
            <w:r>
              <w:rPr>
                <w:bCs/>
                <w:b/>
              </w:rPr>
              <w:t xml:space="preserve">Jueces (</w:t>
            </w:r>
            <m:oMath>
              <m:r>
                <m:t>n</m:t>
              </m:r>
            </m:oMath>
            <w:r>
              <w:rPr>
                <w:bCs/>
                <w:b/>
              </w:rPr>
              <w:t xml:space="preserve">)</w:t>
            </w:r>
          </w:p>
        </w:tc>
        <w:tc>
          <w:tcPr>
            <w:tcW w:w="1179" w:type="dxa"/>
            <w:tcBorders>
              <w:top w:val="single" w:sz="8" w:space="0" w:color="000000"/>
              <w:bottom w:val="single" w:sz="4" w:space="0" w:color="000000"/>
            </w:tcBorders>
          </w:tcPr>
          <w:p>
            <w:pPr>
              <w:pStyle w:val="CeldaAPA"/>
              <w:jc w:val="center"/>
            </w:pPr>
            <m:oMath>
              <m:r>
                <m:t>V</m:t>
              </m:r>
            </m:oMath>
            <w:r>
              <w:rPr>
                <w:bCs/>
                <w:b/>
              </w:rPr>
              <w:t xml:space="preserve"> </w:t>
            </w:r>
            <w:r>
              <w:rPr>
                <w:bCs/>
                <w:b/>
              </w:rPr>
              <w:t xml:space="preserve">media</w:t>
            </w:r>
          </w:p>
        </w:tc>
        <w:tc>
          <w:tcPr>
            <w:tcW w:w="1179" w:type="dxa"/>
            <w:tcBorders>
              <w:top w:val="single" w:sz="8" w:space="0" w:color="000000"/>
              <w:bottom w:val="single" w:sz="4" w:space="0" w:color="000000"/>
            </w:tcBorders>
          </w:tcPr>
          <w:p>
            <w:pPr>
              <w:pStyle w:val="CeldaAPA"/>
              <w:jc w:val="center"/>
            </w:pPr>
            <m:oMath>
              <m:r>
                <m:t>V</m:t>
              </m:r>
            </m:oMath>
            <w:r>
              <w:rPr>
                <w:bCs/>
                <w:b/>
              </w:rPr>
              <w:t xml:space="preserve"> </w:t>
            </w:r>
            <w:r>
              <w:rPr>
                <w:bCs/>
                <w:b/>
              </w:rPr>
              <w:t xml:space="preserve">mínima</w:t>
            </w:r>
          </w:p>
        </w:tc>
        <w:tc>
          <w:tcPr>
            <w:tcW w:w="1916" w:type="dxa"/>
            <w:tcBorders>
              <w:top w:val="single" w:sz="8" w:space="0" w:color="000000"/>
              <w:bottom w:val="single" w:sz="4" w:space="0" w:color="000000"/>
            </w:tcBorders>
          </w:tcPr>
          <w:p>
            <w:pPr>
              <w:pStyle w:val="CeldaAPA"/>
              <w:jc w:val="center"/>
            </w:pPr>
            <w:r>
              <w:rPr>
                <w:bCs/>
                <w:b/>
              </w:rPr>
              <w:t xml:space="preserve">Componentes con</w:t>
            </w:r>
            <w:r>
              <w:rPr>
                <w:bCs/>
                <w:b/>
              </w:rPr>
              <w:t xml:space="preserve"> </w:t>
            </w:r>
            <m:oMath>
              <m:r>
                <m:t>V</m:t>
              </m:r>
              <m:r>
                <m:rPr>
                  <m:sty m:val="p"/>
                </m:rPr>
                <m:t>&lt;</m:t>
              </m:r>
              <m:r>
                <m:t>0</m:t>
              </m:r>
              <m:r>
                <m:rPr>
                  <m:sty m:val="p"/>
                </m:rPr>
                <m:t>,</m:t>
              </m:r>
              <m:r>
                <m:t>70</m:t>
              </m:r>
            </m:oMath>
          </w:p>
        </w:tc>
        <w:tc>
          <w:tcPr>
            <w:tcW w:w="1463" w:type="dxa"/>
            <w:tcBorders>
              <w:top w:val="single" w:sz="8" w:space="0" w:color="000000"/>
              <w:bottom w:val="single" w:sz="4" w:space="0" w:color="000000"/>
            </w:tcBorders>
          </w:tcPr>
          <w:p>
            <w:pPr>
              <w:pStyle w:val="CeldaAPA"/>
              <w:jc w:val="center"/>
            </w:pPr>
            <w:r>
              <w:rPr>
                <w:bCs/>
                <w:b/>
              </w:rPr>
              <w:t xml:space="preserve">Decisión</w:t>
            </w:r>
          </w:p>
        </w:tc>
      </w:tr>
      <w:tr>
        <w:tc>
          <w:tcPr>
            <w:tcW w:w="2500" w:type="dxa"/>
          </w:tcPr>
          <w:p>
            <w:pPr>
              <w:pStyle w:val="CeldaAPA"/>
              <w:jc w:val="left"/>
            </w:pPr>
            <w:r>
              <w:rPr/>
              <w:t xml:space="preserve">Pertinencia</w:t>
            </w:r>
          </w:p>
        </w:tc>
        <w:tc>
          <w:tcPr>
            <w:tcW w:w="1123" w:type="dxa"/>
          </w:tcPr>
          <w:p>
            <w:pPr>
              <w:pStyle w:val="CeldaAPA"/>
            </w:pPr>
          </w:p>
        </w:tc>
        <w:tc>
          <w:tcPr>
            <w:tcW w:w="1179" w:type="dxa"/>
          </w:tcPr>
          <w:p>
            <w:pPr>
              <w:pStyle w:val="CeldaAPA"/>
            </w:pPr>
          </w:p>
        </w:tc>
        <w:tc>
          <w:tcPr>
            <w:tcW w:w="1179" w:type="dxa"/>
          </w:tcPr>
          <w:p>
            <w:pPr>
              <w:pStyle w:val="CeldaAPA"/>
            </w:pPr>
          </w:p>
        </w:tc>
        <w:tc>
          <w:tcPr>
            <w:tcW w:w="1916" w:type="dxa"/>
          </w:tcPr>
          <w:p>
            <w:pPr>
              <w:pStyle w:val="CeldaAPA"/>
            </w:pPr>
          </w:p>
        </w:tc>
        <w:tc>
          <w:tcPr>
            <w:tcW w:w="1463" w:type="dxa"/>
          </w:tcPr>
          <w:p>
            <w:pPr>
              <w:pStyle w:val="CeldaAPA"/>
            </w:pPr>
          </w:p>
        </w:tc>
      </w:tr>
      <w:tr>
        <w:tc>
          <w:tcPr>
            <w:tcW w:w="2500" w:type="dxa"/>
          </w:tcPr>
          <w:p>
            <w:pPr>
              <w:pStyle w:val="CeldaAPA"/>
              <w:jc w:val="left"/>
            </w:pPr>
            <w:r>
              <w:rPr/>
              <w:t xml:space="preserve">Claridad</w:t>
            </w:r>
          </w:p>
        </w:tc>
        <w:tc>
          <w:tcPr>
            <w:tcW w:w="1123" w:type="dxa"/>
          </w:tcPr>
          <w:p>
            <w:pPr>
              <w:pStyle w:val="CeldaAPA"/>
            </w:pPr>
          </w:p>
        </w:tc>
        <w:tc>
          <w:tcPr>
            <w:tcW w:w="1179" w:type="dxa"/>
          </w:tcPr>
          <w:p>
            <w:pPr>
              <w:pStyle w:val="CeldaAPA"/>
            </w:pPr>
          </w:p>
        </w:tc>
        <w:tc>
          <w:tcPr>
            <w:tcW w:w="1179" w:type="dxa"/>
          </w:tcPr>
          <w:p>
            <w:pPr>
              <w:pStyle w:val="CeldaAPA"/>
            </w:pPr>
          </w:p>
        </w:tc>
        <w:tc>
          <w:tcPr>
            <w:tcW w:w="1916" w:type="dxa"/>
          </w:tcPr>
          <w:p>
            <w:pPr>
              <w:pStyle w:val="CeldaAPA"/>
            </w:pPr>
          </w:p>
        </w:tc>
        <w:tc>
          <w:tcPr>
            <w:tcW w:w="1463" w:type="dxa"/>
          </w:tcPr>
          <w:p>
            <w:pPr>
              <w:pStyle w:val="CeldaAPA"/>
            </w:pPr>
          </w:p>
        </w:tc>
      </w:tr>
      <w:tr>
        <w:tc>
          <w:tcPr>
            <w:tcW w:w="2500" w:type="dxa"/>
          </w:tcPr>
          <w:p>
            <w:pPr>
              <w:pStyle w:val="CeldaAPA"/>
              <w:jc w:val="left"/>
            </w:pPr>
            <w:r>
              <w:rPr/>
              <w:t xml:space="preserve">Suficiencia</w:t>
            </w:r>
          </w:p>
        </w:tc>
        <w:tc>
          <w:tcPr>
            <w:tcW w:w="1123" w:type="dxa"/>
          </w:tcPr>
          <w:p>
            <w:pPr>
              <w:pStyle w:val="CeldaAPA"/>
            </w:pPr>
          </w:p>
        </w:tc>
        <w:tc>
          <w:tcPr>
            <w:tcW w:w="1179" w:type="dxa"/>
          </w:tcPr>
          <w:p>
            <w:pPr>
              <w:pStyle w:val="CeldaAPA"/>
            </w:pPr>
          </w:p>
        </w:tc>
        <w:tc>
          <w:tcPr>
            <w:tcW w:w="1179" w:type="dxa"/>
          </w:tcPr>
          <w:p>
            <w:pPr>
              <w:pStyle w:val="CeldaAPA"/>
            </w:pPr>
          </w:p>
        </w:tc>
        <w:tc>
          <w:tcPr>
            <w:tcW w:w="1916" w:type="dxa"/>
          </w:tcPr>
          <w:p>
            <w:pPr>
              <w:pStyle w:val="CeldaAPA"/>
            </w:pPr>
          </w:p>
        </w:tc>
        <w:tc>
          <w:tcPr>
            <w:tcW w:w="1463" w:type="dxa"/>
          </w:tcPr>
          <w:p>
            <w:pPr>
              <w:pStyle w:val="CeldaAPA"/>
            </w:pPr>
          </w:p>
        </w:tc>
      </w:tr>
      <w:tr>
        <w:tc>
          <w:tcPr>
            <w:tcW w:w="2500" w:type="dxa"/>
          </w:tcPr>
          <w:p>
            <w:pPr>
              <w:pStyle w:val="CeldaAPA"/>
              <w:jc w:val="left"/>
            </w:pPr>
            <w:r>
              <w:rPr/>
              <w:t xml:space="preserve">Aplicabilidad</w:t>
            </w:r>
          </w:p>
        </w:tc>
        <w:tc>
          <w:tcPr>
            <w:tcW w:w="1123" w:type="dxa"/>
          </w:tcPr>
          <w:p>
            <w:pPr>
              <w:pStyle w:val="CeldaAPA"/>
            </w:pPr>
          </w:p>
        </w:tc>
        <w:tc>
          <w:tcPr>
            <w:tcW w:w="1179" w:type="dxa"/>
          </w:tcPr>
          <w:p>
            <w:pPr>
              <w:pStyle w:val="CeldaAPA"/>
            </w:pPr>
          </w:p>
        </w:tc>
        <w:tc>
          <w:tcPr>
            <w:tcW w:w="1179" w:type="dxa"/>
          </w:tcPr>
          <w:p>
            <w:pPr>
              <w:pStyle w:val="CeldaAPA"/>
            </w:pPr>
          </w:p>
        </w:tc>
        <w:tc>
          <w:tcPr>
            <w:tcW w:w="1916" w:type="dxa"/>
          </w:tcPr>
          <w:p>
            <w:pPr>
              <w:pStyle w:val="CeldaAPA"/>
            </w:pPr>
          </w:p>
        </w:tc>
        <w:tc>
          <w:tcPr>
            <w:tcW w:w="1463" w:type="dxa"/>
          </w:tcPr>
          <w:p>
            <w:pPr>
              <w:pStyle w:val="CeldaAPA"/>
            </w:pPr>
          </w:p>
        </w:tc>
      </w:tr>
      <w:tr>
        <w:tc>
          <w:tcPr>
            <w:tcW w:w="2500" w:type="dxa"/>
            <w:tcBorders>
              <w:top w:val="single" w:sz="4" w:space="0" w:color="000000"/>
              <w:bottom w:val="single" w:sz="8" w:space="0" w:color="000000"/>
            </w:tcBorders>
          </w:tcPr>
          <w:p>
            <w:pPr>
              <w:pStyle w:val="CeldaAPA"/>
              <w:jc w:val="left"/>
            </w:pPr>
            <w:r>
              <w:rPr/>
              <w:t xml:space="preserve">Global (cuatro criterios)</w:t>
            </w:r>
          </w:p>
        </w:tc>
        <w:tc>
          <w:tcPr>
            <w:tcW w:w="1123" w:type="dxa"/>
            <w:tcBorders>
              <w:top w:val="single" w:sz="4" w:space="0" w:color="000000"/>
              <w:bottom w:val="single" w:sz="8" w:space="0" w:color="000000"/>
            </w:tcBorders>
          </w:tcPr>
          <w:p>
            <w:pPr>
              <w:pStyle w:val="CeldaAPA"/>
            </w:pPr>
          </w:p>
        </w:tc>
        <w:tc>
          <w:tcPr>
            <w:tcW w:w="1179" w:type="dxa"/>
            <w:tcBorders>
              <w:top w:val="single" w:sz="4" w:space="0" w:color="000000"/>
              <w:bottom w:val="single" w:sz="8" w:space="0" w:color="000000"/>
            </w:tcBorders>
          </w:tcPr>
          <w:p>
            <w:pPr>
              <w:pStyle w:val="CeldaAPA"/>
            </w:pPr>
          </w:p>
        </w:tc>
        <w:tc>
          <w:tcPr>
            <w:tcW w:w="1179" w:type="dxa"/>
            <w:tcBorders>
              <w:top w:val="single" w:sz="4" w:space="0" w:color="000000"/>
              <w:bottom w:val="single" w:sz="8" w:space="0" w:color="000000"/>
            </w:tcBorders>
          </w:tcPr>
          <w:p>
            <w:pPr>
              <w:pStyle w:val="CeldaAPA"/>
            </w:pPr>
          </w:p>
        </w:tc>
        <w:tc>
          <w:tcPr>
            <w:tcW w:w="1916" w:type="dxa"/>
            <w:tcBorders>
              <w:top w:val="single" w:sz="4" w:space="0" w:color="000000"/>
              <w:bottom w:val="single" w:sz="8" w:space="0" w:color="000000"/>
            </w:tcBorders>
          </w:tcPr>
          <w:p>
            <w:pPr>
              <w:pStyle w:val="CeldaAPA"/>
            </w:pPr>
          </w:p>
        </w:tc>
        <w:tc>
          <w:tcPr>
            <w:tcW w:w="1463" w:type="dxa"/>
            <w:tcBorders>
              <w:top w:val="single" w:sz="4" w:space="0" w:color="000000"/>
              <w:bottom w:val="single" w:sz="8" w:space="0" w:color="000000"/>
            </w:tcBorders>
          </w:tcPr>
          <w:p>
            <w:pPr>
              <w:pStyle w:val="CeldaAPA"/>
            </w:pPr>
          </w:p>
        </w:tc>
      </w:tr>
    </w:tbl>
    <w:p>
      <w:pPr>
        <w:pStyle w:val="NotaAPA"/>
      </w:pPr>
      <w:r>
        <w:rPr>
          <w:iCs/>
          <w:i/>
        </w:rPr>
        <w:t xml:space="preserve">Nota.</w:t>
      </w:r>
      <w:r>
        <w:t xml:space="preserve"> </w:t>
      </w:r>
      <w:r>
        <w:t xml:space="preserve">Tabla por completar con los formatos C.8 aplicados a los expertos (Anexo C).</w:t>
      </w:r>
      <w:r>
        <w:t xml:space="preserve"> </w:t>
      </w:r>
      <m:oMath>
        <m:r>
          <m:t>V</m:t>
        </m:r>
        <m:r>
          <m:rPr>
            <m:sty m:val="p"/>
          </m:rPr>
          <m:t>=</m:t>
        </m:r>
        <m:r>
          <m:t>S</m:t>
        </m:r>
        <m:r>
          <m:rPr>
            <m:sty m:val="p"/>
          </m:rPr>
          <m:t>/</m:t>
        </m:r>
        <m:d>
          <m:dPr>
            <m:begChr m:val="["/>
            <m:endChr m:val="]"/>
            <m:sepChr m:val=""/>
            <m:grow/>
          </m:dPr>
          <m:e>
            <m:r>
              <m:t>n</m:t>
            </m:r>
            <m:r>
              <m:t> </m:t>
            </m:r>
            <m:d>
              <m:dPr>
                <m:begChr m:val="("/>
                <m:endChr m:val=")"/>
                <m:sepChr m:val=""/>
                <m:grow/>
              </m:dPr>
              <m:e>
                <m:r>
                  <m:t>c</m:t>
                </m:r>
                <m:r>
                  <m:rPr>
                    <m:sty m:val="p"/>
                  </m:rPr>
                  <m:t>−</m:t>
                </m:r>
                <m:r>
                  <m:t>1</m:t>
                </m:r>
              </m:e>
            </m:d>
          </m:e>
        </m:d>
      </m:oMath>
      <w:r>
        <w:t xml:space="preserve">, con</w:t>
      </w:r>
      <w:r>
        <w:t xml:space="preserve"> </w:t>
      </w:r>
      <m:oMath>
        <m:r>
          <m:t>c</m:t>
        </m:r>
        <m:r>
          <m:rPr>
            <m:sty m:val="p"/>
          </m:rPr>
          <m:t>=</m:t>
        </m:r>
        <m:r>
          <m:t>4</m:t>
        </m:r>
      </m:oMath>
      <w:r>
        <w:t xml:space="preserve"> </w:t>
      </w:r>
      <w:r>
        <w:t xml:space="preserve">categorías (ecuación 21); el valor global usa la suma de los cuatro criterios,</w:t>
      </w:r>
      <w:r>
        <w:t xml:space="preserve"> </w:t>
      </w:r>
      <m:oMath>
        <m:r>
          <m:t>V</m:t>
        </m:r>
        <m:r>
          <m:rPr>
            <m:sty m:val="p"/>
          </m:rPr>
          <m:t>=</m:t>
        </m:r>
        <m:r>
          <m:t>S</m:t>
        </m:r>
        <m:r>
          <m:rPr>
            <m:sty m:val="p"/>
          </m:rPr>
          <m:t>/</m:t>
        </m:r>
        <m:d>
          <m:dPr>
            <m:begChr m:val="["/>
            <m:endChr m:val="]"/>
            <m:sepChr m:val=""/>
            <m:grow/>
          </m:dPr>
          <m:e>
            <m:r>
              <m:t>4</m:t>
            </m:r>
            <m:r>
              <m:t> </m:t>
            </m:r>
            <m:r>
              <m:t>n</m:t>
            </m:r>
            <m:r>
              <m:t> </m:t>
            </m:r>
            <m:d>
              <m:dPr>
                <m:begChr m:val="("/>
                <m:endChr m:val=")"/>
                <m:sepChr m:val=""/>
                <m:grow/>
              </m:dPr>
              <m:e>
                <m:r>
                  <m:t>c</m:t>
                </m:r>
                <m:r>
                  <m:rPr>
                    <m:sty m:val="p"/>
                  </m:rPr>
                  <m:t>−</m:t>
                </m:r>
                <m:r>
                  <m:t>1</m:t>
                </m:r>
              </m:e>
            </m:d>
          </m:e>
        </m:d>
      </m:oMath>
      <w:r>
        <w:t xml:space="preserve">.</w:t>
      </w:r>
      <w:r>
        <w:t xml:space="preserve"> </w:t>
      </w:r>
      <m:oMath>
        <m:r>
          <m:t>V</m:t>
        </m:r>
      </m:oMath>
      <w:r>
        <w:t xml:space="preserve"> </w:t>
      </w:r>
      <w:r>
        <w:t xml:space="preserve">media y</w:t>
      </w:r>
      <w:r>
        <w:t xml:space="preserve"> </w:t>
      </w:r>
      <m:oMath>
        <m:r>
          <m:t>V</m:t>
        </m:r>
      </m:oMath>
      <w:r>
        <w:t xml:space="preserve"> </w:t>
      </w:r>
      <w:r>
        <w:t xml:space="preserve">mínima: sobre los 22 componentes evaluados. Se acepta un componente si</w:t>
      </w:r>
      <w:r>
        <w:t xml:space="preserve"> </w:t>
      </w:r>
      <m:oMath>
        <m:r>
          <m:t>V</m:t>
        </m:r>
        <m:r>
          <m:rPr>
            <m:sty m:val="p"/>
          </m:rPr>
          <m:t>≥</m:t>
        </m:r>
        <m:r>
          <m:t>0</m:t>
        </m:r>
        <m:r>
          <m:rPr>
            <m:sty m:val="p"/>
          </m:rPr>
          <m:t>,</m:t>
        </m:r>
        <m:r>
          <m:t>70</m:t>
        </m:r>
      </m:oMath>
      <w:r>
        <w:t xml:space="preserve"> </w:t>
      </w:r>
      <w:r>
        <w:t xml:space="preserve">en cada criterio.</w:t>
      </w:r>
    </w:p>
    <w:p>
      <w:pPr>
        <w:pStyle w:val="Heading2"/>
      </w:pPr>
      <w:bookmarkStart w:id="214" w:name="tit148"/>
      <w:r>
        <w:t xml:space="preserve">3.9. Discusión de resultados</w:t>
      </w:r>
      <w:bookmarkEnd w:id="214"/>
    </w:p>
    <w:p>
      <w:pPr>
        <w:pStyle w:val="FirstParagraph"/>
      </w:pPr>
      <w:r>
        <w:rPr>
          <w:bCs/>
          <w:b/>
        </w:rPr>
        <w:t xml:space="preserve">Diagnóstico de la gestión de la calidad.</w:t>
      </w:r>
      <w:r>
        <w:t xml:space="preserve"> </w:t>
      </w:r>
      <w:r>
        <w:t xml:space="preserve">El cumplimiento del 19,8 % de los requisitos de la norma en la ejecución de la primera losa fue menor que el de los diagnósticos iniciales de tres fabricantes bolivianos de viguetas pretensadas: 24 % en Prensocret</w:t>
      </w:r>
      <w:r>
        <w:t xml:space="preserve"> </w:t>
      </w:r>
      <w:r>
        <w:t xml:space="preserve">(Mamani Calsina, 2025, pp. 47–49)</w:t>
      </w:r>
      <w:r>
        <w:t xml:space="preserve">, 33,43 % en TENSOCRET</w:t>
      </w:r>
      <w:r>
        <w:t xml:space="preserve"> </w:t>
      </w:r>
      <w:r>
        <w:t xml:space="preserve">(Pajarito Mamani, 2015, p. 79)</w:t>
      </w:r>
      <w:r>
        <w:t xml:space="preserve"> </w:t>
      </w:r>
      <w:r>
        <w:t xml:space="preserve">y 43 % en ISOCRET</w:t>
      </w:r>
      <w:r>
        <w:t xml:space="preserve"> </w:t>
      </w:r>
      <w:r>
        <w:t xml:space="preserve">(Peña Callisaya, 2024, p. 71)</w:t>
      </w:r>
      <w:r>
        <w:t xml:space="preserve">. La diferencia es coherente con la naturaleza de cada organización, ya señalada en la Sección 2.5.1: una planta tiene procesos repetitivos y documentación propia, mientras que la ejecución de una losa es un proceso temporal cuyo control descansó en la Supervisión. En todos los casos, las cláusulas más débiles correspondieron a la planificación o al seguimiento y la mejora: en esta tesis, la mejora y la planificación; en Prensocret, la evaluación del desempeño, con 11 %</w:t>
      </w:r>
      <w:r>
        <w:t xml:space="preserve"> </w:t>
      </w:r>
      <w:r>
        <w:t xml:space="preserve">(Mamani Calsina, 2025, p. 48)</w:t>
      </w:r>
      <w:r>
        <w:t xml:space="preserve">; en ISOCRET, la planificación, con 26 %</w:t>
      </w:r>
      <w:r>
        <w:t xml:space="preserve"> </w:t>
      </w:r>
      <w:r>
        <w:t xml:space="preserve">(Peña Callisaya, 2024, p. 71)</w:t>
      </w:r>
      <w:r>
        <w:t xml:space="preserve">; y en TENSOCRET, el capítulo de medición, análisis y mejora de la edición de 2008, con 8,69 %</w:t>
      </w:r>
      <w:r>
        <w:t xml:space="preserve"> </w:t>
      </w:r>
      <w:r>
        <w:t xml:space="preserve">(Pajarito Mamani, 2015, p. 77)</w:t>
      </w:r>
      <w:r>
        <w:t xml:space="preserve">. La ausencia de no conformidades registradas coincide con lo observado por</w:t>
      </w:r>
      <w:r>
        <w:t xml:space="preserve"> </w:t>
      </w:r>
      <w:r>
        <w:t xml:space="preserve">Romero y Serpell (2007, p. 202)</w:t>
      </w:r>
      <w:r>
        <w:t xml:space="preserve"> </w:t>
      </w:r>
      <w:r>
        <w:t xml:space="preserve">en constructoras chilenas certificadas, donde cerca del 39 % de los profesionales entendía las no conformidades como un castigo y otro 39 %, como un medio para «cubrir sus espaldas», y con</w:t>
      </w:r>
      <w:r>
        <w:t xml:space="preserve"> </w:t>
      </w:r>
      <w:r>
        <w:t xml:space="preserve">Gudiel Cairampoma y Solis Puente (2020, p. 80)</w:t>
      </w:r>
      <w:r>
        <w:t xml:space="preserve">, que encontraron un plan de calidad en solo uno de cinco proyectos de Lima. La falta de probetas, de control del asentamiento y de curado también fue reportada por</w:t>
      </w:r>
      <w:r>
        <w:t xml:space="preserve"> </w:t>
      </w:r>
      <w:r>
        <w:t xml:space="preserve">Aguilar Caseux y Torres Benites (2016, p. 81)</w:t>
      </w:r>
      <w:r>
        <w:t xml:space="preserve">, que atribuyeron las pérdidas sobre todo a la deficiente administración de la contratista. La concentración de las no conformidades en la medición y la gestión, y no en la mano de obra, concuerda con</w:t>
      </w:r>
      <w:r>
        <w:t xml:space="preserve"> </w:t>
      </w:r>
      <w:r>
        <w:t xml:space="preserve">Formoso et al. (1999, p. 327)</w:t>
      </w:r>
      <w:r>
        <w:t xml:space="preserve">, para quienes las causas del desperdicio están más en el sistema de gestión que en la falta de calificación de los trabajadores; difiere, en cambio, del registro de</w:t>
      </w:r>
      <w:r>
        <w:t xml:space="preserve"> </w:t>
      </w:r>
      <w:r>
        <w:t xml:space="preserve">Muro Núñez (2020, p. 16)</w:t>
      </w:r>
      <w:r>
        <w:t xml:space="preserve">, donde el 76 % de 96 no conformidades se atribuyó a la mano de obra. La diferencia se explica porque esa obra aplicaba un plan de calidad que registraba los defectos de ejecución, mientras que en la primera losa lo que faltó fue el propio registro.</w:t>
      </w:r>
    </w:p>
    <w:p>
      <w:pPr>
        <w:pStyle w:val="BodyText"/>
      </w:pPr>
      <w:r>
        <w:rPr>
          <w:bCs/>
          <w:b/>
        </w:rPr>
        <w:t xml:space="preserve">Línea base de desperdicio y de costo de no calidad.</w:t>
      </w:r>
      <w:r>
        <w:t xml:space="preserve"> </w:t>
      </w:r>
      <w:r>
        <w:t xml:space="preserve">El índice del acero de la losa, de 16,75 %, coincidió con los desperdicios de 14,58 y 17,09 % que</w:t>
      </w:r>
      <w:r>
        <w:t xml:space="preserve"> </w:t>
      </w:r>
      <w:r>
        <w:t xml:space="preserve">Chino Quispe y Zarate Chilqquetuma (2024, pp. 147, 169)</w:t>
      </w:r>
      <w:r>
        <w:t xml:space="preserve"> </w:t>
      </w:r>
      <w:r>
        <w:t xml:space="preserve">midieron con el método convencional de habilitado, se ubicó dentro del rango de 11 a 26 % compilado por</w:t>
      </w:r>
      <w:r>
        <w:t xml:space="preserve"> </w:t>
      </w:r>
      <w:r>
        <w:t xml:space="preserve">Maciel et al. (2016, p. 106)</w:t>
      </w:r>
      <w:r>
        <w:t xml:space="preserve"> </w:t>
      </w:r>
      <w:r>
        <w:t xml:space="preserve">y superó el 7 % previsto en el presupuesto de la obra estudiada por</w:t>
      </w:r>
      <w:r>
        <w:t xml:space="preserve"> </w:t>
      </w:r>
      <w:r>
        <w:t xml:space="preserve">Galarza Meza (2011, p. 75)</w:t>
      </w:r>
      <w:r>
        <w:t xml:space="preserve">. Como ese índice compara lo pagado con lo teórico, la coincidencia no prueba que el acero se haya desperdiciado en esa proporción: también es compatible con una medición superior a la ejecutada o con armaduras que los planos no definen (Sección 2.5.4). Para el EPS, con un índice de 5,01 %, no se encontraron valores de referencia en la literatura revisada (Sección 1.5), por lo que este resultado es un primer dato documental para ese material. El desperdicio de hormigón más probable adoptado, del 10 %, se aproximó a las pérdidas reales del 9 % que</w:t>
      </w:r>
      <w:r>
        <w:t xml:space="preserve"> </w:t>
      </w:r>
      <w:r>
        <w:t xml:space="preserve">Ruiz Muñoz y Rojas Bonilla (2018, p. 69)</w:t>
      </w:r>
      <w:r>
        <w:t xml:space="preserve"> </w:t>
      </w:r>
      <w:r>
        <w:t xml:space="preserve">midieron en placas y quedó dentro del rango de 5 a 22 % de</w:t>
      </w:r>
      <w:r>
        <w:t xml:space="preserve"> </w:t>
      </w:r>
      <w:r>
        <w:t xml:space="preserve">Galarza Meza (2011, pp. 53, 73)</w:t>
      </w:r>
      <w:r>
        <w:t xml:space="preserve">. El costo de no calidad de la línea base, el 7,12 % del costo unitario, fue mayor que la no calidad de 2,7 a 5,1 % de la partida de concreto armado reportada por</w:t>
      </w:r>
      <w:r>
        <w:t xml:space="preserve"> </w:t>
      </w:r>
      <w:r>
        <w:t xml:space="preserve">Gudiel Cairampoma y Solis Puente (2020, p. 1)</w:t>
      </w:r>
      <w:r>
        <w:t xml:space="preserve"> </w:t>
      </w:r>
      <w:r>
        <w:t xml:space="preserve">y que el retrabajo del 2,75 % del valor del contrato registrado por</w:t>
      </w:r>
      <w:r>
        <w:t xml:space="preserve"> </w:t>
      </w:r>
      <w:r>
        <w:t xml:space="preserve">Forcada et al. (2017, p. 8)</w:t>
      </w:r>
      <w:r>
        <w:t xml:space="preserve"> </w:t>
      </w:r>
      <w:r>
        <w:t xml:space="preserve">en proyectos mayoritariamente de infraestructura civil, que tuvieron costos de retrabajo menores que los de edificación</w:t>
      </w:r>
      <w:r>
        <w:t xml:space="preserve"> </w:t>
      </w:r>
      <w:r>
        <w:t xml:space="preserve">(Forcada et al., 2017, pp. 6, 10)</w:t>
      </w:r>
      <w:r>
        <w:t xml:space="preserve">; sin embargo, es del mismo orden de magnitud. La diferencia es esperable, porque esos valores no incluyen, o incluyen solo en parte, el desperdicio de materiales, que en esta tesis representó la mayor parte del costo de no calidad (Figura 13).</w:t>
      </w:r>
    </w:p>
    <w:p>
      <w:pPr>
        <w:pStyle w:val="BodyText"/>
      </w:pPr>
      <w:r>
        <w:rPr>
          <w:bCs/>
          <w:b/>
        </w:rPr>
        <w:t xml:space="preserve">Efecto del SGC sobre el desperdicio y el costo de no calidad.</w:t>
      </w:r>
      <w:r>
        <w:t xml:space="preserve"> </w:t>
      </w:r>
      <w:r>
        <w:t xml:space="preserve">La aceptación de HE1 y HE2 y la reducción del costo de no calidad en un 44,82 % concuerdan en el sentido y en la magnitud con los antecedentes que midieron o estimaron las pérdidas con y sin control: el desperdicio de acero bajó del 7 % presupuestado al 4,04 % con prearmado</w:t>
      </w:r>
      <w:r>
        <w:t xml:space="preserve"> </w:t>
      </w:r>
      <w:r>
        <w:t xml:space="preserve">(Galarza Meza, 2011, p. 75)</w:t>
      </w:r>
      <w:r>
        <w:t xml:space="preserve">, y del 14,58 al 8,94 % y del 17,09 al 6,71 % con el despiece previo</w:t>
      </w:r>
      <w:r>
        <w:t xml:space="preserve"> </w:t>
      </w:r>
      <w:r>
        <w:t xml:space="preserve">(Chino Quispe y Zarate Chilqquetuma, 2024, p. 192)</w:t>
      </w:r>
      <w:r>
        <w:t xml:space="preserve">; el de hormigón, al 2,8 % con pedidos limitados</w:t>
      </w:r>
      <w:r>
        <w:t xml:space="preserve"> </w:t>
      </w:r>
      <w:r>
        <w:t xml:space="preserve">(Galarza Meza, 2011, p. 73)</w:t>
      </w:r>
      <w:r>
        <w:t xml:space="preserve">; los reprocesos, del 6,5 al 0,72 % del valor del contrato en proyectos con SGC</w:t>
      </w:r>
      <w:r>
        <w:t xml:space="preserve"> </w:t>
      </w:r>
      <w:r>
        <w:t xml:space="preserve">(Álvarez Quintero, 2014, p. 12)</w:t>
      </w:r>
      <w:r>
        <w:t xml:space="preserve">; los costos de falla estimados para un fabricante boliviano de viguetas bajarían un 52,9 % (cálculo propio con los datos de</w:t>
      </w:r>
      <w:r>
        <w:t xml:space="preserve"> </w:t>
      </w:r>
      <w:r>
        <w:t xml:space="preserve">(Pajarito Mamani, 2015, pp. 142–143)</w:t>
      </w:r>
      <w:r>
        <w:t xml:space="preserve">); y el nivel de pérdidas de la construcción brasileña disminuyó con la adopción de planes de calidad y de certificaciones ISO</w:t>
      </w:r>
      <w:r>
        <w:t xml:space="preserve"> </w:t>
      </w:r>
      <w:r>
        <w:t xml:space="preserve">(Maciel et al., 2016, p. 106)</w:t>
      </w:r>
      <w:r>
        <w:t xml:space="preserve">. Esta concordancia es en parte consecuencia del diseño del modelo, porque las eficacias del SGC se tomaron de esos mismos antecedentes; lo que aporta la simulación es la combinación de esas eficacias con el desperdicio documentado de la primera losa y con el costo del sistema, y la medida de su incertidumbre. Por la misma razón, la probabilidad igual a la unidad de HE1 y HE2 no significa que el efecto sea seguro: es condicional a que el SGC se aplique en obra. Esa condición no es trivial:</w:t>
      </w:r>
      <w:r>
        <w:t xml:space="preserve"> </w:t>
      </w:r>
      <w:r>
        <w:t xml:space="preserve">Romero y Serpell (2007, pp. 208–209)</w:t>
      </w:r>
      <w:r>
        <w:t xml:space="preserve"> </w:t>
      </w:r>
      <w:r>
        <w:t xml:space="preserve">encontraron sistemas que «funcionan en el papel» y presentan varias falencias en la práctica, y</w:t>
      </w:r>
      <w:r>
        <w:t xml:space="preserve"> </w:t>
      </w:r>
      <w:r>
        <w:t xml:space="preserve">Pajarito Mamani (2015, p. 148)</w:t>
      </w:r>
      <w:r>
        <w:t xml:space="preserve"> </w:t>
      </w:r>
      <w:r>
        <w:t xml:space="preserve">advierte el riesgo de un «sistema de gestión de calidad de papel». El escenario de SGC no aplicado cuantificó ese riesgo (Sección 3.6.4).</w:t>
      </w:r>
    </w:p>
    <w:p>
      <w:pPr>
        <w:pStyle w:val="BodyText"/>
      </w:pPr>
      <w:r>
        <w:rPr>
          <w:bCs/>
          <w:b/>
        </w:rPr>
        <w:t xml:space="preserve">Magnitud del efecto sobre el costo unitario.</w:t>
      </w:r>
      <w:r>
        <w:t xml:space="preserve"> </w:t>
      </w:r>
      <w:r>
        <w:t xml:space="preserve">La hipótesis general no se aceptó porque el efecto del SGC sobre el costo unitario de un solo ítem fue menor que el umbral del 5 %, aunque el sistema redujo el costo de no calidad casi a la mitad. Las reducciones mayores de los antecedentes se refieren a otras bases.</w:t>
      </w:r>
      <w:r>
        <w:t xml:space="preserve"> </w:t>
      </w:r>
      <w:r>
        <w:t xml:space="preserve">Salazar Retuerto (2018, p. 22)</w:t>
      </w:r>
      <w:r>
        <w:t xml:space="preserve"> </w:t>
      </w:r>
      <w:r>
        <w:t xml:space="preserve">comparó, con un diseño cuasiexperimental, dos proyectos homólogos de construcción metalmecánica, uno ejecutado sin la guía del PMBOK y otro con ella, con 13 observaciones mensuales de costos cada uno; aceptó su hipótesis con una prueba</w:t>
      </w:r>
      <w:r>
        <w:t xml:space="preserve"> </w:t>
      </w:r>
      <w:r>
        <w:rPr>
          <w:iCs/>
          <w:i/>
        </w:rPr>
        <w:t xml:space="preserve">t</w:t>
      </w:r>
      <w:r>
        <w:t xml:space="preserve"> </w:t>
      </w:r>
      <w:r>
        <w:t xml:space="preserve">para muestras relacionadas (</w:t>
      </w:r>
      <m:oMath>
        <m:r>
          <m:t>p</m:t>
        </m:r>
        <m:r>
          <m:rPr>
            <m:sty m:val="p"/>
          </m:rPr>
          <m:t>=</m:t>
        </m:r>
        <m:r>
          <m:t>0</m:t>
        </m:r>
        <m:r>
          <m:rPr>
            <m:sty m:val="p"/>
          </m:rPr>
          <m:t>,</m:t>
        </m:r>
        <m:r>
          <m:t>011</m:t>
        </m:r>
      </m:oMath>
      <w:r>
        <w:t xml:space="preserve">) y cuantificó la reducción en 8,93 % respecto del costo planificado</w:t>
      </w:r>
      <w:r>
        <w:t xml:space="preserve"> </w:t>
      </w:r>
      <w:r>
        <w:t xml:space="preserve">(Salazar Retuerto, 2018, p. 41)</w:t>
      </w:r>
      <w:r>
        <w:t xml:space="preserve">. Esa cifra es la diferencia en puntos porcentuales entre las razones de costo real a planificado de ambos proyectos, 103,43 y 94,50 %</w:t>
      </w:r>
      <w:r>
        <w:t xml:space="preserve"> </w:t>
      </w:r>
      <w:r>
        <w:t xml:space="preserve">(Salazar Retuerto, 2018, p. 40)</w:t>
      </w:r>
      <w:r>
        <w:t xml:space="preserve">, y equivale a una reducción relativa del 8,63 % (cálculo propio); el resumen de la misma tesis la consigna como 8,89 %</w:t>
      </w:r>
      <w:r>
        <w:t xml:space="preserve"> </w:t>
      </w:r>
      <w:r>
        <w:t xml:space="preserve">(Salazar Retuerto, 2018, p. vii)</w:t>
      </w:r>
      <w:r>
        <w:t xml:space="preserve">. Su diseño es análogo al de esta tesis, con un escenario de control y uno de tratamiento, pero su tratamiento actuó sobre la gestión de todo el proyecto, mientras que el SGC de esta tesis actúa sobre el costo de no calidad de un ítem cuyo costo directo teórico, que no depende del sistema, representa más del 90 % del costo unitario (Tabla 48). Del mismo modo, el promedio de 6,59 % de reprocesos y su posible reducción del 84,82 % que reporta</w:t>
      </w:r>
      <w:r>
        <w:t xml:space="preserve"> </w:t>
      </w:r>
      <w:r>
        <w:t xml:space="preserve">Álvarez Quintero (2014, pp. 5, 20)</w:t>
      </w:r>
      <w:r>
        <w:t xml:space="preserve"> </w:t>
      </w:r>
      <w:r>
        <w:t xml:space="preserve">se refieren al costo total de los proyectos y provienen de promedios publicados, no de una medición en obra. En un ítem en que el costo de no calidad es el 7,12 % del costo unitario y el sistema cuesta el 1,79 %, la reducción máxima teórica es de 5,35 %; por eso, una reducción del 8 al 9 % a nivel de proyecto no se traslada a un solo ítem. La reducción media de 1,47 % fue, en cambio, del mismo orden que la de los antecedentes que evaluaron un solo material: el despiece previo del acero aumentó la utilidad en 1,48 y 5,87 % en dos edificios</w:t>
      </w:r>
      <w:r>
        <w:t xml:space="preserve"> </w:t>
      </w:r>
      <w:r>
        <w:t xml:space="preserve">(Chino Quispe y Zarate Chilqquetuma, 2024, p. 190)</w:t>
      </w:r>
      <w:r>
        <w:t xml:space="preserve">, y la gestión del acero produjo ahorros de 3 y 8 % frente al presupuesto en dos etapas de una obra y un exceso de 1 % en la tercera</w:t>
      </w:r>
      <w:r>
        <w:t xml:space="preserve"> </w:t>
      </w:r>
      <w:r>
        <w:t xml:space="preserve">(Galarza Meza, 2011, p. 80)</w:t>
      </w:r>
      <w:r>
        <w:t xml:space="preserve">.</w:t>
      </w:r>
      <w:r>
        <w:t xml:space="preserve"> </w:t>
      </w:r>
      <w:r>
        <w:t xml:space="preserve">Aguilar Caseux y Torres Benites (2016, pp. 81–82)</w:t>
      </w:r>
      <w:r>
        <w:t xml:space="preserve"> </w:t>
      </w:r>
      <w:r>
        <w:t xml:space="preserve">llegaron a un resultado de la misma naturaleza: cumplir los procedimientos y el registro de control de calidad habría elevado ligeramente el costo directo de las placas de hormigón, y su hipótesis de que el estudio de los costos de la calidad influye positivamente en la rentabilidad no se confirmó.</w:t>
      </w:r>
    </w:p>
    <w:p>
      <w:pPr>
        <w:pStyle w:val="BodyText"/>
      </w:pPr>
      <w:r>
        <w:rPr>
          <w:bCs/>
          <w:b/>
        </w:rPr>
        <w:t xml:space="preserve">Costo y rentabilidad del SGC.</w:t>
      </w:r>
      <w:r>
        <w:t xml:space="preserve"> </w:t>
      </w:r>
      <w:r>
        <w:t xml:space="preserve">El costo de prevención y evaluación del SGC, el 1,79 % del costo unitario, fue similar a la inversión en conformidad del 1,83 % del costo total que</w:t>
      </w:r>
      <w:r>
        <w:t xml:space="preserve"> </w:t>
      </w:r>
      <w:r>
        <w:t xml:space="preserve">Khadim et al. (2023, p. 5420)</w:t>
      </w:r>
      <w:r>
        <w:t xml:space="preserve"> </w:t>
      </w:r>
      <w:r>
        <w:t xml:space="preserve">encontraron en 25 proyectos de edificación, y quedó en el límite inferior de la recomendación que recogen</w:t>
      </w:r>
      <w:r>
        <w:t xml:space="preserve"> </w:t>
      </w:r>
      <w:r>
        <w:t xml:space="preserve">Palanisamy y Palanichamy (2025, Sección 2.2.1)</w:t>
      </w:r>
      <w:r>
        <w:t xml:space="preserve">, según la cual invertir menos del 2 % en prevención y evaluación aumenta los costos de falla y más del 4 % probablemente no tiene retorno. El análisis de sensibilidad mostró que el costo del sistema y los parámetros de los retrabajos fueron los que más influyeron en el resultado, lo que concuerda con</w:t>
      </w:r>
      <w:r>
        <w:t xml:space="preserve"> </w:t>
      </w:r>
      <w:r>
        <w:t xml:space="preserve">Palanisamy y Palanichamy (2025, Sección 3.3)</w:t>
      </w:r>
      <w:r>
        <w:t xml:space="preserve">, que hallaron que solo los costos de falla influyen significativamente en el costo total de la calidad. El margen entre el beneficio y el costo del sistema resultó estrecho: con una eficacia uniforme menor que 24,8 %, o con su costo duplicado, el SGC dejó de ser rentable (Tabla 51).</w:t>
      </w:r>
      <w:r>
        <w:t xml:space="preserve"> </w:t>
      </w:r>
      <w:r>
        <w:t xml:space="preserve">Gudiel Cairampoma y Solis Puente (2020, p. 95)</w:t>
      </w:r>
      <w:r>
        <w:t xml:space="preserve"> </w:t>
      </w:r>
      <w:r>
        <w:t xml:space="preserve">encontraron un margen igualmente estrecho, porque el costo medio de la no calidad por obra superó en S/ 4.386,53 (cálculo propio) al costo estimado de implementar un área de calidad. Los diseños de SGC para fabricantes bolivianos de viguetas obtuvieron relaciones beneficio/costo de 1,11 y 1,24</w:t>
      </w:r>
      <w:r>
        <w:t xml:space="preserve"> </w:t>
      </w:r>
      <w:r>
        <w:t xml:space="preserve">(Mamani Calsina, 2025, p. 117; Peña Callisaya, 2024, p. 174)</w:t>
      </w:r>
      <w:r>
        <w:t xml:space="preserve">, pero la primera supone que el sistema elimina por completo las fallas</w:t>
      </w:r>
      <w:r>
        <w:t xml:space="preserve"> </w:t>
      </w:r>
      <w:r>
        <w:t xml:space="preserve">(Mamani Calsina, 2025, p. 110)</w:t>
      </w:r>
      <w:r>
        <w:t xml:space="preserve"> </w:t>
      </w:r>
      <w:r>
        <w:t xml:space="preserve">y la segunda se calculó con los ingresos y costos totales de la empresa</w:t>
      </w:r>
      <w:r>
        <w:t xml:space="preserve"> </w:t>
      </w:r>
      <w:r>
        <w:t xml:space="preserve">(Peña Callisaya, 2024, pp. 173–175)</w:t>
      </w:r>
      <w:r>
        <w:t xml:space="preserve">. El modelo de esta tesis, con un escenario de control y con la incertidumbre de la eficacia, estimó un efecto menor, pero no depende de esos supuestos. Por último,</w:t>
      </w:r>
      <w:r>
        <w:t xml:space="preserve"> </w:t>
      </w:r>
      <w:r>
        <w:t xml:space="preserve">Prado-Román et al. (2018, pp. 161–162, 164)</w:t>
      </w:r>
      <w:r>
        <w:t xml:space="preserve"> </w:t>
      </w:r>
      <w:r>
        <w:t xml:space="preserve">encontraron que los beneficios de ISO 9001 en las constructoras aparecen de forma gradual y dependen de la antigüedad de la certificación y no del tamaño de la empresa; un sistema aplicado en solo dos losas tiene poco tiempo para madurar, lo que refuerza la conveniencia de un SGC ligero, centrado en pocos controles de alto impacto y con el personal existente.</w:t>
      </w:r>
    </w:p>
    <w:p>
      <w:pPr>
        <w:pStyle w:val="BodyText"/>
      </w:pPr>
      <w:r>
        <w:rPr>
          <w:bCs/>
          <w:b/>
        </w:rPr>
        <w:t xml:space="preserve">Costos ocultos y control de cantidades.</w:t>
      </w:r>
      <w:r>
        <w:t xml:space="preserve"> </w:t>
      </w:r>
      <w:r>
        <w:t xml:space="preserve">El resultado principal es conservador en dos sentidos. Primero, el modelo valoró solo las fallas internas visibles; al agregar las fallas ocultas, que según</w:t>
      </w:r>
      <w:r>
        <w:t xml:space="preserve"> </w:t>
      </w:r>
      <w:r>
        <w:t xml:space="preserve">Khadim et al. (2023, p. 5421)</w:t>
      </w:r>
      <w:r>
        <w:t xml:space="preserve"> </w:t>
      </w:r>
      <w:r>
        <w:t xml:space="preserve">más que triplican a las visibles (8,59 frente a 2,34 % del costo total), la reducción media subió a 3,22 %, aunque la probabilidad de alcanzar el 5 % siguió por debajo del criterio. Segundo, el modelo no incluyó el beneficio del control de las cantidades medidas y pagadas. Las diferencias documentadas de la Sección 3.7, que no se detectaron en el mes en que se originaron, son de una magnitud comparable o mayor que el ahorro esperado en todo el saldo. Esto concuerda con</w:t>
      </w:r>
      <w:r>
        <w:t xml:space="preserve"> </w:t>
      </w:r>
      <w:r>
        <w:t xml:space="preserve">Ruiz Muñoz y Rojas Bonilla (2018, p. 69)</w:t>
      </w:r>
      <w:r>
        <w:t xml:space="preserve">, para quienes, sin una supervisión que controle las actividades de mayor desperdicio, los presupuestos aumentan, y con</w:t>
      </w:r>
      <w:r>
        <w:t xml:space="preserve"> </w:t>
      </w:r>
      <w:r>
        <w:t xml:space="preserve">Formoso et al. (1999, p. 334)</w:t>
      </w:r>
      <w:r>
        <w:t xml:space="preserve">, que señalan que el control del desperdicio debe integrarse en la planificación y el control de la producción. Para la entidad contratante, una parte importante del beneficio del SGC está menos en la reducción del costo de ejecución, que en este contrato asume la contratista</w:t>
      </w:r>
      <w:r>
        <w:t xml:space="preserve"> </w:t>
      </w:r>
      <w:r>
        <w:t xml:space="preserve">(UATF, 2025, p. 92)</w:t>
      </w:r>
      <w:r>
        <w:t xml:space="preserve">, que en la conformidad del hormigón y en el pago correcto de las cantidades.</w:t>
      </w:r>
    </w:p>
    <w:p>
      <w:pPr>
        <w:pStyle w:val="BodyText"/>
      </w:pPr>
      <w:r>
        <w:rPr>
          <w:bCs/>
          <w:b/>
        </w:rPr>
        <w:t xml:space="preserve">Limitaciones.</w:t>
      </w:r>
      <w:r>
        <w:t xml:space="preserve"> </w:t>
      </w:r>
      <w:r>
        <w:t xml:space="preserve">Los resultados tienen siete limitaciones principales. (1) La evaluación del SGC fue</w:t>
      </w:r>
      <w:r>
        <w:t xml:space="preserve"> </w:t>
      </w:r>
      <w:r>
        <w:rPr>
          <w:iCs/>
          <w:i/>
        </w:rPr>
        <w:t xml:space="preserve">ex ante</w:t>
      </w:r>
      <w:r>
        <w:t xml:space="preserve">: como la segunda losa no se ejecutó, la posprueba es simulada y el resultado depende de la estructura del modelo y de sus parámetros; una situación análoga se presentó en</w:t>
      </w:r>
      <w:r>
        <w:t xml:space="preserve"> </w:t>
      </w:r>
      <w:r>
        <w:t xml:space="preserve">Aguilar Caseux y Torres Benites (2016, p. 60)</w:t>
      </w:r>
      <w:r>
        <w:t xml:space="preserve">, que restringieron su toma de datos a una obra porque la otra se paralizó. (2) Los datos provienen de una sola obra y de una sola losa, por lo que la validez externa es limitada. (3) Solo el EPS y el acero tuvieron un dato documental, y ninguno es un consumo medido: el índice del EPS supone que todas las piezas entregadas se destinaron a la primera losa, y el del acero compara lo pagado con lo teórico; los desperdicios del hormigón y de las viguetas, la fracción de retrabajo y las eficacias del SGC se tomaron de la literatura, de otras obras y de otros países. (4) El análisis de precios unitarios contractual del ítem 13 no estuvo disponible, y los materiales se valoraron con un análisis de referencia reconstruido y calibrado con un factor de 0,962. (5) Los parámetros se muestrearon de forma independiente y con distribuciones triangulares acotadas, sin correlaciones entre ellos. (6) El costo unitario se evaluó a precios constantes y sin los costos de plazo, como las multas, los gastos generales de las ampliaciones o las esperas por material. (7) El diagnóstico frente a la norma fue documental, sin las entrevistas complementarias, y la validación del SGC por juicio de expertos quedó pendiente.</w:t>
      </w:r>
    </w:p>
    <w:p>
      <w:pPr>
        <w:pStyle w:val="BodyText"/>
      </w:pPr>
      <w:r>
        <w:rPr>
          <w:bCs/>
          <w:b/>
        </w:rPr>
        <w:t xml:space="preserve">Alcance de la validez.</w:t>
      </w:r>
      <w:r>
        <w:t xml:space="preserve"> </w:t>
      </w:r>
      <w:r>
        <w:t xml:space="preserve">Los resultados son válidos como una estimación</w:t>
      </w:r>
      <w:r>
        <w:t xml:space="preserve"> </w:t>
      </w:r>
      <w:r>
        <w:rPr>
          <w:iCs/>
          <w:i/>
        </w:rPr>
        <w:t xml:space="preserve">ex ante</w:t>
      </w:r>
      <w:r>
        <w:t xml:space="preserve"> </w:t>
      </w:r>
      <w:r>
        <w:t xml:space="preserve">del efecto del SGC en las condiciones del contrato estudiado —geometría de las losas, precios del contrato sin reajuste, materiales y procedimientos constructivos de la primera losa— y son condicionales a que el sistema se aplique en obra con una eficacia dentro de los rangos de la literatura. La decisión sobre la hipótesis general es robusta frente a esas limitaciones, porque la reducción solo supera el umbral con una eficacia cercana al 100 %, muy superior a la reportada por los antecedentes, y en ninguna de las variantes ensayadas la probabilidad de alcanzarlo se acercó al criterio de 0,95. Las magnitudes de la reducción y del ahorro, en cambio, deben verificarse con datos medidos en obra mediante el protocolo de la Sección 2.9.1. El método —línea base documental, modelo de costos con escenario de control y simulación de Monte Carlo— es transferible a otros ítems y a otras obras.</w:t>
      </w:r>
    </w:p>
    <w:p>
      <w:pPr>
        <w:pStyle w:val="Heading1"/>
      </w:pPr>
      <w:bookmarkStart w:id="224" w:name="tit149"/>
      <w:r>
        <w:t xml:space="preserve">Conclusiones y recomendaciones</w:t>
      </w:r>
      <w:bookmarkEnd w:id="224"/>
    </w:p>
    <w:p>
      <w:pPr>
        <w:pStyle w:val="Heading2"/>
      </w:pPr>
      <w:bookmarkStart w:id="216" w:name="tit150"/>
      <w:r>
        <w:t xml:space="preserve">1. Conclusión general</w:t>
      </w:r>
      <w:bookmarkEnd w:id="216"/>
    </w:p>
    <w:p>
      <w:pPr>
        <w:pStyle w:val="FirstParagraph"/>
      </w:pPr>
      <w:r>
        <w:t xml:space="preserve">La investigación buscó responder de qué manera un Sistema de Gestión de la Calidad (SGC) basado en la norma ISO 9001, centrado en el control de materiales, permite reducir los costos de ejecución de las losas alivianadas con viguetas pretensadas del Edificio de Posgrado de la UATF. Como la segunda losa no se ejecutó durante el estudio, se reconstruyó con documentos la línea base de la primera losa y se evaluó el sistema</w:t>
      </w:r>
      <w:r>
        <w:t xml:space="preserve"> </w:t>
      </w:r>
      <w:r>
        <w:rPr>
          <w:iCs/>
          <w:i/>
        </w:rPr>
        <w:t xml:space="preserve">ex ante</w:t>
      </w:r>
      <w:r>
        <w:t xml:space="preserve">, con un modelo de costos y una simulación de Monte Carlo, sobre los 2.234,60 m</w:t>
      </w:r>
      <w:r>
        <w:rPr>
          <w:vertAlign w:val="superscript"/>
        </w:rPr>
        <w:t xml:space="preserve">2</w:t>
      </w:r>
      <w:r>
        <w:t xml:space="preserve"> </w:t>
      </w:r>
      <w:r>
        <w:t xml:space="preserve">restantes.</w:t>
      </w:r>
    </w:p>
    <w:p>
      <w:pPr>
        <w:pStyle w:val="BodyText"/>
      </w:pPr>
      <w:r>
        <w:t xml:space="preserve">El SGC diseñado permite reducir el costo por dos vías: disminuye el desperdicio de materiales y los retrabajos, que forman el costo de no calidad, y controla las cantidades que se miden y se pagan. Por la primera vía, la simulación estimó una reducción media del costo unitario del 1,47 %, de Bs 278,59 a Bs 274,48/m</w:t>
      </w:r>
      <w:r>
        <w:rPr>
          <w:vertAlign w:val="superscript"/>
        </w:rPr>
        <w:t xml:space="preserve">2</w:t>
      </w:r>
      <w:r>
        <w:t xml:space="preserve">; una probabilidad de 0,9422 de que el costo disminuya; una reducción del costo de no calidad del 44,82 %, y un ahorro esperado de Bs 9.177 en el saldo de la obra.</w:t>
      </w:r>
    </w:p>
    <w:p>
      <w:pPr>
        <w:pStyle w:val="BodyText"/>
      </w:pPr>
      <w:r>
        <w:t xml:space="preserve">Sin embargo, la reducción no alcanzó la magnitud planteada en la hipótesis general. La probabilidad de que el costo unitario bajara al menos un 5 % fue de 0,0008, muy inferior al criterio de 0,95; por tanto, la hipótesis general no se acepta y se mantiene la hipótesis nula. La causa es estructural: el SGC solo actúa sobre el costo de no calidad, que en la línea base representó el 7,12 % del costo unitario, y el propio sistema cuesta el 1,79 %. Aun con una eficacia del 100 %, la reducción llegaría al 5,35 %, y alcanzar el 5 % exigiría una eficacia del 95,1 %, superior a la que reporta la literatura revisada.</w:t>
      </w:r>
    </w:p>
    <w:p>
      <w:pPr>
        <w:pStyle w:val="BodyText"/>
      </w:pPr>
      <w:r>
        <w:t xml:space="preserve">Las hipótesis específicas, en cambio, se aceptan: el SGC reduce el índice de desperdicio de materiales (HE1) y el costo de no calidad (HE2), con probabilidades de 1,0000 y 1,0000, siempre que el sistema se aplique efectivamente en obra. En síntesis, el SGC reduce el costo en el sentido esperado, pero en un solo ítem su efecto es menor que el previsto. Para la UATF, una parte importante del beneficio está en asegurar la conformidad del hormigón y en controlar las cantidades que se pagan.</w:t>
      </w:r>
    </w:p>
    <w:p>
      <w:pPr>
        <w:pStyle w:val="Heading2"/>
      </w:pPr>
      <w:bookmarkStart w:id="217" w:name="tit151"/>
      <w:r>
        <w:t xml:space="preserve">2. Conclusiones específicas</w:t>
      </w:r>
      <w:bookmarkEnd w:id="217"/>
    </w:p>
    <w:p>
      <w:pPr>
        <w:pStyle w:val="FirstParagraph"/>
      </w:pPr>
      <w:r>
        <w:rPr>
          <w:bCs/>
          <w:b/>
        </w:rPr>
        <w:t xml:space="preserve">OE1. Gestión de la calidad de la primera losa.</w:t>
      </w:r>
      <w:r>
        <w:t xml:space="preserve"> </w:t>
      </w:r>
      <w:r>
        <w:t xml:space="preserve">La primera losa se ejecutó sin un sistema de gestión de la calidad. El cumplimiento de los requisitos de la norma ISO 9001:2026 fue del 19,8 %, con todas las cláusulas en el rango deficiente; las más débiles fueron la mejora (10,0 %) y la planificación (12,5 %). Se identificaron 22 no conformidades, el 54,5 % de ellas en la medición y la gestión. Las más relevantes fueron que la losa se certificó para pago sin ensayos de resistencia de su hormigón, que los certificados de las viguetas y del EPS son posteriores al inicio del armado y que no hubo registros de consumo de materiales ni de no conformidades. Además, las cantidades de acero presentan inconsistencias documentales que deben verificar la Supervisión y la Fiscalización. La causa raíz común fue que la calidad se confió a la verificación puntual de la Supervisión antes de cada vaciado, sin criterios escritos, registros ni seguimiento (Sección 2.5).</w:t>
      </w:r>
    </w:p>
    <w:p>
      <w:pPr>
        <w:pStyle w:val="BodyText"/>
      </w:pPr>
      <w:r>
        <w:rPr>
          <w:bCs/>
          <w:b/>
        </w:rPr>
        <w:t xml:space="preserve">OE2. Línea base de desperdicio y de costo de no calidad.</w:t>
      </w:r>
      <w:r>
        <w:t xml:space="preserve"> </w:t>
      </w:r>
      <w:r>
        <w:t xml:space="preserve">De los cuatro materiales de la losa, solo dos tuvieron un dato documental para calcular su índice de desperdicio. Del EPS se entregaron 2.350 piezas frente a 2.237,9 teóricas, lo que da un índice de 5,01 %. Del acero se pagó un 16,75 % más que la cantidad teórica; ese valor se usó como una aproximación, porque es una cantidad pagada y no un consumo medido. Para el hormigón y las viguetas no hubo registros de consumo: para el primero se adoptó un valor de la literatura y, para las segundas, un valor supuesto, porque la literatura revisada no ofrece mediciones de referencia. Con los valores más probables, el índice de desperdicio ponderado fue de 7,47 % y el costo de no calidad, de Bs 19,60/m</w:t>
      </w:r>
      <w:r>
        <w:rPr>
          <w:vertAlign w:val="superscript"/>
        </w:rPr>
        <w:t xml:space="preserve">2</w:t>
      </w:r>
      <w:r>
        <w:t xml:space="preserve">, el 7,12 % del costo unitario; con la incertidumbre de los parámetros, la media de ese costo fue de Bs 22,80/m</w:t>
      </w:r>
      <w:r>
        <w:rPr>
          <w:vertAlign w:val="superscript"/>
        </w:rPr>
        <w:t xml:space="preserve">2</w:t>
      </w:r>
      <w:r>
        <w:t xml:space="preserve">. El acero, los retrabajos y el hormigón concentraron la mayor parte del costo de no calidad (Sección 2.5.4). La falta de registros de consumo es en sí misma un resultado: sin ellos, el desperdicio de la losa no podía conocerse ni controlarse.</w:t>
      </w:r>
    </w:p>
    <w:p>
      <w:pPr>
        <w:pStyle w:val="BodyText"/>
      </w:pPr>
      <w:r>
        <w:rPr>
          <w:bCs/>
          <w:b/>
        </w:rPr>
        <w:t xml:space="preserve">OE3. Componentes del SGC.</w:t>
      </w:r>
      <w:r>
        <w:t xml:space="preserve"> </w:t>
      </w:r>
      <w:r>
        <w:t xml:space="preserve">Se estableció un SGC del proyecto organizado sobre las cláusulas 4 a 10 de la norma ISO 9001:2026 y concretado en un plan de la calidad del ítem según la norma ISO 10005:2018 (Sección 2.6). Sus componentes son la política y doce objetivos de la calidad con metas; las matrices de riesgos y de responsabilidades; un plan de puntos de inspección y ensayo (PPI) con catorce controles, cuatro de ellos puntos de espera; cinco procedimientos de control de materiales, desde la recepción hasta la conciliación de las cantidades teóricas, entregadas, colocadas, medidas y pagadas; el control del hormigón según el capítulo 26 del ACI 318-25, con al menos cinco ensayos de resistencia por losa; el procedimiento de no conformidades y acción correctiva; el registro de los costos de prevención, evaluación y fallas, y los formatos C.1 a C.8 (Anexo C). Cada una de las nueve brechas del diagnóstico quedó vinculada con un requisito de la norma, un componente del sistema y un indicador. Con los valores más probables, el sistema cuesta Bs 4,86 por m</w:t>
      </w:r>
      <w:r>
        <w:rPr>
          <w:vertAlign w:val="superscript"/>
        </w:rPr>
        <w:t xml:space="preserve">2</w:t>
      </w:r>
      <w:r>
        <w:t xml:space="preserve"> </w:t>
      </w:r>
      <w:r>
        <w:t xml:space="preserve">del saldo.</w:t>
      </w:r>
    </w:p>
    <w:p>
      <w:pPr>
        <w:pStyle w:val="BodyText"/>
      </w:pPr>
      <w:r>
        <w:rPr>
          <w:bCs/>
          <w:b/>
        </w:rPr>
        <w:t xml:space="preserve">OE4. Efecto del SGC sobre el costo y el desperdicio.</w:t>
      </w:r>
      <w:r>
        <w:t xml:space="preserve"> </w:t>
      </w:r>
      <w:r>
        <w:t xml:space="preserve">Con los valores más probables, el costo unitario bajó de Bs 275,38 a Bs 271,46/m</w:t>
      </w:r>
      <w:r>
        <w:rPr>
          <w:vertAlign w:val="superscript"/>
        </w:rPr>
        <w:t xml:space="preserve">2</w:t>
      </w:r>
      <w:r>
        <w:t xml:space="preserve">, una reducción del 1,43 %. En los 20.000 escenarios de la simulación (Sección 2.7.2), la reducción media fue del 1,47 %, con percentiles 5 y 95 de -0,05 % y 3,21 %; el índice de desperdicio ponderado medio bajó de 8,16 % a 4,70 %, y el costo de no calidad medio, de Bs 22,80 a Bs 12,58/m</w:t>
      </w:r>
      <w:r>
        <w:rPr>
          <w:vertAlign w:val="superscript"/>
        </w:rPr>
        <w:t xml:space="preserve">2</w:t>
      </w:r>
      <w:r>
        <w:t xml:space="preserve">. Entre esos mismos percentiles, el ahorro en el saldo fue de Bs -328 a Bs 20.328. Los parámetros que más influyeron en el resultado fueron el costo del SGC, la fracción de retrabajo de la línea base y la eficacia del sistema sobre los retrabajos. Con una misma eficacia para todos los materiales y los retrabajos, el SGC compensa su propio costo desde una eficacia del 24,8 %. Si no se aplicara en obra en el 15 % de los casos, la reducción media bajaría al 0,90 %; si se incluyeran los costos ocultos de no calidad, subiría al 3,22 %. El sistema deja de ser rentable si su eficacia es claramente menor que la reportada en la literatura o si su costo se duplica (Tabla 51).</w:t>
      </w:r>
    </w:p>
    <w:p>
      <w:pPr>
        <w:pStyle w:val="BodyText"/>
      </w:pPr>
      <w:r>
        <w:rPr>
          <w:bCs/>
          <w:b/>
        </w:rPr>
        <w:t xml:space="preserve">OE5. Contraste de las hipótesis y validación del SGC.</w:t>
      </w:r>
      <w:r>
        <w:t xml:space="preserve"> </w:t>
      </w:r>
      <w:r>
        <w:t xml:space="preserve">El contraste se realizó con reglas de decisión probabilísticas, equivalentes a un nivel de significancia de 0,05: una hipótesis se aceptaba si su condición se cumplía con una probabilidad de al menos 0,95 en los escenarios simulados (Sección 2.9). Con esa regla, la hipótesis general no se aceptó, con una probabilidad de 0,0008, y se aceptaron HE1 y HE2, con probabilidades de 1,0000 y 1,0000. La decisión sobre la hipótesis general se mantuvo en todas las variantes de los supuestos y en el escenario con costos ocultos, en el que la probabilidad de alcanzar el umbral fue de 0,1316. Para la validación del SGC, el estudio diseñó el instrumento de juicio de expertos: el formato C.8, en el que al menos tres ingenieros civiles con experiencia en supervisión, control del hormigón o gestión de la calidad califican la pertinencia, la claridad, la suficiencia y la aplicabilidad de cada componente del sistema, y el coeficiente V de Aiken, que acepta los componentes con un valor de al menos 0,70 (Anexo D). Se recomienda aplicarlo antes de implementar el sistema en obra.</w:t>
      </w:r>
    </w:p>
    <w:p>
      <w:pPr>
        <w:pStyle w:val="Heading2"/>
      </w:pPr>
      <w:bookmarkStart w:id="222" w:name="tit152"/>
      <w:r>
        <w:t xml:space="preserve">3. Recomendaciones</w:t>
      </w:r>
      <w:bookmarkEnd w:id="222"/>
    </w:p>
    <w:p>
      <w:pPr>
        <w:pStyle w:val="Heading3"/>
      </w:pPr>
      <w:bookmarkStart w:id="218" w:name="tit153"/>
      <w:r>
        <w:t xml:space="preserve">3.1. Al Departamento de Infraestructura de la UATF</w:t>
      </w:r>
      <w:bookmarkEnd w:id="218"/>
    </w:p>
    <w:p>
      <w:pPr>
        <w:pStyle w:val="Listaetiquetada"/>
      </w:pPr>
      <w:r>
        <w:t xml:space="preserve">(1)</w:t>
        <w:tab/>
        <w:t xml:space="preserve">Validar el SGC por juicio de expertos con el instrumento diseñado en este estudio (Anexo D) e incorporar sus observaciones antes de exigir el sistema en la contratación del saldo de la obra.</w:t>
      </w:r>
    </w:p>
    <w:p>
      <w:pPr>
        <w:pStyle w:val="Listaetiquetada"/>
      </w:pPr>
      <w:r>
        <w:t xml:space="preserve">(2)</w:t>
        <w:tab/>
        <w:t xml:space="preserve">Incluir en el documento base de contratación del saldo, como obligación de la nueva contratista, un plan de la calidad del ítem con el PPI, el plan de muestreo del hormigón y los formatos del Anexo C, y prever que el paño cuyo hormigón aún no tenga resultados a 28 días se certifique con observación y retención de pago.</w:t>
      </w:r>
    </w:p>
    <w:p>
      <w:pPr>
        <w:pStyle w:val="Listaetiquetada"/>
      </w:pPr>
      <w:r>
        <w:t xml:space="preserve">(3)</w:t>
        <w:tab/>
        <w:t xml:space="preserve">Antes de liquidar el contrato resuelto, disponer la conciliación elemento por elemento del cómputo del acero del ítem 8. La línea de la losa computada como 3 </w:t>
      </w:r>
      <m:oMath>
        <m:r>
          <m:rPr>
            <m:sty m:val="p"/>
          </m:rPr>
          <m:t>×</m:t>
        </m:r>
      </m:oMath>
      <w:r>
        <w:t xml:space="preserve"> 4.171,18 kg y las dos versiones de la planilla de cierre son inconsistencias documentales que deben verificar la Supervisión y la Fiscalización. Además, conviene definir con el análisis de precios unitarios contractual si el ítem 13 incluye el acero de la parrilla y de los negativos.</w:t>
      </w:r>
    </w:p>
    <w:p>
      <w:pPr>
        <w:pStyle w:val="Listaetiquetada"/>
      </w:pPr>
      <w:r>
        <w:t xml:space="preserve">(4)</w:t>
        <w:tab/>
        <w:t xml:space="preserve">Actualizar las especificaciones técnicas del ítem: sustituir la CBH-87 y las normas antiguas de cemento, áridos y agua por la NB 1225001-1:2017 y las ediciones vigentes de IBNORCA, incluir la NB 997:2016 para las viguetas, declarar el criterio de aceptación del hormigón, definir la geometría del complemento de EPS y completar los planos con la ubicación de los nervios y de la armadura de negativos.</w:t>
      </w:r>
    </w:p>
    <w:p>
      <w:pPr>
        <w:pStyle w:val="Listaetiquetada"/>
      </w:pPr>
      <w:r>
        <w:t xml:space="preserve">(5)</w:t>
        <w:tab/>
        <w:t xml:space="preserve">Evaluar, con la Supervisión y el proyectista, la conveniencia de verificar en el lugar la resistencia del hormigón de la primera losa, que no tiene ensayos, antes de cargarla con los niveles superiores.</w:t>
      </w:r>
    </w:p>
    <w:p>
      <w:pPr>
        <w:pStyle w:val="Heading3"/>
      </w:pPr>
      <w:bookmarkStart w:id="219" w:name="tit154"/>
      <w:r>
        <w:t xml:space="preserve">3.2. A las futuras empresas contratistas</w:t>
      </w:r>
      <w:bookmarkEnd w:id="219"/>
    </w:p>
    <w:p>
      <w:pPr>
        <w:pStyle w:val="FirstParagraph"/>
      </w:pPr>
      <w:r>
        <w:t xml:space="preserve">Se recomienda aplicar un SGC ligero, con el personal existente y centrado en los controles de mayor efecto: el control volumétrico del hormigón, con la producción limitada al volumen de cada vaciado; el despiece y el prearmado del acero; la recepción de los materiales por lotes, con criterios conocidos, y la conciliación de cantidades por paño. Como el costo del sistema fue uno de los parámetros de mayor influencia y su duplicación lo vuelve no rentable, conviene mantenerlo cerca del valor previsto y registrar los costos de la calidad desde el inicio, para comprobar que la reducción de las fallas supere el costo de la prevención y la evaluación. En un contrato como el estudiado, cuyos precios unitarios incluyen las reparaciones por trabajos defectuosos y no admiten reajuste, la contratista es la principal beneficiaria económica de reducir el desperdicio.</w:t>
      </w:r>
    </w:p>
    <w:p>
      <w:pPr>
        <w:pStyle w:val="Heading3"/>
      </w:pPr>
      <w:bookmarkStart w:id="220" w:name="tit155"/>
      <w:r>
        <w:t xml:space="preserve">3.3. A la Supervisión y la Fiscalización</w:t>
      </w:r>
      <w:bookmarkEnd w:id="220"/>
    </w:p>
    <w:p>
      <w:pPr>
        <w:pStyle w:val="FirstParagraph"/>
      </w:pPr>
      <w:r>
        <w:t xml:space="preserve">Se recomienda liberar cada paño en los puntos de espera del PPI, con la ficha C.2 y el asiento del Libro de Órdenes firmado por el Director de Obra; exigir la toma de probetas en cada vaciado por personal independiente de la producción y no aceptar resistencias proyectadas desde otras edades; exigir los certificados de los materiales por lote o por colada antes de su colocación; aplicar la conciliación de cantidades del procedimiento PCM-04, con la planilla de armado del acero de cada paño, antes de aprobar cada planilla de avance, y registrar las no conformidades y su cierre, para que la calificación de la calidad en los informes se apoye en evidencia objetiva.</w:t>
      </w:r>
    </w:p>
    <w:p>
      <w:pPr>
        <w:pStyle w:val="Heading3"/>
      </w:pPr>
      <w:bookmarkStart w:id="221" w:name="tit156"/>
      <w:r>
        <w:t xml:space="preserve">3.4. Para futuras investigaciones</w:t>
      </w:r>
      <w:bookmarkEnd w:id="221"/>
    </w:p>
    <w:p>
      <w:pPr>
        <w:pStyle w:val="Listaetiquetada"/>
      </w:pPr>
      <w:r>
        <w:t xml:space="preserve">(1)</w:t>
        <w:tab/>
        <w:t xml:space="preserve">Medir el efecto del SGC en obra cuando se ejecute el saldo, con el protocolo de la Sección 2.9.1: registrar los consumos y los costos por paño homólogo, compararlos con la línea base mediante la prueba</w:t>
      </w:r>
      <w:r>
        <w:t xml:space="preserve"> </w:t>
      </w:r>
      <w:r>
        <w:rPr>
          <w:iCs/>
          <w:i/>
        </w:rPr>
        <w:t xml:space="preserve">t</w:t>
      </w:r>
      <w:r>
        <w:t xml:space="preserve"> </w:t>
      </w:r>
      <w:r>
        <w:t xml:space="preserve">para muestras relacionadas o la de Wilcoxon, y actualizar con esos datos los parámetros del modelo.</w:t>
      </w:r>
    </w:p>
    <w:p>
      <w:pPr>
        <w:pStyle w:val="Listaetiquetada"/>
      </w:pPr>
      <w:r>
        <w:t xml:space="preserve">(2)</w:t>
        <w:tab/>
        <w:t xml:space="preserve">Incluir los costos de plazo, como las multas, los gastos generales de las ampliaciones y las esperas por material, y los costos ocultos de no calidad, que el modelo principal no valoró.</w:t>
      </w:r>
    </w:p>
    <w:p>
      <w:pPr>
        <w:pStyle w:val="Listaetiquetada"/>
      </w:pPr>
      <w:r>
        <w:t xml:space="preserve">(3)</w:t>
        <w:tab/>
        <w:t xml:space="preserve">Extender la evaluación a otros ítems de hormigón armado y al proyecto completo, para establecer si a esa escala un SGC alcanza reducciones del orden del 5 %.</w:t>
      </w:r>
    </w:p>
    <w:p>
      <w:pPr>
        <w:pStyle w:val="Listaetiquetada"/>
      </w:pPr>
      <w:r>
        <w:t xml:space="preserve">(4)</w:t>
        <w:tab/>
        <w:t xml:space="preserve">Medir el desperdicio de las viguetas pretensadas y de los complementos de EPS, para los que no se encontraron valores de referencia en la literatura revisada.</w:t>
      </w:r>
    </w:p>
    <w:p>
      <w:pPr>
        <w:pStyle w:val="Listaetiquetada"/>
      </w:pPr>
      <w:r>
        <w:t xml:space="preserve">(5)</w:t>
        <w:tab/>
        <w:t xml:space="preserve">Modelar las correlaciones entre los parámetros y replicar el diagnóstico y el modelo en otras obras de la UATF y de otras entidades públicas, para ampliar la validez externa.</w:t>
      </w:r>
    </w:p>
    <w:p>
      <w:pPr>
        <w:pStyle w:val="Heading2"/>
      </w:pPr>
      <w:bookmarkStart w:id="223" w:name="tit157"/>
      <w:r>
        <w:t xml:space="preserve">4. Limitaciones del estudio</w:t>
      </w:r>
      <w:bookmarkEnd w:id="223"/>
    </w:p>
    <w:p>
      <w:pPr>
        <w:pStyle w:val="FirstParagraph"/>
      </w:pPr>
      <w:r>
        <w:t xml:space="preserve">Las conclusiones anteriores están sujetas a las limitaciones analizadas en la discusión de resultados (Sección 3.9). La evaluación del SGC fue</w:t>
      </w:r>
      <w:r>
        <w:t xml:space="preserve"> </w:t>
      </w:r>
      <w:r>
        <w:rPr>
          <w:iCs/>
          <w:i/>
        </w:rPr>
        <w:t xml:space="preserve">ex ante</w:t>
      </w:r>
      <w:r>
        <w:t xml:space="preserve">, porque la segunda losa no se ejecutó durante la investigación; por ello, el efecto del sistema se estimó con un modelo y no se midió en obra. Los datos provienen de una sola obra y de una sola losa, lo que limita la generalización de los resultados. La línea base no contó con registros de consumo: solo el EPS y el acero tuvieron un dato documental, y ninguno de los dos es un consumo medido; los demás parámetros se tomaron de la literatura o se supusieron. El análisis de precios unitarios contractual no estuvo disponible, por lo que se reconstruyó uno de referencia, calibrado al precio del contrato con un factor de 0,962. Los parámetros se simularon de forma independiente, sin correlaciones entre ellos, y los costos se evaluaron a precios constantes y sin los costos de plazo. El diagnóstico frente a la norma fue documental y no incluyó entrevistas. Por último, la evaluación del SGC se basó en el modelo de costos: el instrumento de validación por juicio de expertos se diseñó, pero no se aplicó durante la investigación.</w:t>
      </w:r>
    </w:p>
    <w:p>
      <w:pPr>
        <w:pStyle w:val="BodyText"/>
      </w:pPr>
      <w:r>
        <w:t xml:space="preserve">Pese a estas limitaciones, la decisión sobre la hipótesis general es robusta, porque la reducción solo supera el umbral con una eficacia cercana al 100 %, muy superior a la que reportan los antecedentes. Las magnitudes de la reducción y del ahorro, en cambio, deben verificarse con datos medidos en obra.</w:t>
      </w:r>
    </w:p>
    <w:p>
      <w:pPr>
        <w:pStyle w:val="Heading1"/>
      </w:pPr>
      <w:bookmarkStart w:id="347" w:name="tit158"/>
      <w:r>
        <w:t xml:space="preserve">Bibliografía</w:t>
      </w:r>
      <w:bookmarkEnd w:id="347"/>
    </w:p>
    <w:p>
      <w:pPr>
        <w:pStyle w:val="Bibliography"/>
      </w:pPr>
      <w:bookmarkStart w:id="226" w:name="ref-abbott2008"/>
      <w:bookmarkStart w:id="346" w:name="refs"/>
      <w:r>
        <w:t xml:space="preserve">Abbott, M. y Rodríguez, T. (2008). Análisis comparativo entre el método de asignación directa y el de optimización para la cuantificación del refuerzo levantado en los apoyos en placas sólidas y su efecto en la generación de desperdicios.</w:t>
      </w:r>
      <w:r>
        <w:t xml:space="preserve"> </w:t>
      </w:r>
      <w:r>
        <w:rPr>
          <w:iCs/>
          <w:i/>
        </w:rPr>
        <w:t xml:space="preserve">Ciencia y Sociedad</w:t>
      </w:r>
      <w:r>
        <w:t xml:space="preserve">,</w:t>
      </w:r>
      <w:r>
        <w:t xml:space="preserve"> </w:t>
      </w:r>
      <w:r>
        <w:rPr>
          <w:iCs/>
          <w:i/>
        </w:rPr>
        <w:t xml:space="preserve">33</w:t>
      </w:r>
      <w:r>
        <w:t xml:space="preserve">(4), 572–594.</w:t>
      </w:r>
      <w:r>
        <w:t xml:space="preserve"> </w:t>
      </w:r>
      <w:hyperlink r:id="rId225">
        <w:r>
          <w:rPr>
            <w:rStyle w:val="Hyperlink"/>
          </w:rPr>
          <w:t xml:space="preserve">https://www.redalyc.org/articulo.oa?id=87012672004</w:t>
        </w:r>
      </w:hyperlink>
      <w:bookmarkEnd w:id="346"/>
      <w:bookmarkEnd w:id="226"/>
    </w:p>
    <w:p>
      <w:pPr>
        <w:pStyle w:val="Bibliography"/>
      </w:pPr>
      <w:bookmarkStart w:id="227" w:name="ref-aci318_2025"/>
      <w:r>
        <w:t xml:space="preserve">ACI Committee 318. (2025).</w:t>
      </w:r>
      <w:r>
        <w:t xml:space="preserve"> </w:t>
      </w:r>
      <w:r>
        <w:rPr>
          <w:iCs/>
          <w:i/>
        </w:rPr>
        <w:t xml:space="preserve">Building code for structural concrete: Code requirements and commentary (</w:t>
      </w:r>
      <w:r>
        <w:rPr>
          <w:iCs/>
          <w:i/>
        </w:rPr>
        <w:t xml:space="preserve">ACI CODE-318-25</w:t>
      </w:r>
      <w:r>
        <w:rPr>
          <w:iCs/>
          <w:i/>
        </w:rPr>
        <w:t xml:space="preserve">)</w:t>
      </w:r>
      <w:r>
        <w:t xml:space="preserve">. American Concrete Institute.</w:t>
      </w:r>
      <w:bookmarkEnd w:id="227"/>
    </w:p>
    <w:p>
      <w:pPr>
        <w:pStyle w:val="Bibliography"/>
      </w:pPr>
      <w:bookmarkStart w:id="229" w:name="ref-aguilar2016"/>
      <w:r>
        <w:t xml:space="preserve">Aguilar Caseux, K. O. y Torres Benites, V. Y. (2016).</w:t>
      </w:r>
      <w:r>
        <w:t xml:space="preserve"> </w:t>
      </w:r>
      <w:r>
        <w:rPr>
          <w:iCs/>
          <w:i/>
        </w:rPr>
        <w:t xml:space="preserve">Costos de calidad y costos de no calidad en las estructuras de las obras de</w:t>
      </w:r>
      <w:r>
        <w:rPr>
          <w:iCs/>
          <w:i/>
        </w:rPr>
        <w:t xml:space="preserve"> </w:t>
      </w:r>
      <w:r>
        <w:rPr>
          <w:iCs/>
          <w:i/>
        </w:rPr>
        <w:t xml:space="preserve">COAM</w:t>
      </w:r>
      <w:r>
        <w:rPr>
          <w:iCs/>
          <w:i/>
        </w:rPr>
        <w:t xml:space="preserve"> </w:t>
      </w:r>
      <w:r>
        <w:rPr>
          <w:iCs/>
          <w:i/>
        </w:rPr>
        <w:t xml:space="preserve">Contratistas</w:t>
      </w:r>
      <w:r>
        <w:rPr>
          <w:iCs/>
          <w:i/>
        </w:rPr>
        <w:t xml:space="preserve"> </w:t>
      </w:r>
      <w:r>
        <w:rPr>
          <w:iCs/>
          <w:i/>
        </w:rPr>
        <w:t xml:space="preserve">SAC</w:t>
      </w:r>
      <w:r>
        <w:rPr>
          <w:iCs/>
          <w:i/>
        </w:rPr>
        <w:t xml:space="preserve">, 2015</w:t>
      </w:r>
      <w:r>
        <w:t xml:space="preserve"> </w:t>
      </w:r>
      <w:r>
        <w:t xml:space="preserve">[Tesis de licenciatura, Universidad Privada Antenor Orrego].</w:t>
      </w:r>
      <w:r>
        <w:t xml:space="preserve"> </w:t>
      </w:r>
      <w:hyperlink r:id="rId228">
        <w:r>
          <w:rPr>
            <w:rStyle w:val="Hyperlink"/>
          </w:rPr>
          <w:t xml:space="preserve">https://hdl.handle.net/20.500.12759/2055</w:t>
        </w:r>
      </w:hyperlink>
      <w:bookmarkEnd w:id="229"/>
    </w:p>
    <w:p>
      <w:pPr>
        <w:pStyle w:val="Bibliography"/>
      </w:pPr>
      <w:bookmarkStart w:id="231" w:name="ref-alcon2009"/>
      <w:r>
        <w:t xml:space="preserve">Alcón Aranda, M. W. (2009).</w:t>
      </w:r>
      <w:r>
        <w:t xml:space="preserve"> </w:t>
      </w:r>
      <w:r>
        <w:rPr>
          <w:iCs/>
          <w:i/>
        </w:rPr>
        <w:t xml:space="preserve">Evaluación del proceso de fabricación y aplicación de viguetas pretensadas en estructuras</w:t>
      </w:r>
      <w:r>
        <w:t xml:space="preserve"> </w:t>
      </w:r>
      <w:r>
        <w:t xml:space="preserve">[Tesis de licenciatura, Universidad Mayor de San Andrés].</w:t>
      </w:r>
      <w:r>
        <w:t xml:space="preserve"> </w:t>
      </w:r>
      <w:hyperlink r:id="rId230">
        <w:r>
          <w:rPr>
            <w:rStyle w:val="Hyperlink"/>
          </w:rPr>
          <w:t xml:space="preserve">https://repositorio.umsa.bo/handle/123456789/7465</w:t>
        </w:r>
      </w:hyperlink>
      <w:bookmarkEnd w:id="231"/>
    </w:p>
    <w:p>
      <w:pPr>
        <w:pStyle w:val="Bibliography"/>
      </w:pPr>
      <w:bookmarkStart w:id="233" w:name="ref-alfaro2011"/>
      <w:r>
        <w:t xml:space="preserve">Alfaro Félix, O. C. (2011).</w:t>
      </w:r>
      <w:r>
        <w:t xml:space="preserve"> </w:t>
      </w:r>
      <w:r>
        <w:rPr>
          <w:iCs/>
          <w:i/>
        </w:rPr>
        <w:t xml:space="preserve">Sistemas de aseguramiento de la calidad en la construcción</w:t>
      </w:r>
      <w:r>
        <w:t xml:space="preserve"> </w:t>
      </w:r>
      <w:r>
        <w:t xml:space="preserve">[Tesis de licenciatura, Pontificia Universidad Católica del Perú].</w:t>
      </w:r>
      <w:r>
        <w:t xml:space="preserve"> </w:t>
      </w:r>
      <w:hyperlink r:id="rId232">
        <w:r>
          <w:rPr>
            <w:rStyle w:val="Hyperlink"/>
          </w:rPr>
          <w:t xml:space="preserve">http://hdl.handle.net/20.500.12404/185</w:t>
        </w:r>
      </w:hyperlink>
      <w:bookmarkEnd w:id="233"/>
    </w:p>
    <w:p>
      <w:pPr>
        <w:pStyle w:val="Bibliography"/>
      </w:pPr>
      <w:bookmarkStart w:id="234" w:name="ref-alvarez2014"/>
      <w:r>
        <w:t xml:space="preserve">Álvarez Quintero, L. R. (2014).</w:t>
      </w:r>
      <w:r>
        <w:t xml:space="preserve"> </w:t>
      </w:r>
      <w:r>
        <w:rPr>
          <w:iCs/>
          <w:i/>
        </w:rPr>
        <w:t xml:space="preserve">Gestión de la calidad en la reducción de los reprocesos en los proyectos de construcción civil</w:t>
      </w:r>
      <w:r>
        <w:t xml:space="preserve"> </w:t>
      </w:r>
      <w:r>
        <w:t xml:space="preserve">[Monografía de especialización]. Universidad de Cartagena.</w:t>
      </w:r>
      <w:bookmarkEnd w:id="234"/>
    </w:p>
    <w:p>
      <w:pPr>
        <w:pStyle w:val="Bibliography"/>
      </w:pPr>
      <w:bookmarkStart w:id="235" w:name="ref-barrios2021resultados"/>
      <w:r>
        <w:t xml:space="preserve">Barrios C., J. C. (2021a).</w:t>
      </w:r>
      <w:r>
        <w:t xml:space="preserve"> </w:t>
      </w:r>
      <w:r>
        <w:rPr>
          <w:iCs/>
          <w:i/>
        </w:rPr>
        <w:t xml:space="preserve">Comunicación de resultados</w:t>
      </w:r>
      <w:r>
        <w:t xml:space="preserve"> </w:t>
      </w:r>
      <w:r>
        <w:t xml:space="preserve">[Diapositivas de clase, Taller 5].</w:t>
      </w:r>
      <w:bookmarkEnd w:id="235"/>
    </w:p>
    <w:p>
      <w:pPr>
        <w:pStyle w:val="Bibliography"/>
      </w:pPr>
      <w:bookmarkStart w:id="236" w:name="ref-barrios2021documento"/>
      <w:r>
        <w:t xml:space="preserve">Barrios C., J. C. (2021b).</w:t>
      </w:r>
      <w:r>
        <w:t xml:space="preserve"> </w:t>
      </w:r>
      <w:r>
        <w:rPr>
          <w:iCs/>
          <w:i/>
        </w:rPr>
        <w:t xml:space="preserve">Documento de graduación</w:t>
      </w:r>
      <w:r>
        <w:t xml:space="preserve"> </w:t>
      </w:r>
      <w:r>
        <w:t xml:space="preserve">[Diapositivas de clase, Taller 1].</w:t>
      </w:r>
      <w:bookmarkEnd w:id="236"/>
    </w:p>
    <w:p>
      <w:pPr>
        <w:pStyle w:val="Bibliography"/>
      </w:pPr>
      <w:bookmarkStart w:id="237" w:name="ref-barrios2021modelo"/>
      <w:r>
        <w:t xml:space="preserve">Barrios C., J. C. (2021c).</w:t>
      </w:r>
      <w:r>
        <w:t xml:space="preserve"> </w:t>
      </w:r>
      <w:r>
        <w:rPr>
          <w:iCs/>
          <w:i/>
        </w:rPr>
        <w:t xml:space="preserve">Modelo de investigación</w:t>
      </w:r>
      <w:r>
        <w:t xml:space="preserve"> </w:t>
      </w:r>
      <w:r>
        <w:t xml:space="preserve">[Diapositivas de clase, Taller 4].</w:t>
      </w:r>
      <w:bookmarkEnd w:id="237"/>
    </w:p>
    <w:p>
      <w:pPr>
        <w:pStyle w:val="Bibliography"/>
      </w:pPr>
      <w:bookmarkStart w:id="238" w:name="ref-barrios2021citas"/>
      <w:r>
        <w:t xml:space="preserve">Barrios C., J. C. (2021d).</w:t>
      </w:r>
      <w:r>
        <w:t xml:space="preserve"> </w:t>
      </w:r>
      <w:r>
        <w:rPr>
          <w:iCs/>
          <w:i/>
        </w:rPr>
        <w:t xml:space="preserve">Normas de citas y referencias</w:t>
      </w:r>
      <w:r>
        <w:t xml:space="preserve"> </w:t>
      </w:r>
      <w:r>
        <w:t xml:space="preserve">[Diapositivas de clase, Taller 2].</w:t>
      </w:r>
      <w:bookmarkEnd w:id="238"/>
    </w:p>
    <w:p>
      <w:pPr>
        <w:pStyle w:val="Bibliography"/>
      </w:pPr>
      <w:bookmarkStart w:id="240" w:name="ref-cajias2023"/>
      <w:r>
        <w:t xml:space="preserve">Cajías Luna, E. C. (2023).</w:t>
      </w:r>
      <w:r>
        <w:t xml:space="preserve"> </w:t>
      </w:r>
      <w:r>
        <w:rPr>
          <w:iCs/>
          <w:i/>
        </w:rPr>
        <w:t xml:space="preserve">Control de calidad en la supervisión de obras municipales</w:t>
      </w:r>
      <w:r>
        <w:t xml:space="preserve"> </w:t>
      </w:r>
      <w:r>
        <w:t xml:space="preserve">[Memoria laboral de licenciatura, Universidad Mayor de San Andrés].</w:t>
      </w:r>
      <w:r>
        <w:t xml:space="preserve"> </w:t>
      </w:r>
      <w:hyperlink r:id="rId239">
        <w:r>
          <w:rPr>
            <w:rStyle w:val="Hyperlink"/>
          </w:rPr>
          <w:t xml:space="preserve">https://repositorio.umsa.bo/handle/123456789/34372</w:t>
        </w:r>
      </w:hyperlink>
      <w:bookmarkEnd w:id="240"/>
    </w:p>
    <w:p>
      <w:pPr>
        <w:pStyle w:val="Bibliography"/>
      </w:pPr>
      <w:bookmarkStart w:id="241" w:name="ref-cadeco2025"/>
      <w:r>
        <w:t xml:space="preserve">Cámara de la Construcción de Tarija. (2025).</w:t>
      </w:r>
      <w:r>
        <w:t xml:space="preserve"> </w:t>
      </w:r>
      <w:r>
        <w:rPr>
          <w:iCs/>
          <w:i/>
        </w:rPr>
        <w:t xml:space="preserve">Pronunciamiento sobre el incremento del precio del cemento</w:t>
      </w:r>
      <w:r>
        <w:t xml:space="preserve"> </w:t>
      </w:r>
      <w:r>
        <w:t xml:space="preserve">[Comunicado].</w:t>
      </w:r>
      <w:bookmarkEnd w:id="241"/>
    </w:p>
    <w:p>
      <w:pPr>
        <w:pStyle w:val="Bibliography"/>
      </w:pPr>
      <w:bookmarkStart w:id="243" w:name="ref-capcha2016"/>
      <w:r>
        <w:t xml:space="preserve">Capcha Canaza, J. (2016).</w:t>
      </w:r>
      <w:r>
        <w:t xml:space="preserve"> </w:t>
      </w:r>
      <w:r>
        <w:rPr>
          <w:iCs/>
          <w:i/>
        </w:rPr>
        <w:t xml:space="preserve">Diseño e implementación para la certificación del producto viguetas prefabricadas con sello</w:t>
      </w:r>
      <w:r>
        <w:rPr>
          <w:iCs/>
          <w:i/>
        </w:rPr>
        <w:t xml:space="preserve"> </w:t>
      </w:r>
      <w:r>
        <w:rPr>
          <w:iCs/>
          <w:i/>
        </w:rPr>
        <w:t xml:space="preserve">IBNORCA</w:t>
      </w:r>
      <w:r>
        <w:rPr>
          <w:iCs/>
          <w:i/>
        </w:rPr>
        <w:t xml:space="preserve"> </w:t>
      </w:r>
      <w:r>
        <w:rPr>
          <w:iCs/>
          <w:i/>
        </w:rPr>
        <w:t xml:space="preserve">de conformidad con la</w:t>
      </w:r>
      <w:r>
        <w:rPr>
          <w:iCs/>
          <w:i/>
        </w:rPr>
        <w:t xml:space="preserve"> </w:t>
      </w:r>
      <w:r>
        <w:rPr>
          <w:iCs/>
          <w:i/>
        </w:rPr>
        <w:t xml:space="preserve">NB</w:t>
      </w:r>
      <w:r>
        <w:rPr>
          <w:iCs/>
          <w:i/>
        </w:rPr>
        <w:t xml:space="preserve"> 997 y un sistema de gestión de la calidad «</w:t>
      </w:r>
      <w:r>
        <w:rPr>
          <w:iCs/>
          <w:i/>
        </w:rPr>
        <w:t xml:space="preserve">Empresa</w:t>
      </w:r>
      <w:r>
        <w:rPr>
          <w:iCs/>
          <w:i/>
        </w:rPr>
        <w:t xml:space="preserve"> </w:t>
      </w:r>
      <w:r>
        <w:rPr>
          <w:iCs/>
          <w:i/>
        </w:rPr>
        <w:t xml:space="preserve">PREVITEC</w:t>
      </w:r>
      <w:r>
        <w:rPr>
          <w:iCs/>
          <w:i/>
        </w:rPr>
        <w:t xml:space="preserve"> </w:t>
      </w:r>
      <w:r>
        <w:rPr>
          <w:iCs/>
          <w:i/>
        </w:rPr>
        <w:t xml:space="preserve">S.R.L.</w:t>
      </w:r>
      <w:r>
        <w:rPr>
          <w:iCs/>
          <w:i/>
        </w:rPr>
        <w:t xml:space="preserve">»</w:t>
      </w:r>
      <w:r>
        <w:t xml:space="preserve"> </w:t>
      </w:r>
      <w:r>
        <w:t xml:space="preserve">[Proyecto de grado de licenciatura, Universidad Mayor de San Andrés].</w:t>
      </w:r>
      <w:r>
        <w:t xml:space="preserve"> </w:t>
      </w:r>
      <w:hyperlink r:id="rId242">
        <w:r>
          <w:rPr>
            <w:rStyle w:val="Hyperlink"/>
          </w:rPr>
          <w:t xml:space="preserve">https://repositorio.umsa.bo/handle/123456789/21835</w:t>
        </w:r>
      </w:hyperlink>
      <w:bookmarkEnd w:id="243"/>
    </w:p>
    <w:p>
      <w:pPr>
        <w:pStyle w:val="Bibliography"/>
      </w:pPr>
      <w:bookmarkStart w:id="245" w:name="ref-castaneda2017"/>
      <w:r>
        <w:t xml:space="preserve">Castañeda Briceño, C. A. (2017).</w:t>
      </w:r>
      <w:r>
        <w:t xml:space="preserve"> </w:t>
      </w:r>
      <w:r>
        <w:rPr>
          <w:iCs/>
          <w:i/>
        </w:rPr>
        <w:t xml:space="preserve">Uso de viguetas pretensadas para el incremento de la productividad en la obra</w:t>
      </w:r>
      <w:r>
        <w:rPr>
          <w:iCs/>
          <w:i/>
        </w:rPr>
        <w:t xml:space="preserve"> </w:t>
      </w:r>
      <w:r>
        <w:rPr>
          <w:iCs/>
          <w:i/>
        </w:rPr>
        <w:t xml:space="preserve">Escuela</w:t>
      </w:r>
      <w:r>
        <w:rPr>
          <w:iCs/>
          <w:i/>
        </w:rPr>
        <w:t xml:space="preserve"> </w:t>
      </w:r>
      <w:r>
        <w:rPr>
          <w:iCs/>
          <w:i/>
        </w:rPr>
        <w:t xml:space="preserve">PNP</w:t>
      </w:r>
      <w:r>
        <w:rPr>
          <w:iCs/>
          <w:i/>
        </w:rPr>
        <w:t xml:space="preserve">-</w:t>
      </w:r>
      <w:r>
        <w:rPr>
          <w:iCs/>
          <w:i/>
        </w:rPr>
        <w:t xml:space="preserve">Puente</w:t>
      </w:r>
      <w:r>
        <w:rPr>
          <w:iCs/>
          <w:i/>
        </w:rPr>
        <w:t xml:space="preserve"> </w:t>
      </w:r>
      <w:r>
        <w:rPr>
          <w:iCs/>
          <w:i/>
        </w:rPr>
        <w:t xml:space="preserve">Piedra</w:t>
      </w:r>
      <w:r>
        <w:rPr>
          <w:iCs/>
          <w:i/>
        </w:rPr>
        <w:t xml:space="preserve">-</w:t>
      </w:r>
      <w:r>
        <w:rPr>
          <w:iCs/>
          <w:i/>
        </w:rPr>
        <w:t xml:space="preserve">Lima</w:t>
      </w:r>
      <w:r>
        <w:rPr>
          <w:iCs/>
          <w:i/>
        </w:rPr>
        <w:t xml:space="preserve">-2017</w:t>
      </w:r>
      <w:r>
        <w:t xml:space="preserve"> </w:t>
      </w:r>
      <w:r>
        <w:t xml:space="preserve">[Tesis de licenciatura, Universidad César Vallejo].</w:t>
      </w:r>
      <w:r>
        <w:t xml:space="preserve"> </w:t>
      </w:r>
      <w:hyperlink r:id="rId244">
        <w:r>
          <w:rPr>
            <w:rStyle w:val="Hyperlink"/>
          </w:rPr>
          <w:t xml:space="preserve">https://hdl.handle.net/20.500.12692/23107</w:t>
        </w:r>
      </w:hyperlink>
      <w:bookmarkEnd w:id="245"/>
    </w:p>
    <w:p>
      <w:pPr>
        <w:pStyle w:val="Bibliography"/>
      </w:pPr>
      <w:bookmarkStart w:id="247" w:name="ref-ccoyllo2016"/>
      <w:r>
        <w:t xml:space="preserve">Ccoyllo Sifuentes, M. A. (2016).</w:t>
      </w:r>
      <w:r>
        <w:t xml:space="preserve"> </w:t>
      </w:r>
      <w:r>
        <w:rPr>
          <w:iCs/>
          <w:i/>
        </w:rPr>
        <w:t xml:space="preserve">Mejoramiento de la productividad para una reducción de los desperdicios de materiales de un proyecto de edificaciones en</w:t>
      </w:r>
      <w:r>
        <w:rPr>
          <w:iCs/>
          <w:i/>
        </w:rPr>
        <w:t xml:space="preserve"> </w:t>
      </w:r>
      <w:r>
        <w:rPr>
          <w:iCs/>
          <w:i/>
        </w:rPr>
        <w:t xml:space="preserve">San</w:t>
      </w:r>
      <w:r>
        <w:rPr>
          <w:iCs/>
          <w:i/>
        </w:rPr>
        <w:t xml:space="preserve"> </w:t>
      </w:r>
      <w:r>
        <w:rPr>
          <w:iCs/>
          <w:i/>
        </w:rPr>
        <w:t xml:space="preserve">Borja</w:t>
      </w:r>
      <w:r>
        <w:rPr>
          <w:iCs/>
          <w:i/>
        </w:rPr>
        <w:t xml:space="preserve"> </w:t>
      </w:r>
      <w:r>
        <w:rPr>
          <w:iCs/>
          <w:i/>
        </w:rPr>
        <w:t xml:space="preserve">en el 2016</w:t>
      </w:r>
      <w:r>
        <w:t xml:space="preserve"> </w:t>
      </w:r>
      <w:r>
        <w:t xml:space="preserve">[Tesis de licenciatura, Universidad César Vallejo].</w:t>
      </w:r>
      <w:r>
        <w:t xml:space="preserve"> </w:t>
      </w:r>
      <w:hyperlink r:id="rId246">
        <w:r>
          <w:rPr>
            <w:rStyle w:val="Hyperlink"/>
          </w:rPr>
          <w:t xml:space="preserve">https://hdl.handle.net/20.500.12692/21410</w:t>
        </w:r>
      </w:hyperlink>
      <w:bookmarkEnd w:id="247"/>
    </w:p>
    <w:p>
      <w:pPr>
        <w:pStyle w:val="Bibliography"/>
      </w:pPr>
      <w:bookmarkStart w:id="248" w:name="ref-cepeda2017"/>
      <w:r>
        <w:t xml:space="preserve">Cepeda Godoy, H. M. (2017).</w:t>
      </w:r>
      <w:r>
        <w:t xml:space="preserve"> </w:t>
      </w:r>
      <w:r>
        <w:rPr>
          <w:iCs/>
          <w:i/>
        </w:rPr>
        <w:t xml:space="preserve">Análisis de gestión de calidad en los procesos de planificación y construcción de departamentos en edificios de la ciudad de</w:t>
      </w:r>
      <w:r>
        <w:rPr>
          <w:iCs/>
          <w:i/>
        </w:rPr>
        <w:t xml:space="preserve"> </w:t>
      </w:r>
      <w:r>
        <w:rPr>
          <w:iCs/>
          <w:i/>
        </w:rPr>
        <w:t xml:space="preserve">Riobamba</w:t>
      </w:r>
      <w:r>
        <w:rPr>
          <w:iCs/>
          <w:i/>
        </w:rPr>
        <w:t xml:space="preserve">, creación de un plan de control de calidad</w:t>
      </w:r>
      <w:r>
        <w:t xml:space="preserve"> </w:t>
      </w:r>
      <w:r>
        <w:t xml:space="preserve">[Tesis de maestría]. Universidad de Cuenca.</w:t>
      </w:r>
      <w:bookmarkEnd w:id="248"/>
    </w:p>
    <w:p>
      <w:pPr>
        <w:pStyle w:val="Bibliography"/>
      </w:pPr>
      <w:bookmarkStart w:id="250" w:name="ref-chino2024"/>
      <w:r>
        <w:t xml:space="preserve">Chino Quispe, A. y Zarate Chilqquetuma, K. B. (2024).</w:t>
      </w:r>
      <w:r>
        <w:t xml:space="preserve"> </w:t>
      </w:r>
      <w:r>
        <w:rPr>
          <w:iCs/>
          <w:i/>
        </w:rPr>
        <w:t xml:space="preserve">Análisis comparativo del método de despiece de acero pre ejecución frente al acero dimensionado y uso convencional del acero corrugado en la construcción de edificaciones en la ciudad del</w:t>
      </w:r>
      <w:r>
        <w:rPr>
          <w:iCs/>
          <w:i/>
        </w:rPr>
        <w:t xml:space="preserve"> </w:t>
      </w:r>
      <w:r>
        <w:rPr>
          <w:iCs/>
          <w:i/>
        </w:rPr>
        <w:t xml:space="preserve">Cusco</w:t>
      </w:r>
      <w:r>
        <w:rPr>
          <w:iCs/>
          <w:i/>
        </w:rPr>
        <w:t xml:space="preserve"> </w:t>
      </w:r>
      <w:r>
        <w:rPr>
          <w:iCs/>
          <w:i/>
        </w:rPr>
        <w:t xml:space="preserve">2023</w:t>
      </w:r>
      <w:r>
        <w:t xml:space="preserve"> </w:t>
      </w:r>
      <w:r>
        <w:t xml:space="preserve">[Tesis de licenciatura, Universidad Nacional de San Antonio Abad del Cusco].</w:t>
      </w:r>
      <w:r>
        <w:t xml:space="preserve"> </w:t>
      </w:r>
      <w:hyperlink r:id="rId249">
        <w:r>
          <w:rPr>
            <w:rStyle w:val="Hyperlink"/>
          </w:rPr>
          <w:t xml:space="preserve">https://hdl.handle.net/20.500.12918/9553</w:t>
        </w:r>
      </w:hyperlink>
      <w:bookmarkEnd w:id="250"/>
    </w:p>
    <w:p>
      <w:pPr>
        <w:pStyle w:val="Bibliography"/>
      </w:pPr>
      <w:bookmarkStart w:id="252" w:name="ref-cocarico2022"/>
      <w:r>
        <w:t xml:space="preserve">Cocarico Mamani, F. C. (2022).</w:t>
      </w:r>
      <w:r>
        <w:t xml:space="preserve"> </w:t>
      </w:r>
      <w:r>
        <w:rPr>
          <w:iCs/>
          <w:i/>
        </w:rPr>
        <w:t xml:space="preserve">Análisis comparativo técnico-económico de entrepisos de losa nervada postensada con tendones no adheridos y losa nervada de hormigón armado aplicado al</w:t>
      </w:r>
      <w:r>
        <w:rPr>
          <w:iCs/>
          <w:i/>
        </w:rPr>
        <w:t xml:space="preserve"> </w:t>
      </w:r>
      <w:r>
        <w:rPr>
          <w:iCs/>
          <w:i/>
        </w:rPr>
        <w:t xml:space="preserve">Edificio</w:t>
      </w:r>
      <w:r>
        <w:rPr>
          <w:iCs/>
          <w:i/>
        </w:rPr>
        <w:t xml:space="preserve"> </w:t>
      </w:r>
      <w:r>
        <w:rPr>
          <w:iCs/>
          <w:i/>
        </w:rPr>
        <w:t xml:space="preserve">Ares</w:t>
      </w:r>
      <w:r>
        <w:t xml:space="preserve"> </w:t>
      </w:r>
      <w:r>
        <w:t xml:space="preserve">[Proyecto de grado de licenciatura, Universidad Mayor de San Andrés].</w:t>
      </w:r>
      <w:r>
        <w:t xml:space="preserve"> </w:t>
      </w:r>
      <w:hyperlink r:id="rId251">
        <w:r>
          <w:rPr>
            <w:rStyle w:val="Hyperlink"/>
          </w:rPr>
          <w:t xml:space="preserve">https://repositorio.umsa.bo/handle/123456789/41974</w:t>
        </w:r>
      </w:hyperlink>
      <w:bookmarkEnd w:id="252"/>
    </w:p>
    <w:p>
      <w:pPr>
        <w:pStyle w:val="Bibliography"/>
      </w:pPr>
      <w:bookmarkStart w:id="254" w:name="ref-concretec2016plastoformo"/>
      <w:r>
        <w:t xml:space="preserve">Concretec. (2016).</w:t>
      </w:r>
      <w:r>
        <w:t xml:space="preserve"> </w:t>
      </w:r>
      <w:r>
        <w:rPr>
          <w:iCs/>
          <w:i/>
        </w:rPr>
        <w:t xml:space="preserve">Plastoform</w:t>
      </w:r>
      <w:r>
        <w:t xml:space="preserve"> </w:t>
      </w:r>
      <w:r>
        <w:t xml:space="preserve">[Ficha técnica ES-CC-1021, rev.~5.0].</w:t>
      </w:r>
      <w:r>
        <w:t xml:space="preserve"> </w:t>
      </w:r>
      <w:hyperlink r:id="rId253">
        <w:r>
          <w:rPr>
            <w:rStyle w:val="Hyperlink"/>
          </w:rPr>
          <w:t xml:space="preserve">https://www.concretec.com.bo</w:t>
        </w:r>
      </w:hyperlink>
      <w:bookmarkEnd w:id="254"/>
    </w:p>
    <w:p>
      <w:pPr>
        <w:pStyle w:val="Bibliography"/>
      </w:pPr>
      <w:bookmarkStart w:id="255" w:name="ref-concretec2018viguetas"/>
      <w:r>
        <w:t xml:space="preserve">Concretec. (2018).</w:t>
      </w:r>
      <w:r>
        <w:t xml:space="preserve"> </w:t>
      </w:r>
      <w:r>
        <w:rPr>
          <w:iCs/>
          <w:i/>
        </w:rPr>
        <w:t xml:space="preserve">Viguetas pretensadas</w:t>
      </w:r>
      <w:r>
        <w:t xml:space="preserve"> </w:t>
      </w:r>
      <w:r>
        <w:t xml:space="preserve">[Ficha técnica ES-CC-1022, rev.~7.0].</w:t>
      </w:r>
      <w:r>
        <w:t xml:space="preserve"> </w:t>
      </w:r>
      <w:hyperlink r:id="rId253">
        <w:r>
          <w:rPr>
            <w:rStyle w:val="Hyperlink"/>
          </w:rPr>
          <w:t xml:space="preserve">https://www.concretec.com.bo</w:t>
        </w:r>
      </w:hyperlink>
      <w:bookmarkEnd w:id="255"/>
    </w:p>
    <w:p>
      <w:pPr>
        <w:pStyle w:val="Bibliography"/>
      </w:pPr>
      <w:bookmarkStart w:id="257" w:name="ref-delavega2023"/>
      <w:r>
        <w:t xml:space="preserve">De la Vega Sernades, D. (2023).</w:t>
      </w:r>
      <w:r>
        <w:t xml:space="preserve"> </w:t>
      </w:r>
      <w:r>
        <w:rPr>
          <w:iCs/>
          <w:i/>
        </w:rPr>
        <w:t xml:space="preserve">Optimización del empalme y despiece para la reducción del desperdicio de acero mediante Tekla Structures en una edificación aporticada, 2022</w:t>
      </w:r>
      <w:r>
        <w:t xml:space="preserve"> </w:t>
      </w:r>
      <w:r>
        <w:t xml:space="preserve">[Tesis de licenciatura, Universidad César Vallejo].</w:t>
      </w:r>
      <w:r>
        <w:t xml:space="preserve"> </w:t>
      </w:r>
      <w:hyperlink r:id="rId256">
        <w:r>
          <w:rPr>
            <w:rStyle w:val="Hyperlink"/>
          </w:rPr>
          <w:t xml:space="preserve">https://hdl.handle.net/20.500.12692/110765</w:t>
        </w:r>
      </w:hyperlink>
      <w:bookmarkEnd w:id="257"/>
    </w:p>
    <w:p>
      <w:pPr>
        <w:pStyle w:val="Bibliography"/>
      </w:pPr>
      <w:bookmarkStart w:id="259" w:name="ref-dzul2009"/>
      <w:r>
        <w:t xml:space="preserve">Dzul, L. A. y Gracia, S. (2009). Contexto actual de los sistemas de costes de la calidad desarrollados y aplicados a proyectos de construcción: la necesidad de medición de la calidad en el diseño.</w:t>
      </w:r>
      <w:r>
        <w:t xml:space="preserve"> </w:t>
      </w:r>
      <w:r>
        <w:rPr>
          <w:iCs/>
          <w:i/>
        </w:rPr>
        <w:t xml:space="preserve">Informes de la Construcción</w:t>
      </w:r>
      <w:r>
        <w:t xml:space="preserve">,</w:t>
      </w:r>
      <w:r>
        <w:t xml:space="preserve"> </w:t>
      </w:r>
      <w:r>
        <w:rPr>
          <w:iCs/>
          <w:i/>
        </w:rPr>
        <w:t xml:space="preserve">61</w:t>
      </w:r>
      <w:r>
        <w:t xml:space="preserve">(514), 41–50.</w:t>
      </w:r>
      <w:r>
        <w:t xml:space="preserve"> </w:t>
      </w:r>
      <w:hyperlink r:id="rId258">
        <w:r>
          <w:rPr>
            <w:rStyle w:val="Hyperlink"/>
          </w:rPr>
          <w:t xml:space="preserve">https://doi.org/10.3989/ic.07.004</w:t>
        </w:r>
      </w:hyperlink>
      <w:bookmarkEnd w:id="259"/>
    </w:p>
    <w:p>
      <w:pPr>
        <w:pStyle w:val="Bibliography"/>
      </w:pPr>
      <w:bookmarkStart w:id="261" w:name="ref-ds5321_2025"/>
      <w:r>
        <w:t xml:space="preserve">Estado Plurinacional de Bolivia. (2025a).</w:t>
      </w:r>
      <w:r>
        <w:t xml:space="preserve"> </w:t>
      </w:r>
      <w:r>
        <w:rPr>
          <w:iCs/>
          <w:i/>
        </w:rPr>
        <w:t xml:space="preserve">Decreto Supremo N.</w:t>
      </w:r>
      <w:r>
        <w:rPr>
          <w:vertAlign w:val="superscript"/>
          <w:iCs/>
          <w:i/>
        </w:rPr>
        <w:t xml:space="preserve">o</w:t>
      </w:r>
      <w:r>
        <w:rPr>
          <w:iCs/>
          <w:i/>
        </w:rPr>
        <w:t xml:space="preserve"> 5321: mecanismos operativos para el ajuste de precios unitarios de materiales de construcción, maquinaria y equipos, importados, en contratos de obra en ejecución</w:t>
      </w:r>
      <w:r>
        <w:t xml:space="preserve">. Gaceta Oficial del Estado Plurinacional de Bolivia.</w:t>
      </w:r>
      <w:r>
        <w:t xml:space="preserve"> </w:t>
      </w:r>
      <w:hyperlink r:id="rId260">
        <w:r>
          <w:rPr>
            <w:rStyle w:val="Hyperlink"/>
          </w:rPr>
          <w:t xml:space="preserve">http://www.gacetaoficialdebolivia.gob.bo/normas/verGratis_gob/280603</w:t>
        </w:r>
      </w:hyperlink>
      <w:bookmarkEnd w:id="261"/>
    </w:p>
    <w:p>
      <w:pPr>
        <w:pStyle w:val="Bibliography"/>
      </w:pPr>
      <w:bookmarkStart w:id="262" w:name="ref-ds5406_2025"/>
      <w:r>
        <w:t xml:space="preserve">Estado Plurinacional de Bolivia. (2025b).</w:t>
      </w:r>
      <w:r>
        <w:t xml:space="preserve"> </w:t>
      </w:r>
      <w:r>
        <w:rPr>
          <w:iCs/>
          <w:i/>
        </w:rPr>
        <w:t xml:space="preserve">Decreto Supremo N.</w:t>
      </w:r>
      <w:r>
        <w:rPr>
          <w:vertAlign w:val="superscript"/>
          <w:iCs/>
          <w:i/>
        </w:rPr>
        <w:t xml:space="preserve">o</w:t>
      </w:r>
      <w:r>
        <w:rPr>
          <w:iCs/>
          <w:i/>
        </w:rPr>
        <w:t xml:space="preserve"> 5406: modificaciones al Decreto Supremo N.</w:t>
      </w:r>
      <w:r>
        <w:rPr>
          <w:vertAlign w:val="superscript"/>
          <w:iCs/>
          <w:i/>
        </w:rPr>
        <w:t xml:space="preserve">o</w:t>
      </w:r>
      <w:r>
        <w:rPr>
          <w:iCs/>
          <w:i/>
        </w:rPr>
        <w:t xml:space="preserve"> 5321, de 23 de enero de 2025</w:t>
      </w:r>
      <w:r>
        <w:t xml:space="preserve">. Gaceta Oficial del Estado Plurinacional de Bolivia.</w:t>
      </w:r>
      <w:bookmarkEnd w:id="262"/>
    </w:p>
    <w:p>
      <w:pPr>
        <w:pStyle w:val="Bibliography"/>
      </w:pPr>
      <w:bookmarkStart w:id="263" w:name="ref-ds5452_2025"/>
      <w:r>
        <w:t xml:space="preserve">Estado Plurinacional de Bolivia. (2025c).</w:t>
      </w:r>
      <w:r>
        <w:t xml:space="preserve"> </w:t>
      </w:r>
      <w:r>
        <w:rPr>
          <w:iCs/>
          <w:i/>
        </w:rPr>
        <w:t xml:space="preserve">Decreto Supremo N.</w:t>
      </w:r>
      <w:r>
        <w:rPr>
          <w:vertAlign w:val="superscript"/>
          <w:iCs/>
          <w:i/>
        </w:rPr>
        <w:t xml:space="preserve">o</w:t>
      </w:r>
      <w:r>
        <w:rPr>
          <w:iCs/>
          <w:i/>
        </w:rPr>
        <w:t xml:space="preserve"> 5452: modificaciones e incorporaciones en el Decreto Supremo N.</w:t>
      </w:r>
      <w:r>
        <w:rPr>
          <w:vertAlign w:val="superscript"/>
          <w:iCs/>
          <w:i/>
        </w:rPr>
        <w:t xml:space="preserve">o</w:t>
      </w:r>
      <w:r>
        <w:rPr>
          <w:iCs/>
          <w:i/>
        </w:rPr>
        <w:t xml:space="preserve"> 5321, de 23 de enero de 2025</w:t>
      </w:r>
      <w:r>
        <w:t xml:space="preserve">. Gaceta Oficial del Estado Plurinacional de Bolivia.</w:t>
      </w:r>
      <w:bookmarkEnd w:id="263"/>
    </w:p>
    <w:p>
      <w:pPr>
        <w:pStyle w:val="Bibliography"/>
      </w:pPr>
      <w:bookmarkStart w:id="265" w:name="ref-ds5597_2026"/>
      <w:r>
        <w:t xml:space="preserve">Estado Plurinacional de Bolivia. (2026).</w:t>
      </w:r>
      <w:r>
        <w:t xml:space="preserve"> </w:t>
      </w:r>
      <w:r>
        <w:rPr>
          <w:iCs/>
          <w:i/>
        </w:rPr>
        <w:t xml:space="preserve">Decreto Supremo N.</w:t>
      </w:r>
      <w:r>
        <w:rPr>
          <w:vertAlign w:val="superscript"/>
          <w:iCs/>
          <w:i/>
        </w:rPr>
        <w:t xml:space="preserve">o</w:t>
      </w:r>
      <w:r>
        <w:rPr>
          <w:iCs/>
          <w:i/>
        </w:rPr>
        <w:t xml:space="preserve"> 5597: mecanismos operativos para el ajuste de precios de materiales de construcción, maquinaria y equipo en contratos de obra y llave en mano</w:t>
      </w:r>
      <w:r>
        <w:t xml:space="preserve">. Gaceta Oficial del Estado Plurinacional de Bolivia.</w:t>
      </w:r>
      <w:r>
        <w:t xml:space="preserve"> </w:t>
      </w:r>
      <w:hyperlink r:id="rId264">
        <w:r>
          <w:rPr>
            <w:rStyle w:val="Hyperlink"/>
          </w:rPr>
          <w:t xml:space="preserve">http://www.gacetaoficialdebolivia.gob.bo/normas/verGratis_gob/281136</w:t>
        </w:r>
      </w:hyperlink>
      <w:bookmarkEnd w:id="265"/>
    </w:p>
    <w:p>
      <w:pPr>
        <w:pStyle w:val="Bibliography"/>
      </w:pPr>
      <w:bookmarkStart w:id="266" w:name="ref-fancesa2025"/>
      <w:r>
        <w:t xml:space="preserve">Fábrica Nacional de Cemento S. A. (2025).</w:t>
      </w:r>
      <w:r>
        <w:t xml:space="preserve"> </w:t>
      </w:r>
      <w:r>
        <w:rPr>
          <w:iCs/>
          <w:i/>
        </w:rPr>
        <w:t xml:space="preserve">Comunicado a la opinión pública</w:t>
      </w:r>
      <w:r>
        <w:t xml:space="preserve"> </w:t>
      </w:r>
      <w:r>
        <w:t xml:space="preserve">[Comunicado].</w:t>
      </w:r>
      <w:bookmarkEnd w:id="266"/>
    </w:p>
    <w:p>
      <w:pPr>
        <w:pStyle w:val="Bibliography"/>
      </w:pPr>
      <w:bookmarkStart w:id="267" w:name="ref-ucb2025et"/>
      <w:r>
        <w:t xml:space="preserve">Fernando Aragón Ingeniería Estructural. (2025).</w:t>
      </w:r>
      <w:r>
        <w:t xml:space="preserve"> </w:t>
      </w:r>
      <w:r>
        <w:rPr>
          <w:iCs/>
          <w:i/>
        </w:rPr>
        <w:t xml:space="preserve">Pliego de especificaciones técnicas generales: hormigón armado. Proyecto: ampliación del bloque de simulación de medicina y laboratorios de ingeniería y arquitectura</w:t>
      </w:r>
      <w:r>
        <w:t xml:space="preserve"> </w:t>
      </w:r>
      <w:r>
        <w:t xml:space="preserve">[Especificaciones técnicas].</w:t>
      </w:r>
      <w:bookmarkEnd w:id="267"/>
    </w:p>
    <w:p>
      <w:pPr>
        <w:pStyle w:val="Bibliography"/>
      </w:pPr>
      <w:bookmarkStart w:id="269" w:name="ref-ferrer2018"/>
      <w:r>
        <w:t xml:space="preserve">Ferrer Lavado, W. W. (2018).</w:t>
      </w:r>
      <w:r>
        <w:t xml:space="preserve"> </w:t>
      </w:r>
      <w:r>
        <w:rPr>
          <w:iCs/>
          <w:i/>
        </w:rPr>
        <w:t xml:space="preserve">Planeamiento y control de los costos de la calidad en la construcción de una edificación multifamiliar, en el distrito de La Molina - Lima</w:t>
      </w:r>
      <w:r>
        <w:t xml:space="preserve"> </w:t>
      </w:r>
      <w:r>
        <w:t xml:space="preserve">[Tesis de licenciatura, Universidad César Vallejo].</w:t>
      </w:r>
      <w:r>
        <w:t xml:space="preserve"> </w:t>
      </w:r>
      <w:hyperlink r:id="rId268">
        <w:r>
          <w:rPr>
            <w:rStyle w:val="Hyperlink"/>
          </w:rPr>
          <w:t xml:space="preserve">https://hdl.handle.net/20.500.12692/25852</w:t>
        </w:r>
      </w:hyperlink>
      <w:bookmarkEnd w:id="269"/>
    </w:p>
    <w:p>
      <w:pPr>
        <w:pStyle w:val="Bibliography"/>
      </w:pPr>
      <w:bookmarkStart w:id="271" w:name="ref-forcada2017"/>
      <w:r>
        <w:t xml:space="preserve">Forcada, N., Gangolells, M., Casals, M. y Macarulla, M. (2017). Factors affecting rework costs in construction.</w:t>
      </w:r>
      <w:r>
        <w:t xml:space="preserve"> </w:t>
      </w:r>
      <w:r>
        <w:rPr>
          <w:iCs/>
          <w:i/>
        </w:rPr>
        <w:t xml:space="preserve">Journal of Construction Engineering and Management</w:t>
      </w:r>
      <w:r>
        <w:t xml:space="preserve">,</w:t>
      </w:r>
      <w:r>
        <w:t xml:space="preserve"> </w:t>
      </w:r>
      <w:r>
        <w:rPr>
          <w:iCs/>
          <w:i/>
        </w:rPr>
        <w:t xml:space="preserve">143</w:t>
      </w:r>
      <w:r>
        <w:t xml:space="preserve">(8).</w:t>
      </w:r>
      <w:r>
        <w:t xml:space="preserve"> </w:t>
      </w:r>
      <w:hyperlink r:id="rId270">
        <w:r>
          <w:rPr>
            <w:rStyle w:val="Hyperlink"/>
          </w:rPr>
          <w:t xml:space="preserve">https://doi.org/10.1061/(ASCE)CO.1943-7862.0001324</w:t>
        </w:r>
      </w:hyperlink>
      <w:bookmarkEnd w:id="271"/>
    </w:p>
    <w:p>
      <w:pPr>
        <w:pStyle w:val="Bibliography"/>
      </w:pPr>
      <w:bookmarkStart w:id="273" w:name="ref-formoso1999"/>
      <w:r>
        <w:t xml:space="preserve">Formoso, C. T., Isatto, E. L. y Hirota, E. H. (1999). Method for waste control in the building industry. En</w:t>
      </w:r>
      <w:r>
        <w:t xml:space="preserve"> </w:t>
      </w:r>
      <w:r>
        <w:rPr>
          <w:iCs/>
          <w:i/>
        </w:rPr>
        <w:t xml:space="preserve">Proceedings of the 7th Annual Conference of the International Group for Lean Construction (</w:t>
      </w:r>
      <w:r>
        <w:rPr>
          <w:iCs/>
          <w:i/>
        </w:rPr>
        <w:t xml:space="preserve">IGLC</w:t>
      </w:r>
      <w:r>
        <w:rPr>
          <w:iCs/>
          <w:i/>
        </w:rPr>
        <w:t xml:space="preserve">-7)</w:t>
      </w:r>
      <w:r>
        <w:t xml:space="preserve"> </w:t>
      </w:r>
      <w:r>
        <w:t xml:space="preserve">(pp. 325–334). University of California, Berkeley.</w:t>
      </w:r>
      <w:r>
        <w:t xml:space="preserve"> </w:t>
      </w:r>
      <w:hyperlink r:id="rId272">
        <w:r>
          <w:rPr>
            <w:rStyle w:val="Hyperlink"/>
          </w:rPr>
          <w:t xml:space="preserve">https://iglc.net/Papers/Details/69</w:t>
        </w:r>
      </w:hyperlink>
      <w:bookmarkEnd w:id="273"/>
    </w:p>
    <w:p>
      <w:pPr>
        <w:pStyle w:val="Bibliography"/>
      </w:pPr>
      <w:bookmarkStart w:id="275" w:name="ref-galarza2011"/>
      <w:r>
        <w:t xml:space="preserve">Galarza Meza, M. P. (2011).</w:t>
      </w:r>
      <w:r>
        <w:t xml:space="preserve"> </w:t>
      </w:r>
      <w:r>
        <w:rPr>
          <w:iCs/>
          <w:i/>
        </w:rPr>
        <w:t xml:space="preserve">Desperdicio de materiales en obras de construcción civil: métodos de medición y control</w:t>
      </w:r>
      <w:r>
        <w:t xml:space="preserve"> </w:t>
      </w:r>
      <w:r>
        <w:t xml:space="preserve">[Tesis de licenciatura, Pontificia Universidad Católica del Perú].</w:t>
      </w:r>
      <w:r>
        <w:t xml:space="preserve"> </w:t>
      </w:r>
      <w:hyperlink r:id="rId274">
        <w:r>
          <w:rPr>
            <w:rStyle w:val="Hyperlink"/>
          </w:rPr>
          <w:t xml:space="preserve">http://hdl.handle.net/20.500.12404/888</w:t>
        </w:r>
      </w:hyperlink>
      <w:bookmarkEnd w:id="275"/>
    </w:p>
    <w:p>
      <w:pPr>
        <w:pStyle w:val="Bibliography"/>
      </w:pPr>
      <w:bookmarkStart w:id="277" w:name="ref-graciavillar2007"/>
      <w:r>
        <w:t xml:space="preserve">Gracia Villar, S. y Dzul López, L. A. (2007). Modelo PEF de costes de la calidad como herramienta de gestión en empresas constructoras: una visión actual.</w:t>
      </w:r>
      <w:r>
        <w:t xml:space="preserve"> </w:t>
      </w:r>
      <w:r>
        <w:rPr>
          <w:iCs/>
          <w:i/>
        </w:rPr>
        <w:t xml:space="preserve">Revista Ingeniería de Construcción</w:t>
      </w:r>
      <w:r>
        <w:t xml:space="preserve">,</w:t>
      </w:r>
      <w:r>
        <w:t xml:space="preserve"> </w:t>
      </w:r>
      <w:r>
        <w:rPr>
          <w:iCs/>
          <w:i/>
        </w:rPr>
        <w:t xml:space="preserve">22</w:t>
      </w:r>
      <w:r>
        <w:t xml:space="preserve">(1), 43–56.</w:t>
      </w:r>
      <w:r>
        <w:t xml:space="preserve"> </w:t>
      </w:r>
      <w:hyperlink r:id="rId276">
        <w:r>
          <w:rPr>
            <w:rStyle w:val="Hyperlink"/>
          </w:rPr>
          <w:t xml:space="preserve">https://ojs-az.lib.uc.cl/index.php/ric/article/view/16739</w:t>
        </w:r>
      </w:hyperlink>
      <w:bookmarkEnd w:id="277"/>
    </w:p>
    <w:p>
      <w:pPr>
        <w:pStyle w:val="Bibliography"/>
      </w:pPr>
      <w:bookmarkStart w:id="279" w:name="ref-gudiel2020"/>
      <w:r>
        <w:t xml:space="preserve">Gudiel Cairampoma, R. A. y Solis Puente, N. P. (2020).</w:t>
      </w:r>
      <w:r>
        <w:t xml:space="preserve"> </w:t>
      </w:r>
      <w:r>
        <w:rPr>
          <w:iCs/>
          <w:i/>
        </w:rPr>
        <w:t xml:space="preserve">Propuesta para reducir los costos de la no calidad en las partidas de concreto armado utilizando los lineamientos del PMBOK en proyectos de edificación en pequeñas y medianas empresas en la ciudad de Lima</w:t>
      </w:r>
      <w:r>
        <w:t xml:space="preserve"> </w:t>
      </w:r>
      <w:r>
        <w:t xml:space="preserve">[Tesis de licenciatura, Universidad Peruana de Ciencias Aplicadas].</w:t>
      </w:r>
      <w:r>
        <w:t xml:space="preserve"> </w:t>
      </w:r>
      <w:hyperlink r:id="rId278">
        <w:r>
          <w:rPr>
            <w:rStyle w:val="Hyperlink"/>
          </w:rPr>
          <w:t xml:space="preserve">https://doi.org/10.19083/tesis/652829</w:t>
        </w:r>
      </w:hyperlink>
      <w:bookmarkEnd w:id="279"/>
    </w:p>
    <w:p>
      <w:pPr>
        <w:pStyle w:val="Bibliography"/>
      </w:pPr>
      <w:bookmarkStart w:id="280" w:name="ref-hernandez2018"/>
      <w:r>
        <w:t xml:space="preserve">Hernández-Sampieri, R. y Mendoza Torres, C. P. (2018).</w:t>
      </w:r>
      <w:r>
        <w:t xml:space="preserve"> </w:t>
      </w:r>
      <w:r>
        <w:rPr>
          <w:iCs/>
          <w:i/>
        </w:rPr>
        <w:t xml:space="preserve">Metodología de la investigación: las rutas cuantitativa, cualitativa y mixta</w:t>
      </w:r>
      <w:r>
        <w:t xml:space="preserve">. McGraw-Hill Interamericana Editores.</w:t>
      </w:r>
      <w:bookmarkEnd w:id="280"/>
    </w:p>
    <w:p>
      <w:pPr>
        <w:pStyle w:val="Bibliography"/>
      </w:pPr>
      <w:bookmarkStart w:id="281" w:name="ref-laslomas2025"/>
      <w:r>
        <w:t xml:space="preserve">Import Export Las Lomas Ltda. (2025).</w:t>
      </w:r>
      <w:r>
        <w:t xml:space="preserve"> </w:t>
      </w:r>
      <w:r>
        <w:rPr>
          <w:iCs/>
          <w:i/>
        </w:rPr>
        <w:t xml:space="preserve">Carta a la Empresa Constructora Kodesh sobre el retraso en la entrega de fierro corrugado</w:t>
      </w:r>
      <w:r>
        <w:t xml:space="preserve"> </w:t>
      </w:r>
      <w:r>
        <w:t xml:space="preserve">[Carta].</w:t>
      </w:r>
      <w:bookmarkEnd w:id="281"/>
    </w:p>
    <w:p>
      <w:pPr>
        <w:pStyle w:val="Bibliography"/>
      </w:pPr>
      <w:bookmarkStart w:id="283" w:name="ref-nb997_2016"/>
      <w:r>
        <w:t xml:space="preserve">Instituto Boliviano de Normalización y Calidad. (2016).</w:t>
      </w:r>
      <w:r>
        <w:t xml:space="preserve"> </w:t>
      </w:r>
      <w:r>
        <w:rPr>
          <w:iCs/>
          <w:i/>
        </w:rPr>
        <w:t xml:space="preserve">Elementos prefabricados de hormigón: viguetas prefabricadas de hormigón pretensado. Requisitos y métodos de ensayo</w:t>
      </w:r>
      <w:r>
        <w:t xml:space="preserve"> </w:t>
      </w:r>
      <w:r>
        <w:t xml:space="preserve">(Norma Boliviana NB 997:2016).</w:t>
      </w:r>
      <w:r>
        <w:t xml:space="preserve"> </w:t>
      </w:r>
      <w:hyperlink r:id="rId282">
        <w:r>
          <w:rPr>
            <w:rStyle w:val="Hyperlink"/>
          </w:rPr>
          <w:t xml:space="preserve">https://www.ibnorca.org/tienda/catalogo/detalle-norma/nb-997:2016-nid=2436-12</w:t>
        </w:r>
      </w:hyperlink>
      <w:bookmarkEnd w:id="283"/>
    </w:p>
    <w:p>
      <w:pPr>
        <w:pStyle w:val="Bibliography"/>
      </w:pPr>
      <w:bookmarkStart w:id="285" w:name="ref-nb1225001_2017"/>
      <w:r>
        <w:t xml:space="preserve">Instituto Boliviano de Normalización y Calidad. (2017).</w:t>
      </w:r>
      <w:r>
        <w:t xml:space="preserve"> </w:t>
      </w:r>
      <w:r>
        <w:rPr>
          <w:iCs/>
          <w:i/>
        </w:rPr>
        <w:t xml:space="preserve">Hormigón estructural. Parte 1: especificaciones</w:t>
      </w:r>
      <w:r>
        <w:t xml:space="preserve"> </w:t>
      </w:r>
      <w:r>
        <w:t xml:space="preserve">(Norma Boliviana NB 1225001-1:2017).</w:t>
      </w:r>
      <w:r>
        <w:t xml:space="preserve"> </w:t>
      </w:r>
      <w:hyperlink r:id="rId284">
        <w:r>
          <w:rPr>
            <w:rStyle w:val="Hyperlink"/>
          </w:rPr>
          <w:t xml:space="preserve">https://www.ibnorca.org/tienda/catalogo/detalle-norma/nb-1225001-1:2017-nid=3347-12</w:t>
        </w:r>
      </w:hyperlink>
      <w:bookmarkEnd w:id="285"/>
    </w:p>
    <w:p>
      <w:pPr>
        <w:pStyle w:val="Bibliography"/>
      </w:pPr>
      <w:bookmarkStart w:id="287" w:name="ref-ibnorca9001_2026"/>
      <w:r>
        <w:t xml:space="preserve">Instituto Boliviano de Normalización y Calidad. (2026).</w:t>
      </w:r>
      <w:r>
        <w:t xml:space="preserve"> </w:t>
      </w:r>
      <w:r>
        <w:rPr>
          <w:iCs/>
          <w:i/>
        </w:rPr>
        <w:t xml:space="preserve">Sistemas de gestión de la calidad: requisitos</w:t>
      </w:r>
      <w:r>
        <w:t xml:space="preserve"> </w:t>
      </w:r>
      <w:r>
        <w:t xml:space="preserve">(Norma Boliviana NB/ISO 9001:2026).</w:t>
      </w:r>
      <w:r>
        <w:t xml:space="preserve"> </w:t>
      </w:r>
      <w:hyperlink r:id="rId286">
        <w:r>
          <w:rPr>
            <w:rStyle w:val="Hyperlink"/>
          </w:rPr>
          <w:t xml:space="preserve">https://www.ibnorca.org/tienda/catalogo/detalle-norma/nb/iso-9001:2026-nid=4204-1</w:t>
        </w:r>
      </w:hyperlink>
      <w:bookmarkEnd w:id="287"/>
    </w:p>
    <w:p>
      <w:pPr>
        <w:pStyle w:val="Bibliography"/>
      </w:pPr>
      <w:bookmarkStart w:id="289" w:name="ref-ine2026precios"/>
      <w:r>
        <w:t xml:space="preserve">Instituto Nacional de Estadística. (2026).</w:t>
      </w:r>
      <w:r>
        <w:t xml:space="preserve"> </w:t>
      </w:r>
      <w:r>
        <w:rPr>
          <w:iCs/>
          <w:i/>
        </w:rPr>
        <w:t xml:space="preserve">Potosí: precios promedio de materiales y herramientas menores de construcción, 2021–2026</w:t>
      </w:r>
      <w:r>
        <w:t xml:space="preserve"> </w:t>
      </w:r>
      <w:r>
        <w:t xml:space="preserve">[Dataset].</w:t>
      </w:r>
      <w:r>
        <w:t xml:space="preserve"> </w:t>
      </w:r>
      <w:hyperlink r:id="rId288">
        <w:r>
          <w:rPr>
            <w:rStyle w:val="Hyperlink"/>
          </w:rPr>
          <w:t xml:space="preserve">https://www.ine.gob.bo/index.php/estadisticas-economicas/construccion/costos-de-contruccion/</w:t>
        </w:r>
      </w:hyperlink>
      <w:bookmarkEnd w:id="289"/>
    </w:p>
    <w:p>
      <w:pPr>
        <w:pStyle w:val="Bibliography"/>
      </w:pPr>
      <w:bookmarkStart w:id="291" w:name="ref-khadim2023"/>
      <w:r>
        <w:t xml:space="preserve">Khadim, N., Thaheem, M. J., Ullah, F. y Mahmood, M. N. (2023). Quantifying the cost of quality in construction projects: An insight into the base of the iceberg.</w:t>
      </w:r>
      <w:r>
        <w:t xml:space="preserve"> </w:t>
      </w:r>
      <w:r>
        <w:rPr>
          <w:iCs/>
          <w:i/>
        </w:rPr>
        <w:t xml:space="preserve">Quality &amp; Quantity</w:t>
      </w:r>
      <w:r>
        <w:t xml:space="preserve">,</w:t>
      </w:r>
      <w:r>
        <w:t xml:space="preserve"> </w:t>
      </w:r>
      <w:r>
        <w:rPr>
          <w:iCs/>
          <w:i/>
        </w:rPr>
        <w:t xml:space="preserve">57</w:t>
      </w:r>
      <w:r>
        <w:t xml:space="preserve">(6), 5403–5429.</w:t>
      </w:r>
      <w:r>
        <w:t xml:space="preserve"> </w:t>
      </w:r>
      <w:hyperlink r:id="rId290">
        <w:r>
          <w:rPr>
            <w:rStyle w:val="Hyperlink"/>
          </w:rPr>
          <w:t xml:space="preserve">https://doi.org/10.1007/s11135-022-01574-8</w:t>
        </w:r>
      </w:hyperlink>
      <w:bookmarkEnd w:id="291"/>
    </w:p>
    <w:p>
      <w:pPr>
        <w:pStyle w:val="Bibliography"/>
      </w:pPr>
      <w:bookmarkStart w:id="293" w:name="ref-koskela1992"/>
      <w:r>
        <w:t xml:space="preserve">Koskela, L. (1992).</w:t>
      </w:r>
      <w:r>
        <w:t xml:space="preserve"> </w:t>
      </w:r>
      <w:r>
        <w:rPr>
          <w:iCs/>
          <w:i/>
        </w:rPr>
        <w:t xml:space="preserve">Application of the new production philosophy to construction</w:t>
      </w:r>
      <w:r>
        <w:t xml:space="preserve"> </w:t>
      </w:r>
      <w:r>
        <w:t xml:space="preserve">(Technical Report 72). Center for Integrated Facility Engineering, Stanford University.</w:t>
      </w:r>
      <w:r>
        <w:t xml:space="preserve"> </w:t>
      </w:r>
      <w:hyperlink r:id="rId292">
        <w:r>
          <w:rPr>
            <w:rStyle w:val="Hyperlink"/>
          </w:rPr>
          <w:t xml:space="preserve">https://purl.stanford.edu/kh328xt3298</w:t>
        </w:r>
      </w:hyperlink>
      <w:bookmarkEnd w:id="293"/>
    </w:p>
    <w:p>
      <w:pPr>
        <w:pStyle w:val="Bibliography"/>
      </w:pPr>
      <w:bookmarkStart w:id="294" w:name="ref-labuatf2025"/>
      <w:r>
        <w:t xml:space="preserve">Laboratorio de Resistencia de Materiales y Tecnología del Hormigón. (2025).</w:t>
      </w:r>
      <w:r>
        <w:t xml:space="preserve"> </w:t>
      </w:r>
      <w:r>
        <w:rPr>
          <w:iCs/>
          <w:i/>
        </w:rPr>
        <w:t xml:space="preserve">Certificado de laboratorio N.</w:t>
      </w:r>
      <w:r>
        <w:rPr>
          <w:vertAlign w:val="superscript"/>
          <w:iCs/>
          <w:i/>
        </w:rPr>
        <w:t xml:space="preserve">o</w:t>
      </w:r>
      <w:r>
        <w:rPr>
          <w:iCs/>
          <w:i/>
        </w:rPr>
        <w:t xml:space="preserve"> </w:t>
      </w:r>
      <w:r>
        <w:rPr>
          <w:iCs/>
          <w:i/>
        </w:rPr>
        <w:t xml:space="preserve">000293: ensayos de compresión de probetas de hormigón, proyecto Construcción Edificio Postgrado</w:t>
      </w:r>
      <w:r>
        <w:t xml:space="preserve"> </w:t>
      </w:r>
      <w:r>
        <w:t xml:space="preserve">[Certificado]. Carrera de Ingeniería Civil, Universidad Autónoma Tomás Frías.</w:t>
      </w:r>
      <w:bookmarkEnd w:id="294"/>
    </w:p>
    <w:p>
      <w:pPr>
        <w:pStyle w:val="Bibliography"/>
      </w:pPr>
      <w:bookmarkStart w:id="296" w:name="ref-luangcharoenrat2019"/>
      <w:r>
        <w:t xml:space="preserve">Luangcharoenrat, C., Intrachooto, S., Peansupap, V. y Sutthinarakorn, W. (2019). Factors influencing construction waste generation in building construction:</w:t>
      </w:r>
      <w:r>
        <w:t xml:space="preserve"> </w:t>
      </w:r>
      <w:r>
        <w:t xml:space="preserve">Thailand</w:t>
      </w:r>
      <w:r>
        <w:t xml:space="preserve">’s perspective.</w:t>
      </w:r>
      <w:r>
        <w:t xml:space="preserve"> </w:t>
      </w:r>
      <w:r>
        <w:rPr>
          <w:iCs/>
          <w:i/>
        </w:rPr>
        <w:t xml:space="preserve">Sustainability</w:t>
      </w:r>
      <w:r>
        <w:t xml:space="preserve">,</w:t>
      </w:r>
      <w:r>
        <w:t xml:space="preserve"> </w:t>
      </w:r>
      <w:r>
        <w:rPr>
          <w:iCs/>
          <w:i/>
        </w:rPr>
        <w:t xml:space="preserve">11</w:t>
      </w:r>
      <w:r>
        <w:t xml:space="preserve">(13).</w:t>
      </w:r>
      <w:r>
        <w:t xml:space="preserve"> </w:t>
      </w:r>
      <w:hyperlink r:id="rId295">
        <w:r>
          <w:rPr>
            <w:rStyle w:val="Hyperlink"/>
          </w:rPr>
          <w:t xml:space="preserve">https://doi.org/10.3390/su11133638</w:t>
        </w:r>
      </w:hyperlink>
      <w:bookmarkEnd w:id="296"/>
    </w:p>
    <w:p>
      <w:pPr>
        <w:pStyle w:val="Bibliography"/>
      </w:pPr>
      <w:bookmarkStart w:id="298" w:name="ref-maciel2016"/>
      <w:r>
        <w:t xml:space="preserve">Maciel, T., Stumpf, M. y Kern, A. (2016). Propuesta de un sistema de planificación y control de residuos en la construcción.</w:t>
      </w:r>
      <w:r>
        <w:t xml:space="preserve"> </w:t>
      </w:r>
      <w:r>
        <w:rPr>
          <w:iCs/>
          <w:i/>
        </w:rPr>
        <w:t xml:space="preserve">Revista Ingeniería de Construcción</w:t>
      </w:r>
      <w:r>
        <w:t xml:space="preserve">,</w:t>
      </w:r>
      <w:r>
        <w:t xml:space="preserve"> </w:t>
      </w:r>
      <w:r>
        <w:rPr>
          <w:iCs/>
          <w:i/>
        </w:rPr>
        <w:t xml:space="preserve">31</w:t>
      </w:r>
      <w:r>
        <w:t xml:space="preserve">(2), 105–116.</w:t>
      </w:r>
      <w:r>
        <w:t xml:space="preserve"> </w:t>
      </w:r>
      <w:hyperlink r:id="rId297">
        <w:r>
          <w:rPr>
            <w:rStyle w:val="Hyperlink"/>
          </w:rPr>
          <w:t xml:space="preserve">https://doi.org/10.4067/S0718-50732016000200004</w:t>
        </w:r>
      </w:hyperlink>
      <w:bookmarkEnd w:id="298"/>
    </w:p>
    <w:p>
      <w:pPr>
        <w:pStyle w:val="Bibliography"/>
      </w:pPr>
      <w:bookmarkStart w:id="300" w:name="ref-mamanicalsina2025"/>
      <w:r>
        <w:t xml:space="preserve">Mamani Calsina, D. (2025).</w:t>
      </w:r>
      <w:r>
        <w:t xml:space="preserve"> </w:t>
      </w:r>
      <w:r>
        <w:rPr>
          <w:iCs/>
          <w:i/>
        </w:rPr>
        <w:t xml:space="preserve">Diseño de un sistema de gestión de calidad en la empresa «PRENSOCRET» basado en la NB ISO 9001:2015</w:t>
      </w:r>
      <w:r>
        <w:t xml:space="preserve"> </w:t>
      </w:r>
      <w:r>
        <w:t xml:space="preserve">[Proyecto de grado de licenciatura, Universidad Mayor de San Andrés].</w:t>
      </w:r>
      <w:r>
        <w:t xml:space="preserve"> </w:t>
      </w:r>
      <w:hyperlink r:id="rId299">
        <w:r>
          <w:rPr>
            <w:rStyle w:val="Hyperlink"/>
          </w:rPr>
          <w:t xml:space="preserve">https://repositorio.umsa.bo/handle/123456789/42372</w:t>
        </w:r>
      </w:hyperlink>
      <w:bookmarkEnd w:id="300"/>
    </w:p>
    <w:p>
      <w:pPr>
        <w:pStyle w:val="Bibliography"/>
      </w:pPr>
      <w:bookmarkStart w:id="302" w:name="ref-mamanigutierrez2018"/>
      <w:r>
        <w:t xml:space="preserve">Mamani Gutiérrez, C. K. (2017).</w:t>
      </w:r>
      <w:r>
        <w:t xml:space="preserve"> </w:t>
      </w:r>
      <w:r>
        <w:rPr>
          <w:iCs/>
          <w:i/>
        </w:rPr>
        <w:t xml:space="preserve">Diseño e implementación de un modelo de gestión integrado en calidad, medio ambiente y salud ocupacional basado en la normativa ISO 9001:2008, ISO 14001:2005 y OHSAS 18001:2007. Línea de producción de viguetas pretensadas TECNOPOR S.A. Regional La Paz</w:t>
      </w:r>
      <w:r>
        <w:t xml:space="preserve"> </w:t>
      </w:r>
      <w:r>
        <w:t xml:space="preserve">[Tesis de maestría, Universidad Mayor de San Andrés].</w:t>
      </w:r>
      <w:r>
        <w:t xml:space="preserve"> </w:t>
      </w:r>
      <w:hyperlink r:id="rId301">
        <w:r>
          <w:rPr>
            <w:rStyle w:val="Hyperlink"/>
          </w:rPr>
          <w:t xml:space="preserve">https://repositorio.umsa.bo/handle/123456789/20744</w:t>
        </w:r>
      </w:hyperlink>
      <w:bookmarkEnd w:id="302"/>
    </w:p>
    <w:p>
      <w:pPr>
        <w:pStyle w:val="Bibliography"/>
      </w:pPr>
      <w:bookmarkStart w:id="303" w:name="ref-dbc2022"/>
      <w:r>
        <w:t xml:space="preserve">Ministerio de Economía y Finanzas Públicas. (2022).</w:t>
      </w:r>
      <w:r>
        <w:t xml:space="preserve"> </w:t>
      </w:r>
      <w:r>
        <w:rPr>
          <w:iCs/>
          <w:i/>
        </w:rPr>
        <w:t xml:space="preserve">Modelo de documento base de contratación de obras: Licitación Pública</w:t>
      </w:r>
      <w:r>
        <w:t xml:space="preserve"> </w:t>
      </w:r>
      <w:r>
        <w:t xml:space="preserve">[Aprobado por Resolución Ministerial N.º 021 de 2 de febrero de 2022; sustituido por la R.M. N.º 048/2024]. Ministerio de Economía y Finanzas Públicas.</w:t>
      </w:r>
      <w:bookmarkEnd w:id="303"/>
    </w:p>
    <w:p>
      <w:pPr>
        <w:pStyle w:val="Bibliography"/>
      </w:pPr>
      <w:bookmarkStart w:id="304" w:name="ref-rm048_2024"/>
      <w:r>
        <w:t xml:space="preserve">Ministerio de Economía y Finanzas Públicas. (2024).</w:t>
      </w:r>
      <w:r>
        <w:t xml:space="preserve"> </w:t>
      </w:r>
      <w:r>
        <w:rPr>
          <w:iCs/>
          <w:i/>
        </w:rPr>
        <w:t xml:space="preserve">Resolución Ministerial N.</w:t>
      </w:r>
      <w:r>
        <w:rPr>
          <w:vertAlign w:val="superscript"/>
          <w:iCs/>
          <w:i/>
        </w:rPr>
        <w:t xml:space="preserve">o</w:t>
      </w:r>
      <w:r>
        <w:rPr>
          <w:iCs/>
          <w:i/>
        </w:rPr>
        <w:t xml:space="preserve"> 048: aprueba el Reglamento de Contrataciones con Apoyo de Medios Electrónicos y los modelos de documento base de contratación de obras (</w:t>
      </w:r>
      <w:r>
        <w:rPr>
          <w:iCs/>
          <w:i/>
        </w:rPr>
        <w:t xml:space="preserve">ANPE</w:t>
      </w:r>
      <w:r>
        <w:rPr>
          <w:iCs/>
          <w:i/>
        </w:rPr>
        <w:t xml:space="preserve"> </w:t>
      </w:r>
      <w:r>
        <w:rPr>
          <w:iCs/>
          <w:i/>
        </w:rPr>
        <w:t xml:space="preserve">y Licitación Pública)</w:t>
      </w:r>
      <w:r>
        <w:t xml:space="preserve">.</w:t>
      </w:r>
      <w:bookmarkEnd w:id="304"/>
    </w:p>
    <w:p>
      <w:pPr>
        <w:pStyle w:val="Bibliography"/>
      </w:pPr>
      <w:bookmarkStart w:id="305" w:name="ref-ds0181_2025compilado"/>
      <w:r>
        <w:t xml:space="preserve">Ministerio de Economía y Finanzas Públicas. (2025).</w:t>
      </w:r>
      <w:r>
        <w:t xml:space="preserve"> </w:t>
      </w:r>
      <w:r>
        <w:rPr>
          <w:iCs/>
          <w:i/>
        </w:rPr>
        <w:t xml:space="preserve">NB-SABS: Decreto Supremo N.</w:t>
      </w:r>
      <w:r>
        <w:rPr>
          <w:vertAlign w:val="superscript"/>
          <w:iCs/>
          <w:i/>
        </w:rPr>
        <w:t xml:space="preserve">o</w:t>
      </w:r>
      <w:r>
        <w:rPr>
          <w:iCs/>
          <w:i/>
        </w:rPr>
        <w:t xml:space="preserve"> 0181, Decreto Supremo N.</w:t>
      </w:r>
      <w:r>
        <w:rPr>
          <w:vertAlign w:val="superscript"/>
          <w:iCs/>
          <w:i/>
        </w:rPr>
        <w:t xml:space="preserve">o</w:t>
      </w:r>
      <w:r>
        <w:rPr>
          <w:iCs/>
          <w:i/>
        </w:rPr>
        <w:t xml:space="preserve"> 1497, Decreto Supremo N.</w:t>
      </w:r>
      <w:r>
        <w:rPr>
          <w:vertAlign w:val="superscript"/>
          <w:iCs/>
          <w:i/>
        </w:rPr>
        <w:t xml:space="preserve">o</w:t>
      </w:r>
      <w:r>
        <w:rPr>
          <w:iCs/>
          <w:i/>
        </w:rPr>
        <w:t xml:space="preserve"> 4453, Reglamento del RUPE, Reglamento de Contrataciones con Apoyo de Medios Electrónicos y Manual de Operaciones del SICOES</w:t>
      </w:r>
      <w:r>
        <w:t xml:space="preserve"> </w:t>
      </w:r>
      <w:r>
        <w:t xml:space="preserve">[Texto compilado, actualizado 2025].</w:t>
      </w:r>
      <w:bookmarkEnd w:id="305"/>
    </w:p>
    <w:p>
      <w:pPr>
        <w:pStyle w:val="Bibliography"/>
      </w:pPr>
      <w:bookmarkStart w:id="306" w:name="ref-mopsv2023nbds"/>
      <w:r>
        <w:t xml:space="preserve">Ministerio de Obras Públicas, Servicios y Vivienda. (2023).</w:t>
      </w:r>
      <w:r>
        <w:t xml:space="preserve"> </w:t>
      </w:r>
      <w:r>
        <w:rPr>
          <w:iCs/>
          <w:i/>
        </w:rPr>
        <w:t xml:space="preserve">Norma Boliviana de Diseño Sísmico (NBDS 2023)</w:t>
      </w:r>
      <w:r>
        <w:t xml:space="preserve">.</w:t>
      </w:r>
      <w:bookmarkEnd w:id="306"/>
    </w:p>
    <w:p>
      <w:pPr>
        <w:pStyle w:val="Bibliography"/>
      </w:pPr>
      <w:bookmarkStart w:id="308" w:name="ref-muro2020"/>
      <w:r>
        <w:t xml:space="preserve">Muro Núñez, E. A. (2020).</w:t>
      </w:r>
      <w:r>
        <w:t xml:space="preserve"> </w:t>
      </w:r>
      <w:r>
        <w:rPr>
          <w:iCs/>
          <w:i/>
        </w:rPr>
        <w:t xml:space="preserve">Evaluación del control de calidad en la construcción del sistema de estructuras del Open Plaza Pucallpa</w:t>
      </w:r>
      <w:r>
        <w:t xml:space="preserve"> </w:t>
      </w:r>
      <w:r>
        <w:t xml:space="preserve">[Tesis de licenciatura, Universidad César Vallejo].</w:t>
      </w:r>
      <w:r>
        <w:t xml:space="preserve"> </w:t>
      </w:r>
      <w:hyperlink r:id="rId307">
        <w:r>
          <w:rPr>
            <w:rStyle w:val="Hyperlink"/>
          </w:rPr>
          <w:t xml:space="preserve">https://hdl.handle.net/20.500.12692/92836</w:t>
        </w:r>
      </w:hyperlink>
      <w:bookmarkEnd w:id="308"/>
    </w:p>
    <w:p>
      <w:pPr>
        <w:pStyle w:val="Bibliography"/>
      </w:pPr>
      <w:bookmarkStart w:id="309" w:name="ref-iso10006_2017"/>
      <w:r>
        <w:t xml:space="preserve">Organización Internacional de Normalización. (2017).</w:t>
      </w:r>
      <w:r>
        <w:t xml:space="preserve"> </w:t>
      </w:r>
      <w:r>
        <w:rPr>
          <w:iCs/>
          <w:i/>
        </w:rPr>
        <w:t xml:space="preserve">Gestión de la calidad: directrices para la gestión de la calidad en los proyectos</w:t>
      </w:r>
      <w:r>
        <w:t xml:space="preserve"> </w:t>
      </w:r>
      <w:r>
        <w:t xml:space="preserve">(Norma ISO 10006:2017).</w:t>
      </w:r>
      <w:bookmarkEnd w:id="309"/>
    </w:p>
    <w:p>
      <w:pPr>
        <w:pStyle w:val="Bibliography"/>
      </w:pPr>
      <w:bookmarkStart w:id="310" w:name="ref-iso10005_2018"/>
      <w:r>
        <w:t xml:space="preserve">Organización Internacional de Normalización. (2018).</w:t>
      </w:r>
      <w:r>
        <w:t xml:space="preserve"> </w:t>
      </w:r>
      <w:r>
        <w:rPr>
          <w:iCs/>
          <w:i/>
        </w:rPr>
        <w:t xml:space="preserve">Gestión de la calidad: directrices para los planes de la calidad</w:t>
      </w:r>
      <w:r>
        <w:t xml:space="preserve"> </w:t>
      </w:r>
      <w:r>
        <w:t xml:space="preserve">(Norma ISO 10005:2018).</w:t>
      </w:r>
      <w:bookmarkEnd w:id="310"/>
    </w:p>
    <w:p>
      <w:pPr>
        <w:pStyle w:val="Bibliography"/>
      </w:pPr>
      <w:bookmarkStart w:id="312" w:name="ref-iso9000_2026"/>
      <w:r>
        <w:t xml:space="preserve">Organización Internacional de Normalización. (2026a).</w:t>
      </w:r>
      <w:r>
        <w:t xml:space="preserve"> </w:t>
      </w:r>
      <w:r>
        <w:rPr>
          <w:iCs/>
          <w:i/>
        </w:rPr>
        <w:t xml:space="preserve">Gestión de la calidad: fundamentos y vocabulario</w:t>
      </w:r>
      <w:r>
        <w:t xml:space="preserve"> </w:t>
      </w:r>
      <w:r>
        <w:t xml:space="preserve">(Norma ISO 9000:2026).</w:t>
      </w:r>
      <w:r>
        <w:t xml:space="preserve"> </w:t>
      </w:r>
      <w:hyperlink r:id="rId311">
        <w:r>
          <w:rPr>
            <w:rStyle w:val="Hyperlink"/>
          </w:rPr>
          <w:t xml:space="preserve">https://www.iso.org/standard/88465.html</w:t>
        </w:r>
      </w:hyperlink>
      <w:bookmarkEnd w:id="312"/>
    </w:p>
    <w:p>
      <w:pPr>
        <w:pStyle w:val="Bibliography"/>
      </w:pPr>
      <w:bookmarkStart w:id="314" w:name="ref-iso9001_2026"/>
      <w:r>
        <w:t xml:space="preserve">Organización Internacional de Normalización. (2026b).</w:t>
      </w:r>
      <w:r>
        <w:t xml:space="preserve"> </w:t>
      </w:r>
      <w:r>
        <w:rPr>
          <w:iCs/>
          <w:i/>
        </w:rPr>
        <w:t xml:space="preserve">Sistemas de gestión de la calidad: requisitos</w:t>
      </w:r>
      <w:r>
        <w:t xml:space="preserve"> </w:t>
      </w:r>
      <w:r>
        <w:t xml:space="preserve">(Norma ISO 9001:2026).</w:t>
      </w:r>
      <w:r>
        <w:t xml:space="preserve"> </w:t>
      </w:r>
      <w:hyperlink r:id="rId313">
        <w:r>
          <w:rPr>
            <w:rStyle w:val="Hyperlink"/>
          </w:rPr>
          <w:t xml:space="preserve">https://www.iso.org/standard/88464.html</w:t>
        </w:r>
      </w:hyperlink>
      <w:bookmarkEnd w:id="314"/>
    </w:p>
    <w:p>
      <w:pPr>
        <w:pStyle w:val="Bibliography"/>
      </w:pPr>
      <w:bookmarkStart w:id="316" w:name="ref-pajarito2015"/>
      <w:r>
        <w:t xml:space="preserve">Pajarito Mamani, R. (2015).</w:t>
      </w:r>
      <w:r>
        <w:t xml:space="preserve"> </w:t>
      </w:r>
      <w:r>
        <w:rPr>
          <w:iCs/>
          <w:i/>
        </w:rPr>
        <w:t xml:space="preserve">Diseño e implementación de un sistema de gestión de calidad bajo la norma NB ISO 9001:2008 en la empresa «TENSOCRET SRL»</w:t>
      </w:r>
      <w:r>
        <w:t xml:space="preserve"> </w:t>
      </w:r>
      <w:r>
        <w:t xml:space="preserve">[Proyecto de grado de licenciatura, Universidad Mayor de San Andrés].</w:t>
      </w:r>
      <w:r>
        <w:t xml:space="preserve"> </w:t>
      </w:r>
      <w:hyperlink r:id="rId315">
        <w:r>
          <w:rPr>
            <w:rStyle w:val="Hyperlink"/>
          </w:rPr>
          <w:t xml:space="preserve">https://repositorio.umsa.bo/handle/123456789/22080</w:t>
        </w:r>
      </w:hyperlink>
      <w:bookmarkEnd w:id="316"/>
    </w:p>
    <w:p>
      <w:pPr>
        <w:pStyle w:val="Bibliography"/>
      </w:pPr>
      <w:bookmarkStart w:id="318" w:name="ref-palanisamy2025"/>
      <w:r>
        <w:t xml:space="preserve">Palanisamy, I. y Palanichamy, S. (2025). Analysis and evaluation of cost of quality (</w:t>
      </w:r>
      <w:r>
        <w:t xml:space="preserve">COQ</w:t>
      </w:r>
      <w:r>
        <w:t xml:space="preserve">) elements on total quality costs in construction projects: Design of experiments.</w:t>
      </w:r>
      <w:r>
        <w:t xml:space="preserve"> </w:t>
      </w:r>
      <w:r>
        <w:rPr>
          <w:iCs/>
          <w:i/>
        </w:rPr>
        <w:t xml:space="preserve">Matéria (Rio de Janeiro)</w:t>
      </w:r>
      <w:r>
        <w:t xml:space="preserve">,</w:t>
      </w:r>
      <w:r>
        <w:t xml:space="preserve"> </w:t>
      </w:r>
      <w:r>
        <w:rPr>
          <w:iCs/>
          <w:i/>
        </w:rPr>
        <w:t xml:space="preserve">30</w:t>
      </w:r>
      <w:r>
        <w:t xml:space="preserve">.</w:t>
      </w:r>
      <w:r>
        <w:t xml:space="preserve"> </w:t>
      </w:r>
      <w:hyperlink r:id="rId317">
        <w:r>
          <w:rPr>
            <w:rStyle w:val="Hyperlink"/>
          </w:rPr>
          <w:t xml:space="preserve">https://doi.org/10.1590/1517-7076-RMAT-2024-0738</w:t>
        </w:r>
      </w:hyperlink>
      <w:bookmarkEnd w:id="318"/>
    </w:p>
    <w:p>
      <w:pPr>
        <w:pStyle w:val="Bibliography"/>
      </w:pPr>
      <w:bookmarkStart w:id="320" w:name="ref-pena2024"/>
      <w:r>
        <w:t xml:space="preserve">Peña Callisaya, J. A. (2024).</w:t>
      </w:r>
      <w:r>
        <w:t xml:space="preserve"> </w:t>
      </w:r>
      <w:r>
        <w:rPr>
          <w:iCs/>
          <w:i/>
        </w:rPr>
        <w:t xml:space="preserve">Diseño de un sistema de gestión de la calidad según la NB/ISO 9001:2015 en el área de producción de la empresa «ISOCRET»</w:t>
      </w:r>
      <w:r>
        <w:t xml:space="preserve"> </w:t>
      </w:r>
      <w:r>
        <w:t xml:space="preserve">[Proyecto de grado de licenciatura, Universidad Mayor de San Andrés].</w:t>
      </w:r>
      <w:r>
        <w:t xml:space="preserve"> </w:t>
      </w:r>
      <w:hyperlink r:id="rId319">
        <w:r>
          <w:rPr>
            <w:rStyle w:val="Hyperlink"/>
          </w:rPr>
          <w:t xml:space="preserve">https://repositorio.umsa.bo/handle/123456789/41024</w:t>
        </w:r>
      </w:hyperlink>
      <w:bookmarkEnd w:id="320"/>
    </w:p>
    <w:p>
      <w:pPr>
        <w:pStyle w:val="Bibliography"/>
      </w:pPr>
      <w:bookmarkStart w:id="321" w:name="ref-pons2014"/>
      <w:r>
        <w:t xml:space="preserve">Pons Achell, J. F. (2014).</w:t>
      </w:r>
      <w:r>
        <w:t xml:space="preserve"> </w:t>
      </w:r>
      <w:r>
        <w:rPr>
          <w:iCs/>
          <w:i/>
        </w:rPr>
        <w:t xml:space="preserve">Introducción a</w:t>
      </w:r>
      <w:r>
        <w:rPr>
          <w:iCs/>
          <w:i/>
        </w:rPr>
        <w:t xml:space="preserve"> </w:t>
      </w:r>
      <w:r>
        <w:rPr>
          <w:iCs/>
          <w:i/>
        </w:rPr>
        <w:t xml:space="preserve">Lean Construction</w:t>
      </w:r>
      <w:r>
        <w:t xml:space="preserve">. Fundación Laboral de la Construcción.</w:t>
      </w:r>
      <w:bookmarkEnd w:id="321"/>
    </w:p>
    <w:p>
      <w:pPr>
        <w:pStyle w:val="Bibliography"/>
      </w:pPr>
      <w:bookmarkStart w:id="323" w:name="ref-porrasdiaz2014"/>
      <w:r>
        <w:t xml:space="preserve">Porras Díaz, H., Sánchez Rivera, O. G. y Galvis Guerra, J. A. (2014). Filosofía</w:t>
      </w:r>
      <w:r>
        <w:t xml:space="preserve"> </w:t>
      </w:r>
      <w:r>
        <w:t xml:space="preserve">Lean Construction</w:t>
      </w:r>
      <w:r>
        <w:t xml:space="preserve"> </w:t>
      </w:r>
      <w:r>
        <w:t xml:space="preserve">para la gestión de proyectos de construcción: una revisión actual.</w:t>
      </w:r>
      <w:r>
        <w:t xml:space="preserve"> </w:t>
      </w:r>
      <w:r>
        <w:rPr>
          <w:iCs/>
          <w:i/>
        </w:rPr>
        <w:t xml:space="preserve">Avances: Investigación en Ingeniería</w:t>
      </w:r>
      <w:r>
        <w:t xml:space="preserve">,</w:t>
      </w:r>
      <w:r>
        <w:t xml:space="preserve"> </w:t>
      </w:r>
      <w:r>
        <w:rPr>
          <w:iCs/>
          <w:i/>
        </w:rPr>
        <w:t xml:space="preserve">11</w:t>
      </w:r>
      <w:r>
        <w:t xml:space="preserve">(1), 32–53.</w:t>
      </w:r>
      <w:r>
        <w:t xml:space="preserve"> </w:t>
      </w:r>
      <w:hyperlink r:id="rId322">
        <w:r>
          <w:rPr>
            <w:rStyle w:val="Hyperlink"/>
          </w:rPr>
          <w:t xml:space="preserve">https://doi.org/10.18041/1794-4953/avances.1.298</w:t>
        </w:r>
      </w:hyperlink>
      <w:bookmarkEnd w:id="323"/>
    </w:p>
    <w:p>
      <w:pPr>
        <w:pStyle w:val="Bibliography"/>
      </w:pPr>
      <w:bookmarkStart w:id="325" w:name="ref-pradoroman2018"/>
      <w:r>
        <w:t xml:space="preserve">Prado-Román, C., del Castillo-Peces, C., Mercado-Idoeta, C. y del Castillo-Peces, J. (2018). The effects of implementing</w:t>
      </w:r>
      <w:r>
        <w:t xml:space="preserve"> </w:t>
      </w:r>
      <w:r>
        <w:t xml:space="preserve">ISO</w:t>
      </w:r>
      <w:r>
        <w:t xml:space="preserve"> </w:t>
      </w:r>
      <w:r>
        <w:t xml:space="preserve">9001 in the</w:t>
      </w:r>
      <w:r>
        <w:t xml:space="preserve"> </w:t>
      </w:r>
      <w:r>
        <w:t xml:space="preserve">Spanish</w:t>
      </w:r>
      <w:r>
        <w:t xml:space="preserve"> </w:t>
      </w:r>
      <w:r>
        <w:t xml:space="preserve">construction industry.</w:t>
      </w:r>
      <w:r>
        <w:t xml:space="preserve"> </w:t>
      </w:r>
      <w:r>
        <w:rPr>
          <w:iCs/>
          <w:i/>
        </w:rPr>
        <w:t xml:space="preserve">Cuadernos de Gestión</w:t>
      </w:r>
      <w:r>
        <w:t xml:space="preserve">,</w:t>
      </w:r>
      <w:r>
        <w:t xml:space="preserve"> </w:t>
      </w:r>
      <w:r>
        <w:rPr>
          <w:iCs/>
          <w:i/>
        </w:rPr>
        <w:t xml:space="preserve">18</w:t>
      </w:r>
      <w:r>
        <w:t xml:space="preserve">(1), 149–172.</w:t>
      </w:r>
      <w:r>
        <w:t xml:space="preserve"> </w:t>
      </w:r>
      <w:hyperlink r:id="rId324">
        <w:r>
          <w:rPr>
            <w:rStyle w:val="Hyperlink"/>
          </w:rPr>
          <w:t xml:space="preserve">https://doi.org/10.5295/cdg.140507cd</w:t>
        </w:r>
      </w:hyperlink>
      <w:bookmarkEnd w:id="325"/>
    </w:p>
    <w:p>
      <w:pPr>
        <w:pStyle w:val="Bibliography"/>
      </w:pPr>
      <w:bookmarkStart w:id="326" w:name="ref-pretensa2025"/>
      <w:r>
        <w:t xml:space="preserve">PRETENSA. (2025).</w:t>
      </w:r>
      <w:r>
        <w:t xml:space="preserve"> </w:t>
      </w:r>
      <w:r>
        <w:rPr>
          <w:iCs/>
          <w:i/>
        </w:rPr>
        <w:t xml:space="preserve">Certificado de calidad: viguetas pretensadas VP, proyecto Construcción Edificio de Postgrado</w:t>
      </w:r>
      <w:r>
        <w:t xml:space="preserve"> </w:t>
      </w:r>
      <w:r>
        <w:t xml:space="preserve">[Certificado].</w:t>
      </w:r>
      <w:bookmarkEnd w:id="326"/>
    </w:p>
    <w:p>
      <w:pPr>
        <w:pStyle w:val="Bibliography"/>
      </w:pPr>
      <w:bookmarkStart w:id="327" w:name="ref-ley1178_1990"/>
      <w:r>
        <w:t xml:space="preserve">República de Bolivia. (1990).</w:t>
      </w:r>
      <w:r>
        <w:t xml:space="preserve"> </w:t>
      </w:r>
      <w:r>
        <w:rPr>
          <w:iCs/>
          <w:i/>
        </w:rPr>
        <w:t xml:space="preserve">Ley N.</w:t>
      </w:r>
      <w:r>
        <w:rPr>
          <w:vertAlign w:val="superscript"/>
          <w:iCs/>
          <w:i/>
        </w:rPr>
        <w:t xml:space="preserve">o</w:t>
      </w:r>
      <w:r>
        <w:rPr>
          <w:iCs/>
          <w:i/>
        </w:rPr>
        <w:t xml:space="preserve"> 1178 de Administración y Control Gubernamentales</w:t>
      </w:r>
      <w:r>
        <w:t xml:space="preserve">. WIPO Lex, Organización Mundial de la Propiedad Intelectual.</w:t>
      </w:r>
      <w:bookmarkEnd w:id="327"/>
    </w:p>
    <w:p>
      <w:pPr>
        <w:pStyle w:val="Bibliography"/>
      </w:pPr>
      <w:bookmarkStart w:id="329" w:name="ref-romero2007"/>
      <w:r>
        <w:t xml:space="preserve">Romero, T. y Serpell, A. (2007). Evaluando el logro de los principios de la gestión de la calidad en empresas constructoras certificadas según ISO 9001:2000.</w:t>
      </w:r>
      <w:r>
        <w:t xml:space="preserve"> </w:t>
      </w:r>
      <w:r>
        <w:rPr>
          <w:iCs/>
          <w:i/>
        </w:rPr>
        <w:t xml:space="preserve">Revista Ingeniería de Construcción</w:t>
      </w:r>
      <w:r>
        <w:t xml:space="preserve">,</w:t>
      </w:r>
      <w:r>
        <w:t xml:space="preserve"> </w:t>
      </w:r>
      <w:r>
        <w:rPr>
          <w:iCs/>
          <w:i/>
        </w:rPr>
        <w:t xml:space="preserve">22</w:t>
      </w:r>
      <w:r>
        <w:t xml:space="preserve">(3), 197–213.</w:t>
      </w:r>
      <w:r>
        <w:t xml:space="preserve"> </w:t>
      </w:r>
      <w:hyperlink r:id="rId328">
        <w:r>
          <w:rPr>
            <w:rStyle w:val="Hyperlink"/>
          </w:rPr>
          <w:t xml:space="preserve">https://doi.org/10.4067/S0718-50732007000300006</w:t>
        </w:r>
      </w:hyperlink>
      <w:bookmarkEnd w:id="329"/>
    </w:p>
    <w:p>
      <w:pPr>
        <w:pStyle w:val="Bibliography"/>
      </w:pPr>
      <w:bookmarkStart w:id="331" w:name="ref-rossi2001"/>
      <w:r>
        <w:t xml:space="preserve">Rossi, I., Torres, C. y Almeida, M. (2001). Método para medir los costos de las pérdidas en la industria de la construcción.</w:t>
      </w:r>
      <w:r>
        <w:t xml:space="preserve"> </w:t>
      </w:r>
      <w:r>
        <w:rPr>
          <w:iCs/>
          <w:i/>
        </w:rPr>
        <w:t xml:space="preserve">Revista Ingeniería de Construcción</w:t>
      </w:r>
      <w:r>
        <w:t xml:space="preserve">,</w:t>
      </w:r>
      <w:r>
        <w:t xml:space="preserve"> </w:t>
      </w:r>
      <w:r>
        <w:rPr>
          <w:iCs/>
          <w:i/>
        </w:rPr>
        <w:t xml:space="preserve">16</w:t>
      </w:r>
      <w:r>
        <w:t xml:space="preserve">(2), 127–133.</w:t>
      </w:r>
      <w:r>
        <w:t xml:space="preserve"> </w:t>
      </w:r>
      <w:hyperlink r:id="rId330">
        <w:r>
          <w:rPr>
            <w:rStyle w:val="Hyperlink"/>
          </w:rPr>
          <w:t xml:space="preserve">https://ojs-az.lib.uc.cl/index.php/ric/article/view/17303</w:t>
        </w:r>
      </w:hyperlink>
      <w:bookmarkEnd w:id="331"/>
    </w:p>
    <w:p>
      <w:pPr>
        <w:pStyle w:val="Bibliography"/>
      </w:pPr>
      <w:bookmarkStart w:id="333" w:name="ref-rojas2018"/>
      <w:r>
        <w:t xml:space="preserve">Ruiz Muñoz, N. A. y Rojas Bonilla, C. E. (2018).</w:t>
      </w:r>
      <w:r>
        <w:t xml:space="preserve"> </w:t>
      </w:r>
      <w:r>
        <w:rPr>
          <w:iCs/>
          <w:i/>
        </w:rPr>
        <w:t xml:space="preserve">Análisis de los desperdicios del concreto y su incidencia en el presupuesto final</w:t>
      </w:r>
      <w:r>
        <w:t xml:space="preserve"> </w:t>
      </w:r>
      <w:r>
        <w:t xml:space="preserve">[Trabajo de grado de tecnólogo en construcciones arquitectónicas, Universidad La Gran Colombia].</w:t>
      </w:r>
      <w:r>
        <w:t xml:space="preserve"> </w:t>
      </w:r>
      <w:hyperlink r:id="rId332">
        <w:r>
          <w:rPr>
            <w:rStyle w:val="Hyperlink"/>
          </w:rPr>
          <w:t xml:space="preserve">http://hdl.handle.net/11396/3329</w:t>
        </w:r>
      </w:hyperlink>
      <w:bookmarkEnd w:id="333"/>
    </w:p>
    <w:p>
      <w:pPr>
        <w:pStyle w:val="Bibliography"/>
      </w:pPr>
      <w:bookmarkStart w:id="335" w:name="ref-salazar2018"/>
      <w:r>
        <w:t xml:space="preserve">Salazar Retuerto, J. F. (2018).</w:t>
      </w:r>
      <w:r>
        <w:t xml:space="preserve"> </w:t>
      </w:r>
      <w:r>
        <w:rPr>
          <w:iCs/>
          <w:i/>
        </w:rPr>
        <w:t xml:space="preserve">Aplicación de la guía PMBOK para reducir los costos de los proyectos de una empresa de construcción, Talara 2018</w:t>
      </w:r>
      <w:r>
        <w:t xml:space="preserve"> </w:t>
      </w:r>
      <w:r>
        <w:t xml:space="preserve">[Tesis de licenciatura, Universidad César Vallejo].</w:t>
      </w:r>
      <w:r>
        <w:t xml:space="preserve"> </w:t>
      </w:r>
      <w:hyperlink r:id="rId334">
        <w:r>
          <w:rPr>
            <w:rStyle w:val="Hyperlink"/>
          </w:rPr>
          <w:t xml:space="preserve">https://hdl.handle.net/20.500.12692/102458</w:t>
        </w:r>
      </w:hyperlink>
      <w:bookmarkEnd w:id="335"/>
    </w:p>
    <w:p>
      <w:pPr>
        <w:pStyle w:val="Bibliography"/>
      </w:pPr>
      <w:bookmarkStart w:id="337" w:name="ref-shaikh2020"/>
      <w:r>
        <w:t xml:space="preserve">Shaikh, F. A. y Sohu, S. (2020). Implementation, advantages and management of</w:t>
      </w:r>
      <w:r>
        <w:t xml:space="preserve"> </w:t>
      </w:r>
      <w:r>
        <w:t xml:space="preserve">ISO</w:t>
      </w:r>
      <w:r>
        <w:t xml:space="preserve"> </w:t>
      </w:r>
      <w:r>
        <w:t xml:space="preserve">9001 in the construction industry.</w:t>
      </w:r>
      <w:r>
        <w:t xml:space="preserve"> </w:t>
      </w:r>
      <w:r>
        <w:rPr>
          <w:iCs/>
          <w:i/>
        </w:rPr>
        <w:t xml:space="preserve">Civil Engineering Journal</w:t>
      </w:r>
      <w:r>
        <w:t xml:space="preserve">,</w:t>
      </w:r>
      <w:r>
        <w:t xml:space="preserve"> </w:t>
      </w:r>
      <w:r>
        <w:rPr>
          <w:iCs/>
          <w:i/>
        </w:rPr>
        <w:t xml:space="preserve">6</w:t>
      </w:r>
      <w:r>
        <w:t xml:space="preserve">(6), 1136–1142.</w:t>
      </w:r>
      <w:r>
        <w:t xml:space="preserve"> </w:t>
      </w:r>
      <w:hyperlink r:id="rId336">
        <w:r>
          <w:rPr>
            <w:rStyle w:val="Hyperlink"/>
          </w:rPr>
          <w:t xml:space="preserve">https://doi.org/10.28991/cej-2020-03091535</w:t>
        </w:r>
      </w:hyperlink>
      <w:bookmarkEnd w:id="337"/>
    </w:p>
    <w:p>
      <w:pPr>
        <w:pStyle w:val="Bibliography"/>
      </w:pPr>
      <w:bookmarkStart w:id="338" w:name="ref-unicon2025"/>
      <w:r>
        <w:t xml:space="preserve">UNICON. (2025).</w:t>
      </w:r>
      <w:r>
        <w:t xml:space="preserve"> </w:t>
      </w:r>
      <w:r>
        <w:rPr>
          <w:iCs/>
          <w:i/>
        </w:rPr>
        <w:t xml:space="preserve">Certificado de calidad: poliestireno expandido EPS, proyecto Construcción Edificio de Postgrado</w:t>
      </w:r>
      <w:r>
        <w:t xml:space="preserve"> </w:t>
      </w:r>
      <w:r>
        <w:t xml:space="preserve">[Certificado].</w:t>
      </w:r>
      <w:bookmarkEnd w:id="338"/>
    </w:p>
    <w:p>
      <w:pPr>
        <w:pStyle w:val="Bibliography"/>
      </w:pPr>
      <w:bookmarkStart w:id="339" w:name="ref-uatf_et"/>
      <w:r>
        <w:t xml:space="preserve">Universidad Autónoma Tomás Frías. (s. f.-a).</w:t>
      </w:r>
      <w:r>
        <w:t xml:space="preserve"> </w:t>
      </w:r>
      <w:r>
        <w:rPr>
          <w:iCs/>
          <w:i/>
        </w:rPr>
        <w:t xml:space="preserve">Especificaciones técnicas: hormigones y losa alivianada con viguetas pretensadas y plastoformo h = 25 cm</w:t>
      </w:r>
      <w:r>
        <w:t xml:space="preserve"> </w:t>
      </w:r>
      <w:r>
        <w:t xml:space="preserve">[Documento inédito]. Departamento de Infraestructura.</w:t>
      </w:r>
      <w:bookmarkEnd w:id="339"/>
    </w:p>
    <w:p>
      <w:pPr>
        <w:pStyle w:val="Bibliography"/>
      </w:pPr>
      <w:bookmarkStart w:id="340" w:name="ref-uatf_item13"/>
      <w:r>
        <w:t xml:space="preserve">Universidad Autónoma Tomás Frías. (s. f.-b).</w:t>
      </w:r>
      <w:r>
        <w:t xml:space="preserve"> </w:t>
      </w:r>
      <w:r>
        <w:rPr>
          <w:iCs/>
          <w:i/>
        </w:rPr>
        <w:t xml:space="preserve">Expediente del ítem 13: H</w:t>
      </w:r>
      <w:r>
        <w:rPr>
          <w:vertAlign w:val="superscript"/>
          <w:iCs/>
          <w:i/>
        </w:rPr>
        <w:t xml:space="preserve">o</w:t>
      </w:r>
      <w:r>
        <w:rPr>
          <w:iCs/>
          <w:i/>
        </w:rPr>
        <w:t xml:space="preserve">S</w:t>
      </w:r>
      <w:r>
        <w:rPr>
          <w:vertAlign w:val="superscript"/>
          <w:iCs/>
          <w:i/>
        </w:rPr>
        <w:t xml:space="preserve">o</w:t>
      </w:r>
      <w:r>
        <w:rPr>
          <w:iCs/>
          <w:i/>
        </w:rPr>
        <w:t xml:space="preserve"> </w:t>
      </w:r>
      <w:r>
        <w:rPr>
          <w:iCs/>
          <w:i/>
        </w:rPr>
        <w:t xml:space="preserve">losa alivianada con vigueta simple pretensada y plastoformo h = 25 cm</w:t>
      </w:r>
      <w:r>
        <w:t xml:space="preserve"> </w:t>
      </w:r>
      <w:r>
        <w:t xml:space="preserve">[Documento inédito]. Departamento de Infraestructura.</w:t>
      </w:r>
      <w:bookmarkEnd w:id="340"/>
    </w:p>
    <w:p>
      <w:pPr>
        <w:pStyle w:val="Bibliography"/>
      </w:pPr>
      <w:bookmarkStart w:id="341" w:name="ref-uatf_pao3"/>
      <w:r>
        <w:t xml:space="preserve">Universidad Autónoma Tomás Frías. (s. f.-c).</w:t>
      </w:r>
      <w:r>
        <w:t xml:space="preserve"> </w:t>
      </w:r>
      <w:r>
        <w:rPr>
          <w:iCs/>
          <w:i/>
        </w:rPr>
        <w:t xml:space="preserve">Planilla y cómputos métricos para la resolución de contrato (PAO N.</w:t>
      </w:r>
      <w:r>
        <w:rPr>
          <w:vertAlign w:val="superscript"/>
          <w:iCs/>
          <w:i/>
        </w:rPr>
        <w:t xml:space="preserve">o</w:t>
      </w:r>
      <w:r>
        <w:rPr>
          <w:iCs/>
          <w:i/>
        </w:rPr>
        <w:t xml:space="preserve"> </w:t>
      </w:r>
      <w:r>
        <w:rPr>
          <w:iCs/>
          <w:i/>
        </w:rPr>
        <w:t xml:space="preserve">3), proyecto «Construcción Edificio de Posgrado»</w:t>
      </w:r>
      <w:r>
        <w:t xml:space="preserve"> </w:t>
      </w:r>
      <w:r>
        <w:t xml:space="preserve">[Documento inédito]. Departamento de Infraestructura.</w:t>
      </w:r>
      <w:bookmarkEnd w:id="341"/>
    </w:p>
    <w:p>
      <w:pPr>
        <w:pStyle w:val="Bibliography"/>
      </w:pPr>
      <w:bookmarkStart w:id="342" w:name="ref-uatf_planos"/>
      <w:r>
        <w:t xml:space="preserve">Universidad Autónoma Tomás Frías. (s. f.-d).</w:t>
      </w:r>
      <w:r>
        <w:t xml:space="preserve"> </w:t>
      </w:r>
      <w:r>
        <w:rPr>
          <w:iCs/>
          <w:i/>
        </w:rPr>
        <w:t xml:space="preserve">Planos de la primera losa del proyecto «Construcción Edificio de Posgrado»: geometría y sistema de ejes (Plano 01), sección y detalles de la losa con viguetas pretensadas (Plano 02) y cantidad de viguetas (Plano 03)</w:t>
      </w:r>
      <w:r>
        <w:t xml:space="preserve"> </w:t>
      </w:r>
      <w:r>
        <w:t xml:space="preserve">[Planos inéditos]. Departamento de Infraestructura.</w:t>
      </w:r>
      <w:bookmarkEnd w:id="342"/>
    </w:p>
    <w:p>
      <w:pPr>
        <w:pStyle w:val="Bibliography"/>
      </w:pPr>
      <w:bookmarkStart w:id="343" w:name="ref-uatf2025pao2"/>
      <w:r>
        <w:t xml:space="preserve">Universidad Autónoma Tomás Frías. (2025).</w:t>
      </w:r>
      <w:r>
        <w:t xml:space="preserve"> </w:t>
      </w:r>
      <w:r>
        <w:rPr>
          <w:iCs/>
          <w:i/>
        </w:rPr>
        <w:t xml:space="preserve">Planilla de avance de obra N.</w:t>
      </w:r>
      <w:r>
        <w:rPr>
          <w:vertAlign w:val="superscript"/>
          <w:iCs/>
          <w:i/>
        </w:rPr>
        <w:t xml:space="preserve">o</w:t>
      </w:r>
      <w:r>
        <w:rPr>
          <w:iCs/>
          <w:i/>
        </w:rPr>
        <w:t xml:space="preserve"> </w:t>
      </w:r>
      <w:r>
        <w:rPr>
          <w:iCs/>
          <w:i/>
        </w:rPr>
        <w:t xml:space="preserve">2 del proyecto «Construcción Edificio de Posgrado»</w:t>
      </w:r>
      <w:r>
        <w:t xml:space="preserve"> </w:t>
      </w:r>
      <w:r>
        <w:t xml:space="preserve">[Documento inédito]. Departamento de Infraestructura.</w:t>
      </w:r>
      <w:bookmarkEnd w:id="343"/>
    </w:p>
    <w:p>
      <w:pPr>
        <w:pStyle w:val="Bibliography"/>
      </w:pPr>
      <w:bookmarkStart w:id="345" w:name="ref-zurita2024"/>
      <w:r>
        <w:t xml:space="preserve">Zurita Ferrel, C. Y. (2024).</w:t>
      </w:r>
      <w:r>
        <w:t xml:space="preserve"> </w:t>
      </w:r>
      <w:r>
        <w:rPr>
          <w:iCs/>
          <w:i/>
        </w:rPr>
        <w:t xml:space="preserve">Propuesta de un sistema de gestión de la calidad basado en la norma ISO 9001:2015 para la empresa SKABULL Ingeniería y Construcción</w:t>
      </w:r>
      <w:r>
        <w:t xml:space="preserve"> </w:t>
      </w:r>
      <w:r>
        <w:t xml:space="preserve">[Proyecto de grado de maestría, Universidad Mayor de San Simón].</w:t>
      </w:r>
      <w:r>
        <w:t xml:space="preserve"> </w:t>
      </w:r>
      <w:hyperlink r:id="rId344">
        <w:r>
          <w:rPr>
            <w:rStyle w:val="Hyperlink"/>
          </w:rPr>
          <w:t xml:space="preserve">http://ddigital.umss.edu.bo/handle/123456789/49369</w:t>
        </w:r>
      </w:hyperlink>
      <w:bookmarkEnd w:id="345"/>
    </w:p>
    <w:p>
      <w:pPr>
        <w:pStyle w:val="Heading1"/>
      </w:pPr>
      <w:bookmarkStart w:id="348" w:name="tit159"/>
      <w:r>
        <w:t xml:space="preserve">Anexos</w:t>
      </w:r>
      <w:bookmarkEnd w:id="348"/>
    </w:p>
    <w:p>
      <w:pPr>
        <w:pStyle w:val="Heading1"/>
      </w:pPr>
      <w:bookmarkStart w:id="349" w:name="tit160"/>
      <w:r>
        <w:t xml:space="preserve">ANEXO A</w:t>
      </w:r>
      <w:r>
        <w:br/>
      </w:r>
      <w:r>
        <w:t xml:space="preserve">MATRIZ DE CONSISTENCIA</w:t>
      </w:r>
      <w:bookmarkEnd w:id="349"/>
    </w:p>
    <w:p>
      <w:pPr>
        <w:pStyle w:val="Caption"/>
      </w:pPr>
      <w:bookmarkStart w:id="1473" w:name="tab54"/>
      <w:r>
        <w:t xml:space="preserve"/>
      </w:r>
      <w:r>
        <w:rPr>
          <w:bCs/>
          <w:b/>
        </w:rPr>
        <w:t xml:space="preserve">Tabla 54</w:t>
      </w:r>
      <w:r>
        <w:br/>
      </w:r>
      <w:r>
        <w:rPr>
          <w:iCs/>
          <w:i/>
        </w:rPr>
        <w:t xml:space="preserve">Matriz de consistencia de la investigación</w:t>
      </w:r>
      <w:bookmarkEnd w:id="1473"/>
    </w:p>
    <w:tbl>
      <w:tblPr>
        <w:tblStyle w:val="Table"/>
        <w:tblW w:w="9696" w:type="dxa"/>
        <w:jc w:val="left"/>
        <w:tblLayout w:type="fixed"/>
        <w:tblCellMar>
          <w:top w:w="0" w:type="dxa"/>
          <w:left w:w="85" w:type="dxa"/>
          <w:bottom w:w="0" w:type="dxa"/>
          <w:right w:w="85" w:type="dxa"/>
        </w:tblCellMar>
        <w:tblLook w:firstRow="1" w:lastRow="0" w:firstColumn="0" w:lastColumn="0" w:noHBand="0" w:noVBand="0" w:val="0020"/>
      </w:tblPr>
      <w:tblGrid>
        <w:gridCol w:w="1719"/>
        <w:gridCol w:w="1971"/>
        <w:gridCol w:w="1550"/>
        <w:gridCol w:w="1916"/>
        <w:gridCol w:w="2540"/>
      </w:tblGrid>
      <w:tr>
        <w:trPr>
          <w:cantSplit/>
          <w:tblHeader w:val="true"/>
        </w:trPr>
        <w:tc>
          <w:tcPr>
            <w:tcW w:w="1719" w:type="dxa"/>
            <w:tcBorders>
              <w:top w:val="single" w:sz="8" w:space="0" w:color="000000"/>
              <w:bottom w:val="single" w:sz="4" w:space="0" w:color="000000"/>
            </w:tcBorders>
          </w:tcPr>
          <w:p>
            <w:pPr>
              <w:pStyle w:val="CeldaAPA"/>
              <w:jc w:val="center"/>
            </w:pPr>
            <w:r>
              <w:rPr>
                <w:bCs/>
                <w:b/>
              </w:rPr>
              <w:t xml:space="preserve">Problema</w:t>
            </w:r>
          </w:p>
        </w:tc>
        <w:tc>
          <w:tcPr>
            <w:tcW w:w="1971" w:type="dxa"/>
            <w:tcBorders>
              <w:top w:val="single" w:sz="8" w:space="0" w:color="000000"/>
              <w:bottom w:val="single" w:sz="4" w:space="0" w:color="000000"/>
            </w:tcBorders>
          </w:tcPr>
          <w:p>
            <w:pPr>
              <w:pStyle w:val="CeldaAPA"/>
              <w:jc w:val="center"/>
            </w:pPr>
            <w:r>
              <w:rPr>
                <w:bCs/>
                <w:b/>
              </w:rPr>
              <w:t xml:space="preserve">Objetivos</w:t>
            </w:r>
          </w:p>
        </w:tc>
        <w:tc>
          <w:tcPr>
            <w:tcW w:w="1550" w:type="dxa"/>
            <w:tcBorders>
              <w:top w:val="single" w:sz="8" w:space="0" w:color="000000"/>
              <w:bottom w:val="single" w:sz="4" w:space="0" w:color="000000"/>
            </w:tcBorders>
          </w:tcPr>
          <w:p>
            <w:pPr>
              <w:pStyle w:val="CeldaAPA"/>
              <w:jc w:val="center"/>
            </w:pPr>
            <w:r>
              <w:rPr>
                <w:bCs/>
                <w:b/>
              </w:rPr>
              <w:t xml:space="preserve">Hipótesis</w:t>
            </w:r>
          </w:p>
        </w:tc>
        <w:tc>
          <w:tcPr>
            <w:tcW w:w="1916" w:type="dxa"/>
            <w:tcBorders>
              <w:top w:val="single" w:sz="8" w:space="0" w:color="000000"/>
              <w:bottom w:val="single" w:sz="4" w:space="0" w:color="000000"/>
            </w:tcBorders>
          </w:tcPr>
          <w:p>
            <w:pPr>
              <w:pStyle w:val="CeldaAPA"/>
              <w:jc w:val="center"/>
            </w:pPr>
            <w:r>
              <w:rPr>
                <w:bCs/>
                <w:b/>
              </w:rPr>
              <w:t xml:space="preserve">Variables e indicadores</w:t>
            </w:r>
          </w:p>
        </w:tc>
        <w:tc>
          <w:tcPr>
            <w:tcW w:w="2540" w:type="dxa"/>
            <w:tcBorders>
              <w:top w:val="single" w:sz="8" w:space="0" w:color="000000"/>
              <w:bottom w:val="single" w:sz="4" w:space="0" w:color="000000"/>
            </w:tcBorders>
          </w:tcPr>
          <w:p>
            <w:pPr>
              <w:pStyle w:val="CeldaAPA"/>
              <w:jc w:val="center"/>
            </w:pPr>
            <w:r>
              <w:rPr>
                <w:bCs/>
                <w:b/>
              </w:rPr>
              <w:t xml:space="preserve">Metodología</w:t>
            </w:r>
          </w:p>
        </w:tc>
      </w:tr>
      <w:tr>
        <w:tc>
          <w:tcPr>
            <w:tcW w:w="1719" w:type="dxa"/>
          </w:tcPr>
          <w:p>
            <w:pPr>
              <w:pStyle w:val="CeldaAPA"/>
              <w:jc w:val="left"/>
            </w:pPr>
            <w:r>
              <w:rPr>
                <w:bCs/>
                <w:b/>
              </w:rPr>
              <w:t xml:space="preserve">General:</w:t>
            </w:r>
            <w:r>
              <w:rPr/>
              <w:t xml:space="preserve"> </w:t>
            </w:r>
            <w:r>
              <w:rPr/>
              <w:t xml:space="preserve">¿De qué manera un Sistema de Gestión de la Calidad basado en la norma ISO 9001, centrado en el control de materiales, permite reducir los costos de ejecución de las losas alivianadas con viguetas pretensadas del Edificio de Posgrado de la Universidad Autónoma Tomás Frías?</w:t>
            </w:r>
          </w:p>
        </w:tc>
        <w:tc>
          <w:tcPr>
            <w:tcW w:w="1971" w:type="dxa"/>
          </w:tcPr>
          <w:p>
            <w:pPr>
              <w:pStyle w:val="CeldaAPA"/>
              <w:jc w:val="left"/>
            </w:pPr>
            <w:r>
              <w:rPr>
                <w:bCs/>
                <w:b/>
              </w:rPr>
              <w:t xml:space="preserve">General:</w:t>
            </w:r>
            <w:r>
              <w:rPr/>
              <w:t xml:space="preserve"> </w:t>
            </w:r>
            <w:r>
              <w:rPr/>
              <w:t xml:space="preserve">Diseñar un Sistema de Gestión de la Calidad basado en la norma ISO 9001, centrado en el control de materiales, para reducir los costos de ejecución de las losas alivianadas con viguetas pretensadas del Edificio de Posgrado de la Universidad Autónoma Tomás Frías.</w:t>
            </w:r>
          </w:p>
        </w:tc>
        <w:tc>
          <w:tcPr>
            <w:tcW w:w="1550" w:type="dxa"/>
          </w:tcPr>
          <w:p>
            <w:pPr>
              <w:pStyle w:val="CeldaAPA"/>
              <w:jc w:val="left"/>
            </w:pPr>
            <w:r>
              <w:rPr>
                <w:bCs/>
                <w:b/>
              </w:rPr>
              <w:t xml:space="preserve">HG:</w:t>
            </w:r>
            <w:r>
              <w:rPr/>
              <w:t xml:space="preserve"> </w:t>
            </w:r>
            <w:r>
              <w:rPr/>
              <w:t xml:space="preserve">La aplicación de un Sistema de Gestión de la Calidad basado en la norma ISO 9001, centrado en el control de materiales, reduce en al menos un 5 % el costo unitario de ejecución (Bs/m</w:t>
            </w:r>
            <w:r>
              <w:rPr>
                <w:vertAlign w:val="superscript"/>
              </w:rPr>
              <w:t xml:space="preserve">2</w:t>
            </w:r>
            <w:r>
              <w:rPr/>
              <w:t xml:space="preserve">, a precios constantes del contrato) de las losas alivianadas con viguetas pretensadas del Edificio de Posgrado de la UATF, respecto de la línea base de la primera losa.</w:t>
            </w:r>
          </w:p>
        </w:tc>
        <w:tc>
          <w:tcPr>
            <w:tcW w:w="1916" w:type="dxa"/>
          </w:tcPr>
          <w:p>
            <w:pPr>
              <w:pStyle w:val="CeldaAPA"/>
              <w:jc w:val="left"/>
            </w:pPr>
            <w:r>
              <w:rPr>
                <w:bCs/>
                <w:b/>
              </w:rPr>
              <w:t xml:space="preserve">X:</w:t>
            </w:r>
            <w:r>
              <w:rPr/>
              <w:t xml:space="preserve"> </w:t>
            </w:r>
            <w:r>
              <w:rPr/>
              <w:t xml:space="preserve">SGC (planificación de la calidad, control de materiales, control del proceso, seguimiento y mejora).</w:t>
            </w:r>
            <w:r>
              <w:rPr/>
              <w:t xml:space="preserve"> </w:t>
            </w:r>
            <w:r>
              <w:rPr>
                <w:bCs/>
                <w:b/>
              </w:rPr>
              <w:t xml:space="preserve">Y:</w:t>
            </w:r>
            <w:r>
              <w:rPr/>
              <w:t xml:space="preserve"> </w:t>
            </w:r>
            <w:r>
              <w:rPr/>
              <w:t xml:space="preserve">costo de ejecución de la losa (costo directo, desperdicio, costo de no calidad, costo de la calidad, conformidad del hormigón).</w:t>
            </w:r>
            <w:r>
              <w:rPr/>
              <w:t xml:space="preserve"> </w:t>
            </w:r>
            <w:r>
              <w:rPr>
                <w:bCs/>
                <w:b/>
              </w:rPr>
              <w:t xml:space="preserve">Interviniente controlada:</w:t>
            </w:r>
            <w:r>
              <w:rPr/>
              <w:t xml:space="preserve"> </w:t>
            </w:r>
            <w:r>
              <w:rPr/>
              <w:t xml:space="preserve">precios (constantes del contrato).</w:t>
            </w:r>
          </w:p>
        </w:tc>
        <w:tc>
          <w:tcPr>
            <w:tcW w:w="2540" w:type="dxa"/>
          </w:tcPr>
          <w:p>
            <w:pPr>
              <w:pStyle w:val="CeldaAPA"/>
              <w:jc w:val="left"/>
            </w:pPr>
            <w:r>
              <w:rPr/>
              <w:t xml:space="preserve">Tipo aplicada; enfoque cuantitativo; nivel explicativo, con fase descriptiva y componente propositivo. Diseño no experimental: línea base retrospectiva y documental de la primera losa (</w:t>
            </w:r>
            <m:oMath>
              <m:sSub>
                <m:e>
                  <m:r>
                    <m:t>O</m:t>
                  </m:r>
                </m:e>
                <m:sub>
                  <m:r>
                    <m:t>1</m:t>
                  </m:r>
                </m:sub>
              </m:sSub>
            </m:oMath>
            <w:r>
              <w:rPr/>
              <w:t xml:space="preserve">), SGC diseñado (</w:t>
            </w:r>
            <m:oMath>
              <m:r>
                <m:t>X</m:t>
              </m:r>
            </m:oMath>
            <w:r>
              <w:rPr/>
              <w:t xml:space="preserve">) y evaluación</w:t>
            </w:r>
            <w:r>
              <w:rPr/>
              <w:t xml:space="preserve"> </w:t>
            </w:r>
            <w:r>
              <w:rPr>
                <w:iCs/>
                <w:i/>
              </w:rPr>
              <w:t xml:space="preserve">ex ante</w:t>
            </w:r>
            <w:r>
              <w:rPr/>
              <w:t xml:space="preserve"> </w:t>
            </w:r>
            <w:r>
              <w:rPr/>
              <w:t xml:space="preserve">(</w:t>
            </w:r>
            <m:oMath>
              <m:sSub>
                <m:e>
                  <m:r>
                    <m:t>O</m:t>
                  </m:r>
                </m:e>
                <m:sub>
                  <m:r>
                    <m:t>2</m:t>
                  </m:r>
                </m:sub>
              </m:sSub>
            </m:oMath>
            <w:r>
              <w:rPr/>
              <w:t xml:space="preserve"> </w:t>
            </w:r>
            <w:r>
              <w:rPr/>
              <w:t xml:space="preserve">simulado) con un modelo de costos y una simulación de Monte Carlo de 20.000 iteraciones. Se acepta</w:t>
            </w:r>
            <w:r>
              <w:rPr/>
              <w:t xml:space="preserve"> </w:t>
            </w:r>
            <m:oMath>
              <m:sSub>
                <m:e>
                  <m:r>
                    <m:t>H</m:t>
                  </m:r>
                </m:e>
                <m:sub>
                  <m:r>
                    <m:t>1</m:t>
                  </m:r>
                </m:sub>
              </m:sSub>
            </m:oMath>
            <w:r>
              <w:rPr/>
              <w:t xml:space="preserve"> </w:t>
            </w:r>
            <w:r>
              <w:rPr/>
              <w:t xml:space="preserve">si</w:t>
            </w:r>
            <w:r>
              <w:rPr/>
              <w:t xml:space="preserve"> </w:t>
            </w:r>
            <m:oMath>
              <m:r>
                <m:t>P</m:t>
              </m:r>
              <m:r>
                <m:rPr>
                  <m:sty m:val="p"/>
                </m:rPr>
                <m:t>≥</m:t>
              </m:r>
              <m:r>
                <m:t>0</m:t>
              </m:r>
              <m:r>
                <m:rPr>
                  <m:sty m:val="p"/>
                </m:rPr>
                <m:t>,</m:t>
              </m:r>
              <m:r>
                <m:t>95</m:t>
              </m:r>
            </m:oMath>
            <w:r>
              <w:rPr/>
              <w:t xml:space="preserve"> </w:t>
            </w:r>
            <w:r>
              <w:rPr/>
              <w:t xml:space="preserve">(</w:t>
            </w:r>
            <m:oMath>
              <m:r>
                <m:t>α</m:t>
              </m:r>
              <m:r>
                <m:rPr>
                  <m:sty m:val="p"/>
                </m:rPr>
                <m:t>=</m:t>
              </m:r>
              <m:r>
                <m:t>0</m:t>
              </m:r>
              <m:r>
                <m:rPr>
                  <m:sty m:val="p"/>
                </m:rPr>
                <m:t>,</m:t>
              </m:r>
              <m:r>
                <m:t>05</m:t>
              </m:r>
            </m:oMath>
            <w:r>
              <w:rPr/>
              <w:t xml:space="preserve">).</w:t>
            </w:r>
          </w:p>
        </w:tc>
      </w:tr>
      <w:tr>
        <w:tc>
          <w:tcPr>
            <w:tcW w:w="1719" w:type="dxa"/>
            <w:tcBorders>
              <w:top w:val="single" w:sz="4" w:space="0" w:color="000000"/>
            </w:tcBorders>
          </w:tcPr>
          <w:p>
            <w:pPr>
              <w:pStyle w:val="CeldaAPA"/>
              <w:jc w:val="left"/>
            </w:pPr>
            <w:r>
              <w:rPr>
                <w:bCs/>
                <w:b/>
              </w:rPr>
              <w:t xml:space="preserve">PE1:</w:t>
            </w:r>
            <w:r>
              <w:rPr/>
              <w:t xml:space="preserve"> </w:t>
            </w:r>
            <w:r>
              <w:rPr/>
              <w:t xml:space="preserve">¿Cómo se gestionaron la calidad y el control de materiales en la ejecución de la primera losa alivianada del Edificio de Posgrado?</w:t>
            </w:r>
          </w:p>
        </w:tc>
        <w:tc>
          <w:tcPr>
            <w:tcW w:w="1971" w:type="dxa"/>
            <w:tcBorders>
              <w:top w:val="single" w:sz="4" w:space="0" w:color="000000"/>
            </w:tcBorders>
          </w:tcPr>
          <w:p>
            <w:pPr>
              <w:pStyle w:val="CeldaAPA"/>
              <w:jc w:val="left"/>
            </w:pPr>
            <w:r>
              <w:rPr>
                <w:bCs/>
                <w:b/>
              </w:rPr>
              <w:t xml:space="preserve">OE1:</w:t>
            </w:r>
            <w:r>
              <w:rPr/>
              <w:t xml:space="preserve"> </w:t>
            </w:r>
            <w:r>
              <w:rPr/>
              <w:t xml:space="preserve">Caracterizar la gestión de la calidad y el control de materiales aplicados en la ejecución de la primera losa alivianada (1.109,84 m</w:t>
            </w:r>
            <w:r>
              <w:rPr>
                <w:vertAlign w:val="superscript"/>
              </w:rPr>
              <w:t xml:space="preserve">2</w:t>
            </w:r>
            <w:r>
              <w:rPr/>
              <w:t xml:space="preserve">) e identificar las no conformidades y sus causas.</w:t>
            </w:r>
          </w:p>
        </w:tc>
        <w:tc>
          <w:tcPr>
            <w:tcW w:w="1550" w:type="dxa"/>
            <w:tcBorders>
              <w:top w:val="single" w:sz="4" w:space="0" w:color="000000"/>
            </w:tcBorders>
          </w:tcPr>
          <w:p>
            <w:pPr>
              <w:pStyle w:val="CeldaAPA"/>
              <w:jc w:val="left"/>
            </w:pPr>
            <w:r>
              <w:rPr/>
              <w:t xml:space="preserve">Descriptivo (sin hipótesis).</w:t>
            </w:r>
          </w:p>
        </w:tc>
        <w:tc>
          <w:tcPr>
            <w:tcW w:w="1916" w:type="dxa"/>
            <w:tcBorders>
              <w:top w:val="single" w:sz="4" w:space="0" w:color="000000"/>
            </w:tcBorders>
          </w:tcPr>
          <w:p>
            <w:pPr>
              <w:pStyle w:val="CeldaAPA"/>
              <w:jc w:val="left"/>
            </w:pPr>
            <w:r>
              <w:rPr/>
              <w:t xml:space="preserve">Porcentaje de cumplimiento de los requisitos ISO 9001:2026 por cláusula; número de no conformidades y sus causas.</w:t>
            </w:r>
          </w:p>
        </w:tc>
        <w:tc>
          <w:tcPr>
            <w:tcW w:w="2540" w:type="dxa"/>
            <w:tcBorders>
              <w:top w:val="single" w:sz="4" w:space="0" w:color="000000"/>
            </w:tcBorders>
          </w:tcPr>
          <w:p>
            <w:pPr>
              <w:pStyle w:val="CeldaAPA"/>
              <w:jc w:val="left"/>
            </w:pPr>
            <w:r>
              <w:rPr/>
              <w:t xml:space="preserve">Análisis documental (planillas, Libro de Órdenes, certificados, contrato, planos y ET); lista de verificación C.1; Pareto e Ishikawa.</w:t>
            </w:r>
          </w:p>
        </w:tc>
      </w:tr>
      <w:tr>
        <w:tc>
          <w:tcPr>
            <w:tcW w:w="1719" w:type="dxa"/>
            <w:tcBorders>
              <w:top w:val="single" w:sz="4" w:space="0" w:color="000000"/>
            </w:tcBorders>
          </w:tcPr>
          <w:p>
            <w:pPr>
              <w:pStyle w:val="CeldaAPA"/>
              <w:jc w:val="left"/>
            </w:pPr>
            <w:r>
              <w:rPr>
                <w:bCs/>
                <w:b/>
              </w:rPr>
              <w:t xml:space="preserve">PE2:</w:t>
            </w:r>
            <w:r>
              <w:rPr/>
              <w:t xml:space="preserve"> </w:t>
            </w:r>
            <w:r>
              <w:rPr/>
              <w:t xml:space="preserve">¿Cuál es el nivel de desperdicio de materiales (hormigón, acero, viguetas pretensadas y plastoformo) y cuál es el costo de no calidad de la primera losa?</w:t>
            </w:r>
          </w:p>
        </w:tc>
        <w:tc>
          <w:tcPr>
            <w:tcW w:w="1971" w:type="dxa"/>
            <w:tcBorders>
              <w:top w:val="single" w:sz="4" w:space="0" w:color="000000"/>
            </w:tcBorders>
          </w:tcPr>
          <w:p>
            <w:pPr>
              <w:pStyle w:val="CeldaAPA"/>
              <w:jc w:val="left"/>
            </w:pPr>
            <w:r>
              <w:rPr>
                <w:bCs/>
                <w:b/>
              </w:rPr>
              <w:t xml:space="preserve">OE2:</w:t>
            </w:r>
            <w:r>
              <w:rPr/>
              <w:t xml:space="preserve"> </w:t>
            </w:r>
            <w:r>
              <w:rPr/>
              <w:t xml:space="preserve">Cuantificar la línea base del índice de desperdicio de materiales (hormigón, acero, viguetas pretensadas y plastoformo) y del costo de no calidad de la primera losa. Para ello se compararán las cantidades teóricas, adquiridas y pagadas.</w:t>
            </w:r>
          </w:p>
        </w:tc>
        <w:tc>
          <w:tcPr>
            <w:tcW w:w="1550" w:type="dxa"/>
            <w:tcBorders>
              <w:top w:val="single" w:sz="4" w:space="0" w:color="000000"/>
            </w:tcBorders>
          </w:tcPr>
          <w:p>
            <w:pPr>
              <w:pStyle w:val="CeldaAPA"/>
              <w:jc w:val="left"/>
            </w:pPr>
            <w:r>
              <w:rPr/>
              <w:t xml:space="preserve">Descriptivo: valores de referencia de la línea base.</w:t>
            </w:r>
          </w:p>
        </w:tc>
        <w:tc>
          <w:tcPr>
            <w:tcW w:w="1916" w:type="dxa"/>
            <w:tcBorders>
              <w:top w:val="single" w:sz="4" w:space="0" w:color="000000"/>
            </w:tcBorders>
          </w:tcPr>
          <w:p>
            <w:pPr>
              <w:pStyle w:val="CeldaAPA"/>
              <w:jc w:val="left"/>
            </w:pPr>
            <m:oMath>
              <m:r>
                <m:t>I</m:t>
              </m:r>
              <m:r>
                <m:t>D</m:t>
              </m:r>
              <m:sSub>
                <m:e>
                  <m:r>
                    <m:t>M</m:t>
                  </m:r>
                </m:e>
                <m:sub>
                  <m:r>
                    <m:t>i</m:t>
                  </m:r>
                </m:sub>
              </m:sSub>
            </m:oMath>
            <w:r>
              <w:rPr/>
              <w:t xml:space="preserve">; costo de no calidad en Bs/m</w:t>
            </w:r>
            <w:r>
              <w:rPr>
                <w:vertAlign w:val="superscript"/>
              </w:rPr>
              <w:t xml:space="preserve">2</w:t>
            </w:r>
            <w:r>
              <w:rPr/>
              <w:t xml:space="preserve"> </w:t>
            </w:r>
            <w:r>
              <w:rPr/>
              <w:t xml:space="preserve">y en % del costo unitario.</w:t>
            </w:r>
          </w:p>
        </w:tc>
        <w:tc>
          <w:tcPr>
            <w:tcW w:w="2540" w:type="dxa"/>
            <w:tcBorders>
              <w:top w:val="single" w:sz="4" w:space="0" w:color="000000"/>
            </w:tcBorders>
          </w:tcPr>
          <w:p>
            <w:pPr>
              <w:pStyle w:val="CeldaAPA"/>
              <w:jc w:val="left"/>
            </w:pPr>
            <w:r>
              <w:rPr/>
              <w:t xml:space="preserve">Cantidades teóricas por paño (Planos 01 a 03) frente a las cantidades entregadas y pagadas (certificados y planillas); rangos de la literatura cuando no hubo registros.</w:t>
            </w:r>
          </w:p>
        </w:tc>
      </w:tr>
      <w:tr>
        <w:tc>
          <w:tcPr>
            <w:tcW w:w="1719" w:type="dxa"/>
            <w:tcBorders>
              <w:top w:val="single" w:sz="4" w:space="0" w:color="000000"/>
            </w:tcBorders>
          </w:tcPr>
          <w:p>
            <w:pPr>
              <w:pStyle w:val="CeldaAPA"/>
              <w:jc w:val="left"/>
            </w:pPr>
            <w:r>
              <w:rPr>
                <w:bCs/>
                <w:b/>
              </w:rPr>
              <w:t xml:space="preserve">PE3:</w:t>
            </w:r>
            <w:r>
              <w:rPr/>
              <w:t xml:space="preserve"> </w:t>
            </w:r>
            <w:r>
              <w:rPr/>
              <w:t xml:space="preserve">¿Qué componentes debe tener un SGC para el proceso constructivo de losas alivianadas con viguetas pretensadas?</w:t>
            </w:r>
          </w:p>
        </w:tc>
        <w:tc>
          <w:tcPr>
            <w:tcW w:w="1971" w:type="dxa"/>
            <w:tcBorders>
              <w:top w:val="single" w:sz="4" w:space="0" w:color="000000"/>
            </w:tcBorders>
          </w:tcPr>
          <w:p>
            <w:pPr>
              <w:pStyle w:val="CeldaAPA"/>
              <w:jc w:val="left"/>
            </w:pPr>
            <w:r>
              <w:rPr>
                <w:bCs/>
                <w:b/>
              </w:rPr>
              <w:t xml:space="preserve">OE3:</w:t>
            </w:r>
            <w:r>
              <w:rPr/>
              <w:t xml:space="preserve"> </w:t>
            </w:r>
            <w:r>
              <w:rPr/>
              <w:t xml:space="preserve">Establecer los componentes del SGC: plan de la calidad, plan de puntos de inspección y ensayo (PPI), procedimientos de control de materiales, gestión de no conformidades y registro de costos de la calidad. Se basarán en las normas ISO 9001:2026 e ISO 10005:2018, en la normativa de hormigón estructural y en los ensayos ASTM.</w:t>
            </w:r>
          </w:p>
        </w:tc>
        <w:tc>
          <w:tcPr>
            <w:tcW w:w="1550" w:type="dxa"/>
            <w:tcBorders>
              <w:top w:val="single" w:sz="4" w:space="0" w:color="000000"/>
            </w:tcBorders>
          </w:tcPr>
          <w:p>
            <w:pPr>
              <w:pStyle w:val="CeldaAPA"/>
              <w:jc w:val="left"/>
            </w:pPr>
            <w:r>
              <w:rPr/>
              <w:t xml:space="preserve">Propositivo (sin hipótesis).</w:t>
            </w:r>
          </w:p>
        </w:tc>
        <w:tc>
          <w:tcPr>
            <w:tcW w:w="1916" w:type="dxa"/>
            <w:tcBorders>
              <w:top w:val="single" w:sz="4" w:space="0" w:color="000000"/>
            </w:tcBorders>
          </w:tcPr>
          <w:p>
            <w:pPr>
              <w:pStyle w:val="CeldaAPA"/>
              <w:jc w:val="left"/>
            </w:pPr>
            <w:r>
              <w:rPr/>
              <w:t xml:space="preserve">Componentes del SGC: plan de la calidad, PPI, procedimientos PCM-01 a PCM-05, gestión de no conformidades y planilla de costos de la calidad.</w:t>
            </w:r>
          </w:p>
        </w:tc>
        <w:tc>
          <w:tcPr>
            <w:tcW w:w="2540" w:type="dxa"/>
            <w:tcBorders>
              <w:top w:val="single" w:sz="4" w:space="0" w:color="000000"/>
            </w:tcBorders>
          </w:tcPr>
          <w:p>
            <w:pPr>
              <w:pStyle w:val="CeldaAPA"/>
              <w:jc w:val="left"/>
            </w:pPr>
            <w:r>
              <w:rPr/>
              <w:t xml:space="preserve">Diseño a partir de la ISO 9001:2026, la ISO 10005:2018, el ACI 318-25 (capítulo 26), la NB 997 y las normas ASTM; formatos C.2 a C.6.</w:t>
            </w:r>
          </w:p>
        </w:tc>
      </w:tr>
      <w:tr>
        <w:tc>
          <w:tcPr>
            <w:tcW w:w="1719" w:type="dxa"/>
            <w:tcBorders>
              <w:top w:val="single" w:sz="4" w:space="0" w:color="000000"/>
              <w:bottom w:val="single" w:sz="8" w:space="0" w:color="000000"/>
            </w:tcBorders>
          </w:tcPr>
          <w:p>
            <w:pPr>
              <w:pStyle w:val="CeldaAPA"/>
              <w:jc w:val="left"/>
            </w:pPr>
            <w:r>
              <w:rPr>
                <w:bCs/>
                <w:b/>
              </w:rPr>
              <w:t xml:space="preserve">PE4:</w:t>
            </w:r>
            <w:r>
              <w:rPr/>
              <w:t xml:space="preserve"> </w:t>
            </w:r>
            <w:r>
              <w:rPr/>
              <w:t xml:space="preserve">¿En qué medida el SGC propuesto reduce el costo unitario y el desperdicio de materiales respecto de la línea base?</w:t>
            </w:r>
          </w:p>
        </w:tc>
        <w:tc>
          <w:tcPr>
            <w:tcW w:w="1971" w:type="dxa"/>
            <w:tcBorders>
              <w:top w:val="single" w:sz="4" w:space="0" w:color="000000"/>
              <w:bottom w:val="single" w:sz="8" w:space="0" w:color="000000"/>
            </w:tcBorders>
          </w:tcPr>
          <w:p>
            <w:pPr>
              <w:pStyle w:val="CeldaAPA"/>
              <w:jc w:val="left"/>
            </w:pPr>
            <w:r>
              <w:rPr>
                <w:bCs/>
                <w:b/>
              </w:rPr>
              <w:t xml:space="preserve">OE4:</w:t>
            </w:r>
            <w:r>
              <w:rPr/>
              <w:t xml:space="preserve"> </w:t>
            </w:r>
            <w:r>
              <w:rPr/>
              <w:t xml:space="preserve">Evaluar</w:t>
            </w:r>
            <w:r>
              <w:rPr/>
              <w:t xml:space="preserve"> </w:t>
            </w:r>
            <w:r>
              <w:rPr>
                <w:iCs/>
                <w:i/>
              </w:rPr>
              <w:t xml:space="preserve">ex ante</w:t>
            </w:r>
            <w:r>
              <w:rPr/>
              <w:t xml:space="preserve">, mediante un modelo de costos y simulación de Monte Carlo, el efecto del SGC sobre el costo unitario (Bs/m</w:t>
            </w:r>
            <w:r>
              <w:rPr>
                <w:vertAlign w:val="superscript"/>
              </w:rPr>
              <w:t xml:space="preserve">2</w:t>
            </w:r>
            <w:r>
              <w:rPr/>
              <w:t xml:space="preserve">) y el desperdicio de materiales de los 2.234,60 m</w:t>
            </w:r>
            <w:r>
              <w:rPr>
                <w:vertAlign w:val="superscript"/>
              </w:rPr>
              <w:t xml:space="preserve">2</w:t>
            </w:r>
            <w:r>
              <w:rPr/>
              <w:t xml:space="preserve"> </w:t>
            </w:r>
            <w:r>
              <w:rPr/>
              <w:t xml:space="preserve">de losa restantes, respecto de la línea base.</w:t>
            </w:r>
            <w:r>
              <w:rPr/>
              <w:t xml:space="preserve"> </w:t>
            </w:r>
            <w:r>
              <w:rPr>
                <w:bCs/>
                <w:b/>
              </w:rPr>
              <w:t xml:space="preserve">OE5:</w:t>
            </w:r>
            <w:r>
              <w:rPr/>
              <w:t xml:space="preserve"> </w:t>
            </w:r>
            <w:r>
              <w:rPr/>
              <w:t xml:space="preserve">Contrastar la hipótesis mediante reglas de decisión probabilísticas con</w:t>
            </w:r>
            <w:r>
              <w:rPr/>
              <w:t xml:space="preserve"> </w:t>
            </w:r>
            <m:oMath>
              <m:r>
                <m:t>α</m:t>
              </m:r>
              <m:r>
                <m:rPr>
                  <m:sty m:val="p"/>
                </m:rPr>
                <m:t>=</m:t>
              </m:r>
              <m:r>
                <m:t>0</m:t>
              </m:r>
              <m:r>
                <m:rPr>
                  <m:sty m:val="p"/>
                </m:rPr>
                <m:t>,</m:t>
              </m:r>
              <m:r>
                <m:t>05</m:t>
              </m:r>
            </m:oMath>
            <w:r>
              <w:rPr/>
              <w:t xml:space="preserve"> </w:t>
            </w:r>
            <w:r>
              <w:rPr/>
              <w:t xml:space="preserve">y validar el SGC mediante juicio de expertos.</w:t>
            </w:r>
          </w:p>
        </w:tc>
        <w:tc>
          <w:tcPr>
            <w:tcW w:w="1550" w:type="dxa"/>
            <w:tcBorders>
              <w:top w:val="single" w:sz="4" w:space="0" w:color="000000"/>
              <w:bottom w:val="single" w:sz="8" w:space="0" w:color="000000"/>
            </w:tcBorders>
          </w:tcPr>
          <w:p>
            <w:pPr>
              <w:pStyle w:val="CeldaAPA"/>
              <w:jc w:val="left"/>
            </w:pPr>
            <w:r>
              <w:rPr>
                <w:bCs/>
                <w:b/>
              </w:rPr>
              <w:t xml:space="preserve">HE1:</w:t>
            </w:r>
            <w:r>
              <w:rPr/>
              <w:t xml:space="preserve"> </w:t>
            </w:r>
            <w:r>
              <w:rPr/>
              <w:t xml:space="preserve">El SGC reduce el índice de desperdicio de materiales de la losa con respecto a la línea base.</w:t>
            </w:r>
            <w:r>
              <w:rPr/>
              <w:t xml:space="preserve"> </w:t>
            </w:r>
            <w:r>
              <w:rPr>
                <w:bCs/>
                <w:b/>
              </w:rPr>
              <w:t xml:space="preserve">HE2:</w:t>
            </w:r>
            <w:r>
              <w:rPr/>
              <w:t xml:space="preserve"> </w:t>
            </w:r>
            <w:r>
              <w:rPr/>
              <w:t xml:space="preserve">El SGC reduce el costo de no calidad (fallas internas y externas) del ítem con respecto a la línea base.</w:t>
            </w:r>
            <w:r>
              <w:rPr/>
              <w:t xml:space="preserve"> </w:t>
            </w:r>
            <w:r>
              <w:rPr>
                <w:bCs/>
                <w:b/>
              </w:rPr>
              <w:t xml:space="preserve">HG</w:t>
            </w:r>
            <w:r>
              <w:rPr/>
              <w:t xml:space="preserve"> </w:t>
            </w:r>
            <w:r>
              <w:rPr/>
              <w:t xml:space="preserve">(fila general).</w:t>
            </w:r>
          </w:p>
        </w:tc>
        <w:tc>
          <w:tcPr>
            <w:tcW w:w="1916" w:type="dxa"/>
            <w:tcBorders>
              <w:top w:val="single" w:sz="4" w:space="0" w:color="000000"/>
              <w:bottom w:val="single" w:sz="8" w:space="0" w:color="000000"/>
            </w:tcBorders>
          </w:tcPr>
          <w:p>
            <w:pPr>
              <w:pStyle w:val="CeldaAPA"/>
              <w:jc w:val="left"/>
            </w:pPr>
            <w:r>
              <w:rPr/>
              <w:t xml:space="preserve">Costo unitario; costo de no calidad;</w:t>
            </w:r>
            <w:r>
              <w:rPr/>
              <w:t xml:space="preserve"> </w:t>
            </w:r>
            <m:oMath>
              <m:r>
                <m:t>I</m:t>
              </m:r>
              <m:r>
                <m:t>D</m:t>
              </m:r>
              <m:r>
                <m:t>M</m:t>
              </m:r>
            </m:oMath>
            <w:r>
              <w:rPr/>
              <w:t xml:space="preserve"> </w:t>
            </w:r>
            <w:r>
              <w:rPr/>
              <w:t xml:space="preserve">ponderado; reducción relativa</w:t>
            </w:r>
            <w:r>
              <w:rPr/>
              <w:t xml:space="preserve"> </w:t>
            </w:r>
            <m:oMath>
              <m:r>
                <m:t>r</m:t>
              </m:r>
            </m:oMath>
            <w:r>
              <w:rPr/>
              <w:t xml:space="preserve">; coeficiente V de Aiken.</w:t>
            </w:r>
          </w:p>
        </w:tc>
        <w:tc>
          <w:tcPr>
            <w:tcW w:w="2540" w:type="dxa"/>
            <w:tcBorders>
              <w:top w:val="single" w:sz="4" w:space="0" w:color="000000"/>
              <w:bottom w:val="single" w:sz="8" w:space="0" w:color="000000"/>
            </w:tcBorders>
          </w:tcPr>
          <w:p>
            <w:pPr>
              <w:pStyle w:val="CeldaAPA"/>
              <w:jc w:val="left"/>
            </w:pPr>
            <w:r>
              <w:rPr/>
              <w:t xml:space="preserve">Modelo de costos y simulación de Monte Carlo (Sección 2.7.2); reglas de decisión de la Tabla 45; sensibilidad y punto de equilibrio; validación por juicio de expertos con el formato C.8.</w:t>
            </w:r>
          </w:p>
        </w:tc>
      </w:tr>
    </w:tbl>
    <w:p>
      <w:pPr>
        <w:pStyle w:val="NotaAPA"/>
      </w:pPr>
      <w:r>
        <w:rPr>
          <w:iCs/>
          <w:i/>
        </w:rPr>
        <w:t xml:space="preserve">Nota.</w:t>
      </w:r>
      <w:r>
        <w:t xml:space="preserve"> </w:t>
      </w:r>
      <w:r>
        <w:t xml:space="preserve">Elaboración propia. Las formulaciones del problema, los objetivos y las hipótesis son las de la Introducción.</w:t>
      </w:r>
    </w:p>
    <w:p>
      <w:pPr>
        <w:pStyle w:val="Heading1"/>
      </w:pPr>
      <w:bookmarkStart w:id="350" w:name="tit161"/>
      <w:r>
        <w:t xml:space="preserve">ANEXO B</w:t>
      </w:r>
      <w:r>
        <w:br/>
      </w:r>
      <w:r>
        <w:t xml:space="preserve">OPERACIONALIZACIÓN DE VARIABLES</w:t>
      </w:r>
      <w:bookmarkEnd w:id="350"/>
    </w:p>
    <w:p>
      <w:pPr>
        <w:pStyle w:val="Caption"/>
      </w:pPr>
      <w:bookmarkStart w:id="1474" w:name="tab55"/>
      <w:r>
        <w:t xml:space="preserve"/>
      </w:r>
      <w:r>
        <w:rPr>
          <w:bCs/>
          <w:b/>
        </w:rPr>
        <w:t xml:space="preserve">Tabla 55</w:t>
      </w:r>
      <w:r>
        <w:br/>
      </w:r>
      <w:r>
        <w:rPr>
          <w:iCs/>
          <w:i/>
        </w:rPr>
        <w:t xml:space="preserve">Operacionalización de las variables</w:t>
      </w:r>
      <w:bookmarkEnd w:id="1474"/>
    </w:p>
    <w:tbl>
      <w:tblPr>
        <w:tblStyle w:val="Table"/>
        <w:tblW w:w="10075" w:type="dxa"/>
        <w:jc w:val="left"/>
        <w:tblLayout w:type="fixed"/>
        <w:tblCellMar>
          <w:top w:w="0" w:type="dxa"/>
          <w:left w:w="85" w:type="dxa"/>
          <w:bottom w:w="0" w:type="dxa"/>
          <w:right w:w="85" w:type="dxa"/>
        </w:tblCellMar>
        <w:tblLook w:firstRow="1" w:lastRow="0" w:firstColumn="0" w:lastColumn="0" w:noHBand="0" w:noVBand="0" w:val="0020"/>
      </w:tblPr>
      <w:tblGrid>
        <w:gridCol w:w="1806"/>
        <w:gridCol w:w="1708"/>
        <w:gridCol w:w="1767"/>
        <w:gridCol w:w="1380"/>
        <w:gridCol w:w="1612"/>
        <w:gridCol w:w="1802"/>
      </w:tblGrid>
      <w:tr>
        <w:trPr>
          <w:cantSplit/>
          <w:tblHeader w:val="true"/>
        </w:trPr>
        <w:tc>
          <w:tcPr>
            <w:tcW w:w="1806" w:type="dxa"/>
            <w:tcBorders>
              <w:top w:val="single" w:sz="8" w:space="0" w:color="000000"/>
              <w:bottom w:val="single" w:sz="4" w:space="0" w:color="000000"/>
            </w:tcBorders>
          </w:tcPr>
          <w:p>
            <w:pPr>
              <w:pStyle w:val="CeldaAPA"/>
              <w:jc w:val="center"/>
            </w:pPr>
            <w:r>
              <w:rPr>
                <w:bCs/>
                <w:b/>
              </w:rPr>
              <w:t xml:space="preserve">Variable</w:t>
            </w:r>
          </w:p>
        </w:tc>
        <w:tc>
          <w:tcPr>
            <w:tcW w:w="1708" w:type="dxa"/>
            <w:tcBorders>
              <w:top w:val="single" w:sz="8" w:space="0" w:color="000000"/>
              <w:bottom w:val="single" w:sz="4" w:space="0" w:color="000000"/>
            </w:tcBorders>
          </w:tcPr>
          <w:p>
            <w:pPr>
              <w:pStyle w:val="CeldaAPA"/>
              <w:jc w:val="center"/>
            </w:pPr>
            <w:r>
              <w:rPr>
                <w:bCs/>
                <w:b/>
              </w:rPr>
              <w:t xml:space="preserve">Dimensión</w:t>
            </w:r>
          </w:p>
        </w:tc>
        <w:tc>
          <w:tcPr>
            <w:tcW w:w="1767" w:type="dxa"/>
            <w:tcBorders>
              <w:top w:val="single" w:sz="8" w:space="0" w:color="000000"/>
              <w:bottom w:val="single" w:sz="4" w:space="0" w:color="000000"/>
            </w:tcBorders>
          </w:tcPr>
          <w:p>
            <w:pPr>
              <w:pStyle w:val="CeldaAPA"/>
              <w:jc w:val="center"/>
            </w:pPr>
            <w:r>
              <w:rPr>
                <w:bCs/>
                <w:b/>
              </w:rPr>
              <w:t xml:space="preserve">Indicador</w:t>
            </w:r>
          </w:p>
        </w:tc>
        <w:tc>
          <w:tcPr>
            <w:tcW w:w="1380" w:type="dxa"/>
            <w:tcBorders>
              <w:top w:val="single" w:sz="8" w:space="0" w:color="000000"/>
              <w:bottom w:val="single" w:sz="4" w:space="0" w:color="000000"/>
            </w:tcBorders>
          </w:tcPr>
          <w:p>
            <w:pPr>
              <w:pStyle w:val="CeldaAPA"/>
              <w:jc w:val="center"/>
            </w:pPr>
            <w:r>
              <w:rPr>
                <w:bCs/>
                <w:b/>
              </w:rPr>
              <w:t xml:space="preserve">Fórmula o unidad</w:t>
            </w:r>
          </w:p>
        </w:tc>
        <w:tc>
          <w:tcPr>
            <w:tcW w:w="1612" w:type="dxa"/>
            <w:tcBorders>
              <w:top w:val="single" w:sz="8" w:space="0" w:color="000000"/>
              <w:bottom w:val="single" w:sz="4" w:space="0" w:color="000000"/>
            </w:tcBorders>
          </w:tcPr>
          <w:p>
            <w:pPr>
              <w:pStyle w:val="CeldaAPA"/>
              <w:jc w:val="center"/>
            </w:pPr>
            <w:r>
              <w:rPr>
                <w:bCs/>
                <w:b/>
              </w:rPr>
              <w:t xml:space="preserve">Instrumento</w:t>
            </w:r>
          </w:p>
        </w:tc>
        <w:tc>
          <w:tcPr>
            <w:tcW w:w="1802" w:type="dxa"/>
            <w:tcBorders>
              <w:top w:val="single" w:sz="8" w:space="0" w:color="000000"/>
              <w:bottom w:val="single" w:sz="4" w:space="0" w:color="000000"/>
            </w:tcBorders>
          </w:tcPr>
          <w:p>
            <w:pPr>
              <w:pStyle w:val="CeldaAPA"/>
              <w:jc w:val="center"/>
            </w:pPr>
            <w:r>
              <w:rPr>
                <w:bCs/>
                <w:b/>
              </w:rPr>
              <w:t xml:space="preserve">Medición en esta tesis</w:t>
            </w:r>
          </w:p>
        </w:tc>
      </w:tr>
      <w:tr>
        <w:tc>
          <w:tcPr>
            <w:tcW w:w="1806" w:type="dxa"/>
          </w:tcPr>
          <w:p>
            <w:pPr>
              <w:pStyle w:val="CeldaAPA"/>
              <w:jc w:val="left"/>
            </w:pPr>
            <w:r>
              <w:rPr>
                <w:bCs/>
                <w:b/>
              </w:rPr>
              <w:t xml:space="preserve">X:</w:t>
            </w:r>
            <w:r>
              <w:rPr/>
              <w:t xml:space="preserve"> </w:t>
            </w:r>
            <w:r>
              <w:rPr/>
              <w:t xml:space="preserve">Sistema de Gestión de la Calidad</w:t>
            </w:r>
          </w:p>
        </w:tc>
        <w:tc>
          <w:tcPr>
            <w:tcW w:w="1708" w:type="dxa"/>
          </w:tcPr>
          <w:p>
            <w:pPr>
              <w:pStyle w:val="CeldaAPA"/>
              <w:jc w:val="left"/>
            </w:pPr>
            <w:r>
              <w:rPr/>
              <w:t xml:space="preserve">Planificación de la calidad</w:t>
            </w:r>
          </w:p>
        </w:tc>
        <w:tc>
          <w:tcPr>
            <w:tcW w:w="1767" w:type="dxa"/>
          </w:tcPr>
          <w:p>
            <w:pPr>
              <w:pStyle w:val="CeldaAPA"/>
              <w:jc w:val="left"/>
            </w:pPr>
            <w:r>
              <w:rPr/>
              <w:t xml:space="preserve">Cumplimiento de los requisitos ISO 9001:2026 (cláusulas 4 a 10)</w:t>
            </w:r>
          </w:p>
        </w:tc>
        <w:tc>
          <w:tcPr>
            <w:tcW w:w="1380" w:type="dxa"/>
          </w:tcPr>
          <w:p>
            <w:pPr>
              <w:pStyle w:val="CeldaAPA"/>
              <w:jc w:val="left"/>
            </w:pPr>
            <w:r>
              <w:rPr/>
              <w:t xml:space="preserve">% de requisitos cumplidos</w:t>
            </w:r>
          </w:p>
        </w:tc>
        <w:tc>
          <w:tcPr>
            <w:tcW w:w="1612" w:type="dxa"/>
          </w:tcPr>
          <w:p>
            <w:pPr>
              <w:pStyle w:val="CeldaAPA"/>
              <w:jc w:val="left"/>
            </w:pPr>
            <w:r>
              <w:rPr/>
              <w:t xml:space="preserve">Lista de verificación C.1</w:t>
            </w:r>
          </w:p>
        </w:tc>
        <w:tc>
          <w:tcPr>
            <w:tcW w:w="1802" w:type="dxa"/>
          </w:tcPr>
          <w:p>
            <w:pPr>
              <w:pStyle w:val="CeldaAPA"/>
              <w:jc w:val="left"/>
            </w:pPr>
            <w:r>
              <w:rPr/>
              <w:t xml:space="preserve">Línea base documental; protocolo de verificación en obra</w:t>
            </w:r>
          </w:p>
        </w:tc>
      </w:tr>
      <w:tr>
        <w:tc>
          <w:tcPr>
            <w:tcW w:w="1806" w:type="dxa"/>
          </w:tcPr>
          <w:p>
            <w:pPr>
              <w:pStyle w:val="CeldaAPA"/>
            </w:pPr>
          </w:p>
        </w:tc>
        <w:tc>
          <w:tcPr>
            <w:tcW w:w="1708" w:type="dxa"/>
          </w:tcPr>
          <w:p>
            <w:pPr>
              <w:pStyle w:val="CeldaAPA"/>
              <w:jc w:val="left"/>
            </w:pPr>
            <w:r>
              <w:rPr/>
              <w:t xml:space="preserve">Control de materiales</w:t>
            </w:r>
          </w:p>
        </w:tc>
        <w:tc>
          <w:tcPr>
            <w:tcW w:w="1767" w:type="dxa"/>
          </w:tcPr>
          <w:p>
            <w:pPr>
              <w:pStyle w:val="CeldaAPA"/>
              <w:jc w:val="left"/>
            </w:pPr>
            <w:r>
              <w:rPr/>
              <w:t xml:space="preserve">Lotes recibidos con certificado o ensayo conforme</w:t>
            </w:r>
          </w:p>
        </w:tc>
        <w:tc>
          <w:tcPr>
            <w:tcW w:w="1380" w:type="dxa"/>
          </w:tcPr>
          <w:p>
            <w:pPr>
              <w:pStyle w:val="CeldaAPA"/>
              <w:jc w:val="left"/>
            </w:pPr>
            <w:r>
              <w:rPr/>
              <w:t xml:space="preserve">% de lotes conformes</w:t>
            </w:r>
          </w:p>
        </w:tc>
        <w:tc>
          <w:tcPr>
            <w:tcW w:w="1612" w:type="dxa"/>
          </w:tcPr>
          <w:p>
            <w:pPr>
              <w:pStyle w:val="CeldaAPA"/>
              <w:jc w:val="left"/>
            </w:pPr>
            <w:r>
              <w:rPr/>
              <w:t xml:space="preserve">Ficha de recepción C.3 (PCM-01)</w:t>
            </w:r>
          </w:p>
        </w:tc>
        <w:tc>
          <w:tcPr>
            <w:tcW w:w="1802" w:type="dxa"/>
          </w:tcPr>
          <w:p>
            <w:pPr>
              <w:pStyle w:val="CeldaAPA"/>
              <w:jc w:val="left"/>
            </w:pPr>
            <w:r>
              <w:rPr/>
              <w:t xml:space="preserve">Protocolo de verificación en obra</w:t>
            </w:r>
          </w:p>
        </w:tc>
      </w:tr>
      <w:tr>
        <w:tc>
          <w:tcPr>
            <w:tcW w:w="1806" w:type="dxa"/>
          </w:tcPr>
          <w:p>
            <w:pPr>
              <w:pStyle w:val="CeldaAPA"/>
            </w:pPr>
          </w:p>
        </w:tc>
        <w:tc>
          <w:tcPr>
            <w:tcW w:w="1708" w:type="dxa"/>
          </w:tcPr>
          <w:p>
            <w:pPr>
              <w:pStyle w:val="CeldaAPA"/>
            </w:pPr>
          </w:p>
        </w:tc>
        <w:tc>
          <w:tcPr>
            <w:tcW w:w="1767" w:type="dxa"/>
          </w:tcPr>
          <w:p>
            <w:pPr>
              <w:pStyle w:val="CeldaAPA"/>
              <w:jc w:val="left"/>
            </w:pPr>
            <w:r>
              <w:rPr/>
              <w:t xml:space="preserve">Conciliación de cantidades por paño (teórica, entregada, colocada y pagada)</w:t>
            </w:r>
          </w:p>
        </w:tc>
        <w:tc>
          <w:tcPr>
            <w:tcW w:w="1380" w:type="dxa"/>
          </w:tcPr>
          <w:p>
            <w:pPr>
              <w:pStyle w:val="CeldaAPA"/>
              <w:jc w:val="left"/>
            </w:pPr>
            <w:r>
              <w:rPr/>
              <w:t xml:space="preserve">Diferencia en %</w:t>
            </w:r>
          </w:p>
        </w:tc>
        <w:tc>
          <w:tcPr>
            <w:tcW w:w="1612" w:type="dxa"/>
          </w:tcPr>
          <w:p>
            <w:pPr>
              <w:pStyle w:val="CeldaAPA"/>
              <w:jc w:val="left"/>
            </w:pPr>
            <w:r>
              <w:rPr/>
              <w:t xml:space="preserve">Ficha C.4 (PCM-02 a PCM-04)</w:t>
            </w:r>
          </w:p>
        </w:tc>
        <w:tc>
          <w:tcPr>
            <w:tcW w:w="1802" w:type="dxa"/>
          </w:tcPr>
          <w:p>
            <w:pPr>
              <w:pStyle w:val="CeldaAPA"/>
              <w:jc w:val="left"/>
            </w:pPr>
            <w:r>
              <w:rPr/>
              <w:t xml:space="preserve">Línea base documental; protocolo de verificación en obra</w:t>
            </w:r>
          </w:p>
        </w:tc>
      </w:tr>
      <w:tr>
        <w:tc>
          <w:tcPr>
            <w:tcW w:w="1806" w:type="dxa"/>
          </w:tcPr>
          <w:p>
            <w:pPr>
              <w:pStyle w:val="CeldaAPA"/>
            </w:pPr>
          </w:p>
        </w:tc>
        <w:tc>
          <w:tcPr>
            <w:tcW w:w="1708" w:type="dxa"/>
          </w:tcPr>
          <w:p>
            <w:pPr>
              <w:pStyle w:val="CeldaAPA"/>
              <w:jc w:val="left"/>
            </w:pPr>
            <w:r>
              <w:rPr/>
              <w:t xml:space="preserve">Control del proceso (PPI)</w:t>
            </w:r>
          </w:p>
        </w:tc>
        <w:tc>
          <w:tcPr>
            <w:tcW w:w="1767" w:type="dxa"/>
          </w:tcPr>
          <w:p>
            <w:pPr>
              <w:pStyle w:val="CeldaAPA"/>
              <w:jc w:val="left"/>
            </w:pPr>
            <w:r>
              <w:rPr/>
              <w:t xml:space="preserve">Puntos de inspección ejecutados frente a programados</w:t>
            </w:r>
          </w:p>
        </w:tc>
        <w:tc>
          <w:tcPr>
            <w:tcW w:w="1380" w:type="dxa"/>
          </w:tcPr>
          <w:p>
            <w:pPr>
              <w:pStyle w:val="CeldaAPA"/>
              <w:jc w:val="left"/>
            </w:pPr>
            <w:r>
              <w:rPr/>
              <w:t xml:space="preserve">%</w:t>
            </w:r>
          </w:p>
        </w:tc>
        <w:tc>
          <w:tcPr>
            <w:tcW w:w="1612" w:type="dxa"/>
          </w:tcPr>
          <w:p>
            <w:pPr>
              <w:pStyle w:val="CeldaAPA"/>
              <w:jc w:val="left"/>
            </w:pPr>
            <w:r>
              <w:rPr/>
              <w:t xml:space="preserve">Fichas PPI C.2</w:t>
            </w:r>
          </w:p>
        </w:tc>
        <w:tc>
          <w:tcPr>
            <w:tcW w:w="1802" w:type="dxa"/>
          </w:tcPr>
          <w:p>
            <w:pPr>
              <w:pStyle w:val="CeldaAPA"/>
              <w:jc w:val="left"/>
            </w:pPr>
            <w:r>
              <w:rPr/>
              <w:t xml:space="preserve">Protocolo de verificación en obra</w:t>
            </w:r>
          </w:p>
        </w:tc>
      </w:tr>
      <w:tr>
        <w:tc>
          <w:tcPr>
            <w:tcW w:w="1806" w:type="dxa"/>
          </w:tcPr>
          <w:p>
            <w:pPr>
              <w:pStyle w:val="CeldaAPA"/>
            </w:pPr>
          </w:p>
        </w:tc>
        <w:tc>
          <w:tcPr>
            <w:tcW w:w="1708" w:type="dxa"/>
          </w:tcPr>
          <w:p>
            <w:pPr>
              <w:pStyle w:val="CeldaAPA"/>
              <w:jc w:val="left"/>
            </w:pPr>
            <w:r>
              <w:rPr/>
              <w:t xml:space="preserve">Seguimiento y mejora</w:t>
            </w:r>
          </w:p>
        </w:tc>
        <w:tc>
          <w:tcPr>
            <w:tcW w:w="1767" w:type="dxa"/>
          </w:tcPr>
          <w:p>
            <w:pPr>
              <w:pStyle w:val="CeldaAPA"/>
              <w:jc w:val="left"/>
            </w:pPr>
            <w:r>
              <w:rPr/>
              <w:t xml:space="preserve">No conformidades detectadas y cerradas</w:t>
            </w:r>
          </w:p>
        </w:tc>
        <w:tc>
          <w:tcPr>
            <w:tcW w:w="1380" w:type="dxa"/>
          </w:tcPr>
          <w:p>
            <w:pPr>
              <w:pStyle w:val="CeldaAPA"/>
              <w:jc w:val="left"/>
            </w:pPr>
            <w:r>
              <w:rPr/>
              <w:t xml:space="preserve">N.</w:t>
            </w:r>
            <w:r>
              <w:rPr>
                <w:vertAlign w:val="superscript"/>
              </w:rPr>
              <w:t xml:space="preserve">o</w:t>
            </w:r>
            <w:r>
              <w:rPr/>
              <w:t xml:space="preserve">; % cerradas; días de cierre</w:t>
            </w:r>
          </w:p>
        </w:tc>
        <w:tc>
          <w:tcPr>
            <w:tcW w:w="1612" w:type="dxa"/>
          </w:tcPr>
          <w:p>
            <w:pPr>
              <w:pStyle w:val="CeldaAPA"/>
              <w:jc w:val="left"/>
            </w:pPr>
            <w:r>
              <w:rPr/>
              <w:t xml:space="preserve">Registro de NC C.5</w:t>
            </w:r>
          </w:p>
        </w:tc>
        <w:tc>
          <w:tcPr>
            <w:tcW w:w="1802" w:type="dxa"/>
          </w:tcPr>
          <w:p>
            <w:pPr>
              <w:pStyle w:val="CeldaAPA"/>
              <w:jc w:val="left"/>
            </w:pPr>
            <w:r>
              <w:rPr/>
              <w:t xml:space="preserve">Línea base documental; protocolo de verificación en obra</w:t>
            </w:r>
          </w:p>
        </w:tc>
      </w:tr>
      <w:tr>
        <w:tc>
          <w:tcPr>
            <w:tcW w:w="1806" w:type="dxa"/>
            <w:tcBorders>
              <w:top w:val="single" w:sz="4" w:space="0" w:color="000000"/>
            </w:tcBorders>
          </w:tcPr>
          <w:p>
            <w:pPr>
              <w:pStyle w:val="CeldaAPA"/>
              <w:jc w:val="left"/>
            </w:pPr>
            <w:r>
              <w:rPr>
                <w:bCs/>
                <w:b/>
              </w:rPr>
              <w:t xml:space="preserve">Y:</w:t>
            </w:r>
            <w:r>
              <w:rPr/>
              <w:t xml:space="preserve"> </w:t>
            </w:r>
            <w:r>
              <w:rPr/>
              <w:t xml:space="preserve">Costo de ejecución de la losa</w:t>
            </w:r>
          </w:p>
        </w:tc>
        <w:tc>
          <w:tcPr>
            <w:tcW w:w="1708" w:type="dxa"/>
            <w:tcBorders>
              <w:top w:val="single" w:sz="4" w:space="0" w:color="000000"/>
            </w:tcBorders>
          </w:tcPr>
          <w:p>
            <w:pPr>
              <w:pStyle w:val="CeldaAPA"/>
              <w:jc w:val="left"/>
            </w:pPr>
            <w:r>
              <w:rPr/>
              <w:t xml:space="preserve">Costo directo</w:t>
            </w:r>
          </w:p>
        </w:tc>
        <w:tc>
          <w:tcPr>
            <w:tcW w:w="1767" w:type="dxa"/>
            <w:tcBorders>
              <w:top w:val="single" w:sz="4" w:space="0" w:color="000000"/>
            </w:tcBorders>
          </w:tcPr>
          <w:p>
            <w:pPr>
              <w:pStyle w:val="CeldaAPA"/>
              <w:jc w:val="left"/>
            </w:pPr>
            <w:r>
              <w:rPr/>
              <w:t xml:space="preserve">Costo unitario de ejecución</w:t>
            </w:r>
          </w:p>
        </w:tc>
        <w:tc>
          <w:tcPr>
            <w:tcW w:w="1380" w:type="dxa"/>
            <w:tcBorders>
              <w:top w:val="single" w:sz="4" w:space="0" w:color="000000"/>
            </w:tcBorders>
          </w:tcPr>
          <w:p>
            <w:pPr>
              <w:pStyle w:val="CeldaAPA"/>
              <w:jc w:val="left"/>
            </w:pPr>
            <w:r>
              <w:rPr/>
              <w:t xml:space="preserve">Bs/m</w:t>
            </w:r>
            <w:r>
              <w:rPr>
                <w:vertAlign w:val="superscript"/>
              </w:rPr>
              <w:t xml:space="preserve">2</w:t>
            </w:r>
          </w:p>
        </w:tc>
        <w:tc>
          <w:tcPr>
            <w:tcW w:w="1612" w:type="dxa"/>
            <w:tcBorders>
              <w:top w:val="single" w:sz="4" w:space="0" w:color="000000"/>
            </w:tcBorders>
          </w:tcPr>
          <w:p>
            <w:pPr>
              <w:pStyle w:val="CeldaAPA"/>
              <w:jc w:val="left"/>
            </w:pPr>
            <w:r>
              <w:rPr/>
              <w:t xml:space="preserve">APU de referencia (Anexo I) y modelo (Anexo K)</w:t>
            </w:r>
          </w:p>
        </w:tc>
        <w:tc>
          <w:tcPr>
            <w:tcW w:w="1802" w:type="dxa"/>
            <w:tcBorders>
              <w:top w:val="single" w:sz="4" w:space="0" w:color="000000"/>
            </w:tcBorders>
          </w:tcPr>
          <w:p>
            <w:pPr>
              <w:pStyle w:val="CeldaAPA"/>
              <w:jc w:val="left"/>
            </w:pPr>
            <w:r>
              <w:rPr/>
              <w:t xml:space="preserve">Línea base calibrada; simulación</w:t>
            </w:r>
            <w:r>
              <w:rPr/>
              <w:t xml:space="preserve"> </w:t>
            </w:r>
            <w:r>
              <w:rPr>
                <w:iCs/>
                <w:i/>
              </w:rPr>
              <w:t xml:space="preserve">ex ante</w:t>
            </w:r>
          </w:p>
        </w:tc>
      </w:tr>
      <w:tr>
        <w:tc>
          <w:tcPr>
            <w:tcW w:w="1806" w:type="dxa"/>
          </w:tcPr>
          <w:p>
            <w:pPr>
              <w:pStyle w:val="CeldaAPA"/>
            </w:pPr>
          </w:p>
        </w:tc>
        <w:tc>
          <w:tcPr>
            <w:tcW w:w="1708" w:type="dxa"/>
          </w:tcPr>
          <w:p>
            <w:pPr>
              <w:pStyle w:val="CeldaAPA"/>
              <w:jc w:val="left"/>
            </w:pPr>
            <w:r>
              <w:rPr/>
              <w:t xml:space="preserve">Desperdicio de materiales</w:t>
            </w:r>
          </w:p>
        </w:tc>
        <w:tc>
          <w:tcPr>
            <w:tcW w:w="1767" w:type="dxa"/>
          </w:tcPr>
          <w:p>
            <w:pPr>
              <w:pStyle w:val="CeldaAPA"/>
              <w:jc w:val="left"/>
            </w:pPr>
            <w:r>
              <w:rPr/>
              <w:t xml:space="preserve">Índice de desperdicio por material</w:t>
            </w:r>
          </w:p>
        </w:tc>
        <w:tc>
          <w:tcPr>
            <w:tcW w:w="1380" w:type="dxa"/>
          </w:tcPr>
          <w:p>
            <w:pPr>
              <w:pStyle w:val="CeldaAPA"/>
              <w:jc w:val="left"/>
            </w:pPr>
            <m:oMath>
              <m:r>
                <m:t>I</m:t>
              </m:r>
              <m:r>
                <m:t>D</m:t>
              </m:r>
              <m:sSub>
                <m:e>
                  <m:r>
                    <m:t>M</m:t>
                  </m:r>
                </m:e>
                <m:sub>
                  <m:r>
                    <m:t>i</m:t>
                  </m:r>
                </m:sub>
              </m:sSub>
            </m:oMath>
          </w:p>
        </w:tc>
        <w:tc>
          <w:tcPr>
            <w:tcW w:w="1612" w:type="dxa"/>
          </w:tcPr>
          <w:p>
            <w:pPr>
              <w:pStyle w:val="CeldaAPA"/>
              <w:jc w:val="left"/>
            </w:pPr>
            <w:r>
              <w:rPr/>
              <w:t xml:space="preserve">Ficha C.4; planillas y certificados</w:t>
            </w:r>
          </w:p>
        </w:tc>
        <w:tc>
          <w:tcPr>
            <w:tcW w:w="1802" w:type="dxa"/>
          </w:tcPr>
          <w:p>
            <w:pPr>
              <w:pStyle w:val="CeldaAPA"/>
              <w:jc w:val="left"/>
            </w:pPr>
            <w:r>
              <w:rPr/>
              <w:t xml:space="preserve">Línea base (EPS y acero documentados; viguetas y hormigón, literatura); simulación</w:t>
            </w:r>
            <w:r>
              <w:rPr/>
              <w:t xml:space="preserve"> </w:t>
            </w:r>
            <w:r>
              <w:rPr>
                <w:iCs/>
                <w:i/>
              </w:rPr>
              <w:t xml:space="preserve">ex ante</w:t>
            </w:r>
          </w:p>
        </w:tc>
      </w:tr>
      <w:tr>
        <w:tc>
          <w:tcPr>
            <w:tcW w:w="1806" w:type="dxa"/>
          </w:tcPr>
          <w:p>
            <w:pPr>
              <w:pStyle w:val="CeldaAPA"/>
            </w:pPr>
          </w:p>
        </w:tc>
        <w:tc>
          <w:tcPr>
            <w:tcW w:w="1708" w:type="dxa"/>
          </w:tcPr>
          <w:p>
            <w:pPr>
              <w:pStyle w:val="CeldaAPA"/>
              <w:jc w:val="left"/>
            </w:pPr>
            <w:r>
              <w:rPr/>
              <w:t xml:space="preserve">Costo de no calidad</w:t>
            </w:r>
          </w:p>
        </w:tc>
        <w:tc>
          <w:tcPr>
            <w:tcW w:w="1767" w:type="dxa"/>
          </w:tcPr>
          <w:p>
            <w:pPr>
              <w:pStyle w:val="CeldaAPA"/>
              <w:jc w:val="left"/>
            </w:pPr>
            <w:r>
              <w:rPr/>
              <w:t xml:space="preserve">Pérdidas de materiales y retrabajos</w:t>
            </w:r>
          </w:p>
        </w:tc>
        <w:tc>
          <w:tcPr>
            <w:tcW w:w="1380" w:type="dxa"/>
          </w:tcPr>
          <w:p>
            <w:pPr>
              <w:pStyle w:val="CeldaAPA"/>
              <w:jc w:val="left"/>
            </w:pPr>
            <w:r>
              <w:rPr/>
              <w:t xml:space="preserve">Bs/m</w:t>
            </w:r>
            <w:r>
              <w:rPr>
                <w:vertAlign w:val="superscript"/>
              </w:rPr>
              <w:t xml:space="preserve">2</w:t>
            </w:r>
            <w:r>
              <w:rPr/>
              <w:t xml:space="preserve">; % del costo unitario</w:t>
            </w:r>
          </w:p>
        </w:tc>
        <w:tc>
          <w:tcPr>
            <w:tcW w:w="1612" w:type="dxa"/>
          </w:tcPr>
          <w:p>
            <w:pPr>
              <w:pStyle w:val="CeldaAPA"/>
              <w:jc w:val="left"/>
            </w:pPr>
            <w:r>
              <w:rPr/>
              <w:t xml:space="preserve">Planilla de costos de la calidad C.6; modelo</w:t>
            </w:r>
          </w:p>
        </w:tc>
        <w:tc>
          <w:tcPr>
            <w:tcW w:w="1802" w:type="dxa"/>
          </w:tcPr>
          <w:p>
            <w:pPr>
              <w:pStyle w:val="CeldaAPA"/>
              <w:jc w:val="left"/>
            </w:pPr>
            <w:r>
              <w:rPr/>
              <w:t xml:space="preserve">Simulación</w:t>
            </w:r>
            <w:r>
              <w:rPr/>
              <w:t xml:space="preserve"> </w:t>
            </w:r>
            <w:r>
              <w:rPr>
                <w:iCs/>
                <w:i/>
              </w:rPr>
              <w:t xml:space="preserve">ex ante</w:t>
            </w:r>
          </w:p>
        </w:tc>
      </w:tr>
      <w:tr>
        <w:tc>
          <w:tcPr>
            <w:tcW w:w="1806" w:type="dxa"/>
          </w:tcPr>
          <w:p>
            <w:pPr>
              <w:pStyle w:val="CeldaAPA"/>
            </w:pPr>
          </w:p>
        </w:tc>
        <w:tc>
          <w:tcPr>
            <w:tcW w:w="1708" w:type="dxa"/>
          </w:tcPr>
          <w:p>
            <w:pPr>
              <w:pStyle w:val="CeldaAPA"/>
              <w:jc w:val="left"/>
            </w:pPr>
            <w:r>
              <w:rPr/>
              <w:t xml:space="preserve">Costo de la calidad</w:t>
            </w:r>
          </w:p>
        </w:tc>
        <w:tc>
          <w:tcPr>
            <w:tcW w:w="1767" w:type="dxa"/>
          </w:tcPr>
          <w:p>
            <w:pPr>
              <w:pStyle w:val="CeldaAPA"/>
              <w:jc w:val="left"/>
            </w:pPr>
            <w:r>
              <w:rPr/>
              <w:t xml:space="preserve">Costos de prevención y evaluación del SGC</w:t>
            </w:r>
          </w:p>
        </w:tc>
        <w:tc>
          <w:tcPr>
            <w:tcW w:w="1380" w:type="dxa"/>
          </w:tcPr>
          <w:p>
            <w:pPr>
              <w:pStyle w:val="CeldaAPA"/>
              <w:jc w:val="left"/>
            </w:pPr>
            <w:r>
              <w:rPr/>
              <w:t xml:space="preserve">Bs/m</w:t>
            </w:r>
            <w:r>
              <w:rPr>
                <w:vertAlign w:val="superscript"/>
              </w:rPr>
              <w:t xml:space="preserve">2</w:t>
            </w:r>
            <w:r>
              <w:rPr/>
              <w:t xml:space="preserve">; % del costo unitario</w:t>
            </w:r>
          </w:p>
        </w:tc>
        <w:tc>
          <w:tcPr>
            <w:tcW w:w="1612" w:type="dxa"/>
          </w:tcPr>
          <w:p>
            <w:pPr>
              <w:pStyle w:val="CeldaAPA"/>
              <w:jc w:val="left"/>
            </w:pPr>
            <w:r>
              <w:rPr/>
              <w:t xml:space="preserve">Planilla C.6; modelo</w:t>
            </w:r>
          </w:p>
        </w:tc>
        <w:tc>
          <w:tcPr>
            <w:tcW w:w="1802" w:type="dxa"/>
          </w:tcPr>
          <w:p>
            <w:pPr>
              <w:pStyle w:val="CeldaAPA"/>
              <w:jc w:val="left"/>
            </w:pPr>
            <w:r>
              <w:rPr/>
              <w:t xml:space="preserve">Simulación</w:t>
            </w:r>
            <w:r>
              <w:rPr/>
              <w:t xml:space="preserve"> </w:t>
            </w:r>
            <w:r>
              <w:rPr>
                <w:iCs/>
                <w:i/>
              </w:rPr>
              <w:t xml:space="preserve">ex ante</w:t>
            </w:r>
          </w:p>
        </w:tc>
      </w:tr>
      <w:tr>
        <w:tc>
          <w:tcPr>
            <w:tcW w:w="1806" w:type="dxa"/>
          </w:tcPr>
          <w:p>
            <w:pPr>
              <w:pStyle w:val="CeldaAPA"/>
            </w:pPr>
          </w:p>
        </w:tc>
        <w:tc>
          <w:tcPr>
            <w:tcW w:w="1708" w:type="dxa"/>
          </w:tcPr>
          <w:p>
            <w:pPr>
              <w:pStyle w:val="CeldaAPA"/>
              <w:jc w:val="left"/>
            </w:pPr>
            <w:r>
              <w:rPr/>
              <w:t xml:space="preserve">Conformidad del hormigón</w:t>
            </w:r>
          </w:p>
        </w:tc>
        <w:tc>
          <w:tcPr>
            <w:tcW w:w="1767" w:type="dxa"/>
          </w:tcPr>
          <w:p>
            <w:pPr>
              <w:pStyle w:val="CeldaAPA"/>
              <w:jc w:val="left"/>
            </w:pPr>
            <w:r>
              <w:rPr/>
              <w:t xml:space="preserve">Ensayos de aceptación conformes (ACI 318-25, 26.12.3.1) y frecuencia de muestreo</w:t>
            </w:r>
          </w:p>
        </w:tc>
        <w:tc>
          <w:tcPr>
            <w:tcW w:w="1380" w:type="dxa"/>
          </w:tcPr>
          <w:p>
            <w:pPr>
              <w:pStyle w:val="CeldaAPA"/>
              <w:jc w:val="left"/>
            </w:pPr>
            <w:r>
              <w:rPr/>
              <w:t xml:space="preserve">% de ensayos conformes; n.</w:t>
            </w:r>
            <w:r>
              <w:rPr>
                <w:vertAlign w:val="superscript"/>
              </w:rPr>
              <w:t xml:space="preserve">o</w:t>
            </w:r>
            <w:r>
              <w:rPr/>
              <w:t xml:space="preserve"> </w:t>
            </w:r>
            <w:r>
              <w:rPr/>
              <w:t xml:space="preserve">de muestras</w:t>
            </w:r>
          </w:p>
        </w:tc>
        <w:tc>
          <w:tcPr>
            <w:tcW w:w="1612" w:type="dxa"/>
          </w:tcPr>
          <w:p>
            <w:pPr>
              <w:pStyle w:val="CeldaAPA"/>
              <w:jc w:val="left"/>
            </w:pPr>
            <w:r>
              <w:rPr/>
              <w:t xml:space="preserve">Ensayos ASTM C31, C39 y C143</w:t>
            </w:r>
          </w:p>
        </w:tc>
        <w:tc>
          <w:tcPr>
            <w:tcW w:w="1802" w:type="dxa"/>
          </w:tcPr>
          <w:p>
            <w:pPr>
              <w:pStyle w:val="CeldaAPA"/>
              <w:jc w:val="left"/>
            </w:pPr>
            <w:r>
              <w:rPr/>
              <w:t xml:space="preserve">Línea base documental; protocolo de verificación en obra</w:t>
            </w:r>
          </w:p>
        </w:tc>
      </w:tr>
      <w:tr>
        <w:tc>
          <w:tcPr>
            <w:tcW w:w="1806" w:type="dxa"/>
          </w:tcPr>
          <w:p>
            <w:pPr>
              <w:pStyle w:val="CeldaAPA"/>
            </w:pPr>
          </w:p>
        </w:tc>
        <w:tc>
          <w:tcPr>
            <w:tcW w:w="1708" w:type="dxa"/>
          </w:tcPr>
          <w:p>
            <w:pPr>
              <w:pStyle w:val="CeldaAPA"/>
              <w:jc w:val="left"/>
            </w:pPr>
            <w:r>
              <w:rPr/>
              <w:t xml:space="preserve">Efecto del SGC</w:t>
            </w:r>
          </w:p>
        </w:tc>
        <w:tc>
          <w:tcPr>
            <w:tcW w:w="1767" w:type="dxa"/>
          </w:tcPr>
          <w:p>
            <w:pPr>
              <w:pStyle w:val="CeldaAPA"/>
              <w:jc w:val="left"/>
            </w:pPr>
            <w:r>
              <w:rPr/>
              <w:t xml:space="preserve">Reducción relativa del costo unitario</w:t>
            </w:r>
          </w:p>
        </w:tc>
        <w:tc>
          <w:tcPr>
            <w:tcW w:w="1380" w:type="dxa"/>
          </w:tcPr>
          <w:p>
            <w:pPr>
              <w:pStyle w:val="CeldaAPA"/>
              <w:jc w:val="left"/>
            </w:pPr>
            <m:oMath>
              <m:r>
                <m:t>r</m:t>
              </m:r>
            </m:oMath>
            <w:r>
              <w:rPr/>
              <w:t xml:space="preserve"> </w:t>
            </w:r>
            <w:r>
              <w:rPr/>
              <w:t xml:space="preserve">en %</w:t>
            </w:r>
          </w:p>
        </w:tc>
        <w:tc>
          <w:tcPr>
            <w:tcW w:w="1612" w:type="dxa"/>
          </w:tcPr>
          <w:p>
            <w:pPr>
              <w:pStyle w:val="CeldaAPA"/>
              <w:jc w:val="left"/>
            </w:pPr>
            <w:r>
              <w:rPr/>
              <w:t xml:space="preserve">Modelo y simulación (Anexo K)</w:t>
            </w:r>
          </w:p>
        </w:tc>
        <w:tc>
          <w:tcPr>
            <w:tcW w:w="1802" w:type="dxa"/>
          </w:tcPr>
          <w:p>
            <w:pPr>
              <w:pStyle w:val="CeldaAPA"/>
              <w:jc w:val="left"/>
            </w:pPr>
            <w:r>
              <w:rPr/>
              <w:t xml:space="preserve">Simulación</w:t>
            </w:r>
            <w:r>
              <w:rPr/>
              <w:t xml:space="preserve"> </w:t>
            </w:r>
            <w:r>
              <w:rPr>
                <w:iCs/>
                <w:i/>
              </w:rPr>
              <w:t xml:space="preserve">ex ante</w:t>
            </w:r>
          </w:p>
        </w:tc>
      </w:tr>
      <w:tr>
        <w:tc>
          <w:tcPr>
            <w:tcW w:w="1806" w:type="dxa"/>
            <w:tcBorders>
              <w:top w:val="single" w:sz="4" w:space="0" w:color="000000"/>
              <w:bottom w:val="single" w:sz="8" w:space="0" w:color="000000"/>
            </w:tcBorders>
          </w:tcPr>
          <w:p>
            <w:pPr>
              <w:pStyle w:val="CeldaAPA"/>
              <w:jc w:val="left"/>
            </w:pPr>
            <w:r>
              <w:rPr>
                <w:bCs/>
                <w:b/>
              </w:rPr>
              <w:t xml:space="preserve">Interviniente:</w:t>
            </w:r>
            <w:r>
              <w:rPr/>
              <w:t xml:space="preserve"> </w:t>
            </w:r>
            <w:r>
              <w:rPr/>
              <w:t xml:space="preserve">precios de los materiales</w:t>
            </w:r>
          </w:p>
        </w:tc>
        <w:tc>
          <w:tcPr>
            <w:tcW w:w="1708" w:type="dxa"/>
            <w:tcBorders>
              <w:top w:val="single" w:sz="4" w:space="0" w:color="000000"/>
              <w:bottom w:val="single" w:sz="8" w:space="0" w:color="000000"/>
            </w:tcBorders>
          </w:tcPr>
          <w:p>
            <w:pPr>
              <w:pStyle w:val="CeldaAPA"/>
              <w:jc w:val="left"/>
            </w:pPr>
            <w:r>
              <w:rPr/>
              <w:t xml:space="preserve">Variación de precios 2025–2026</w:t>
            </w:r>
          </w:p>
        </w:tc>
        <w:tc>
          <w:tcPr>
            <w:tcW w:w="1767" w:type="dxa"/>
            <w:tcBorders>
              <w:top w:val="single" w:sz="4" w:space="0" w:color="000000"/>
              <w:bottom w:val="single" w:sz="8" w:space="0" w:color="000000"/>
            </w:tcBorders>
          </w:tcPr>
          <w:p>
            <w:pPr>
              <w:pStyle w:val="CeldaAPA"/>
              <w:jc w:val="left"/>
            </w:pPr>
            <w:r>
              <w:rPr/>
              <w:t xml:space="preserve">Control de la variable</w:t>
            </w:r>
          </w:p>
        </w:tc>
        <w:tc>
          <w:tcPr>
            <w:tcW w:w="1380" w:type="dxa"/>
            <w:tcBorders>
              <w:top w:val="single" w:sz="4" w:space="0" w:color="000000"/>
              <w:bottom w:val="single" w:sz="8" w:space="0" w:color="000000"/>
            </w:tcBorders>
          </w:tcPr>
          <w:p>
            <w:pPr>
              <w:pStyle w:val="CeldaAPA"/>
              <w:jc w:val="left"/>
            </w:pPr>
            <w:r>
              <w:rPr/>
              <w:t xml:space="preserve">Precios constantes del contrato</w:t>
            </w:r>
          </w:p>
        </w:tc>
        <w:tc>
          <w:tcPr>
            <w:tcW w:w="1612" w:type="dxa"/>
            <w:tcBorders>
              <w:top w:val="single" w:sz="4" w:space="0" w:color="000000"/>
              <w:bottom w:val="single" w:sz="8" w:space="0" w:color="000000"/>
            </w:tcBorders>
          </w:tcPr>
          <w:p>
            <w:pPr>
              <w:pStyle w:val="CeldaAPA"/>
              <w:jc w:val="left"/>
            </w:pPr>
            <w:r>
              <w:rPr/>
              <w:t xml:space="preserve">—</w:t>
            </w:r>
          </w:p>
        </w:tc>
        <w:tc>
          <w:tcPr>
            <w:tcW w:w="1802" w:type="dxa"/>
            <w:tcBorders>
              <w:top w:val="single" w:sz="4" w:space="0" w:color="000000"/>
              <w:bottom w:val="single" w:sz="8" w:space="0" w:color="000000"/>
            </w:tcBorders>
          </w:tcPr>
          <w:p>
            <w:pPr>
              <w:pStyle w:val="CeldaAPA"/>
              <w:jc w:val="left"/>
            </w:pPr>
            <w:r>
              <w:rPr/>
              <w:t xml:space="preserve">Controlada en el modelo</w:t>
            </w:r>
          </w:p>
        </w:tc>
      </w:tr>
    </w:tbl>
    <w:p>
      <w:pPr>
        <w:pStyle w:val="NotaAPA"/>
      </w:pPr>
      <w:r>
        <w:rPr>
          <w:iCs/>
          <w:i/>
        </w:rPr>
        <w:t xml:space="preserve">Nota.</w:t>
      </w:r>
      <w:r>
        <w:t xml:space="preserve"> </w:t>
      </w:r>
      <w:r>
        <w:t xml:space="preserve">Elaboración propia. Los instrumentos C.1 a C.8 están en el Anexo C. La protocolo de verificación en obra sigue el protocolo de la Sección 2.9.1.</w:t>
      </w:r>
    </w:p>
    <w:p>
      <w:pPr>
        <w:pStyle w:val="Heading1"/>
      </w:pPr>
      <w:bookmarkStart w:id="359" w:name="tit162"/>
      <w:r>
        <w:t xml:space="preserve">ANEXO C</w:t>
      </w:r>
      <w:r>
        <w:br/>
      </w:r>
      <w:r>
        <w:t xml:space="preserve">INSTRUMENTOS DE RECOLECCIÓN DE DATOS Y FORMATOS DEL SGC</w:t>
      </w:r>
      <w:bookmarkEnd w:id="359"/>
    </w:p>
    <w:p>
      <w:pPr>
        <w:pStyle w:val="FirstParagraph"/>
      </w:pPr>
      <w:r>
        <w:t xml:space="preserve">Este anexo reúne los instrumentos de recolección de datos de la investigación y los formatos del Sistema de Gestión de la Calidad (SGC) propuesto en la Sección 2.6. Los formatos C.2 a C.6 son los registros del SGC: se imprimen en tamaño carta, se llenan en obra y se archivan por losa y por paño. Los instrumentos C.7 y C.8 sirven a la investigación: la guía de entrevista para el diagnóstico (OE1) y el formato de validación por juicio de expertos (OE5). La relación de cada formato con el sistema es la siguiente:</w:t>
      </w:r>
    </w:p>
    <w:tbl>
      <w:tblPr>
        <w:tblStyle w:val="Table"/>
        <w:tblW w:w="9359" w:type="dxa"/>
        <w:jc w:val="left"/>
        <w:tblLayout w:type="fixed"/>
        <w:tblCellMar>
          <w:top w:w="0" w:type="dxa"/>
          <w:left w:w="85" w:type="dxa"/>
          <w:bottom w:w="0" w:type="dxa"/>
          <w:right w:w="85" w:type="dxa"/>
        </w:tblCellMar>
        <w:tblLook w:firstRow="1" w:lastRow="0" w:firstColumn="0" w:lastColumn="0" w:noHBand="0" w:noVBand="0" w:val="0020"/>
      </w:tblPr>
      <w:tblGrid>
        <w:gridCol w:w="1083"/>
        <w:gridCol w:w="3663"/>
        <w:gridCol w:w="2722"/>
        <w:gridCol w:w="1891"/>
      </w:tblGrid>
      <w:tr>
        <w:trPr>
          <w:cantSplit/>
          <w:tblHeader w:val="true"/>
        </w:trPr>
        <w:tc>
          <w:tcPr>
            <w:tcW w:w="1083" w:type="dxa"/>
            <w:tcBorders>
              <w:top w:val="single" w:sz="8" w:space="0" w:color="000000"/>
              <w:bottom w:val="single" w:sz="4" w:space="0" w:color="000000"/>
            </w:tcBorders>
          </w:tcPr>
          <w:p>
            <w:pPr>
              <w:pStyle w:val="CeldaAPA"/>
              <w:jc w:val="center"/>
            </w:pPr>
            <w:r>
              <w:rPr>
                <w:bCs/>
                <w:b/>
              </w:rPr>
              <w:t xml:space="preserve">Código</w:t>
            </w:r>
          </w:p>
        </w:tc>
        <w:tc>
          <w:tcPr>
            <w:tcW w:w="3663" w:type="dxa"/>
            <w:tcBorders>
              <w:top w:val="single" w:sz="8" w:space="0" w:color="000000"/>
              <w:bottom w:val="single" w:sz="4" w:space="0" w:color="000000"/>
            </w:tcBorders>
          </w:tcPr>
          <w:p>
            <w:pPr>
              <w:pStyle w:val="CeldaAPA"/>
              <w:jc w:val="center"/>
            </w:pPr>
            <w:r>
              <w:rPr>
                <w:bCs/>
                <w:b/>
              </w:rPr>
              <w:t xml:space="preserve">Formato o instrumento</w:t>
            </w:r>
          </w:p>
        </w:tc>
        <w:tc>
          <w:tcPr>
            <w:tcW w:w="2722" w:type="dxa"/>
            <w:tcBorders>
              <w:top w:val="single" w:sz="8" w:space="0" w:color="000000"/>
              <w:bottom w:val="single" w:sz="4" w:space="0" w:color="000000"/>
            </w:tcBorders>
          </w:tcPr>
          <w:p>
            <w:pPr>
              <w:pStyle w:val="CeldaAPA"/>
              <w:jc w:val="center"/>
            </w:pPr>
            <w:r>
              <w:rPr>
                <w:bCs/>
                <w:b/>
              </w:rPr>
              <w:t xml:space="preserve">Componente del SGC</w:t>
            </w:r>
          </w:p>
        </w:tc>
        <w:tc>
          <w:tcPr>
            <w:tcW w:w="1891" w:type="dxa"/>
            <w:tcBorders>
              <w:top w:val="single" w:sz="8" w:space="0" w:color="000000"/>
              <w:bottom w:val="single" w:sz="4" w:space="0" w:color="000000"/>
            </w:tcBorders>
          </w:tcPr>
          <w:p>
            <w:pPr>
              <w:pStyle w:val="CeldaAPA"/>
              <w:jc w:val="center"/>
            </w:pPr>
            <w:r>
              <w:rPr>
                <w:bCs/>
                <w:b/>
              </w:rPr>
              <w:t xml:space="preserve">Responsable</w:t>
            </w:r>
          </w:p>
        </w:tc>
      </w:tr>
      <w:tr>
        <w:tc>
          <w:tcPr>
            <w:tcW w:w="1083" w:type="dxa"/>
          </w:tcPr>
          <w:p>
            <w:pPr>
              <w:pStyle w:val="CeldaAPA"/>
              <w:jc w:val="left"/>
            </w:pPr>
            <w:r>
              <w:rPr/>
              <w:t xml:space="preserve">C.1</w:t>
            </w:r>
          </w:p>
        </w:tc>
        <w:tc>
          <w:tcPr>
            <w:tcW w:w="3663" w:type="dxa"/>
          </w:tcPr>
          <w:p>
            <w:pPr>
              <w:pStyle w:val="CeldaAPA"/>
              <w:jc w:val="left"/>
            </w:pPr>
            <w:r>
              <w:rPr/>
              <w:t xml:space="preserve">Lista de verificación de requisitos ISO 9001:2026</w:t>
            </w:r>
          </w:p>
        </w:tc>
        <w:tc>
          <w:tcPr>
            <w:tcW w:w="2722" w:type="dxa"/>
          </w:tcPr>
          <w:p>
            <w:pPr>
              <w:pStyle w:val="CeldaAPA"/>
              <w:jc w:val="left"/>
            </w:pPr>
            <w:r>
              <w:rPr/>
              <w:t xml:space="preserve">Diagnóstico y auditoría interna</w:t>
            </w:r>
          </w:p>
        </w:tc>
        <w:tc>
          <w:tcPr>
            <w:tcW w:w="1891" w:type="dxa"/>
          </w:tcPr>
          <w:p>
            <w:pPr>
              <w:pStyle w:val="CeldaAPA"/>
              <w:jc w:val="left"/>
            </w:pPr>
            <w:r>
              <w:rPr/>
              <w:t xml:space="preserve">Investigador; auditor</w:t>
            </w:r>
          </w:p>
        </w:tc>
      </w:tr>
      <w:tr>
        <w:tc>
          <w:tcPr>
            <w:tcW w:w="1083" w:type="dxa"/>
          </w:tcPr>
          <w:p>
            <w:pPr>
              <w:pStyle w:val="CeldaAPA"/>
              <w:jc w:val="left"/>
            </w:pPr>
            <w:r>
              <w:rPr/>
              <w:t xml:space="preserve">C.2</w:t>
            </w:r>
          </w:p>
        </w:tc>
        <w:tc>
          <w:tcPr>
            <w:tcW w:w="3663" w:type="dxa"/>
          </w:tcPr>
          <w:p>
            <w:pPr>
              <w:pStyle w:val="CeldaAPA"/>
              <w:jc w:val="left"/>
            </w:pPr>
            <w:r>
              <w:rPr/>
              <w:t xml:space="preserve">Fichas PPI de liberación por paño</w:t>
            </w:r>
          </w:p>
        </w:tc>
        <w:tc>
          <w:tcPr>
            <w:tcW w:w="2722" w:type="dxa"/>
          </w:tcPr>
          <w:p>
            <w:pPr>
              <w:pStyle w:val="CeldaAPA"/>
              <w:jc w:val="left"/>
            </w:pPr>
            <w:r>
              <w:rPr/>
              <w:t xml:space="preserve">Plan de puntos de inspección (Tabla 36)</w:t>
            </w:r>
          </w:p>
        </w:tc>
        <w:tc>
          <w:tcPr>
            <w:tcW w:w="1891" w:type="dxa"/>
          </w:tcPr>
          <w:p>
            <w:pPr>
              <w:pStyle w:val="CeldaAPA"/>
              <w:jc w:val="left"/>
            </w:pPr>
            <w:r>
              <w:rPr/>
              <w:t xml:space="preserve">Encargado de calidad; Supervisor</w:t>
            </w:r>
          </w:p>
        </w:tc>
      </w:tr>
      <w:tr>
        <w:tc>
          <w:tcPr>
            <w:tcW w:w="1083" w:type="dxa"/>
          </w:tcPr>
          <w:p>
            <w:pPr>
              <w:pStyle w:val="CeldaAPA"/>
              <w:jc w:val="left"/>
            </w:pPr>
            <w:r>
              <w:rPr/>
              <w:t xml:space="preserve">C.3</w:t>
            </w:r>
          </w:p>
        </w:tc>
        <w:tc>
          <w:tcPr>
            <w:tcW w:w="3663" w:type="dxa"/>
          </w:tcPr>
          <w:p>
            <w:pPr>
              <w:pStyle w:val="CeldaAPA"/>
              <w:jc w:val="left"/>
            </w:pPr>
            <w:r>
              <w:rPr/>
              <w:t xml:space="preserve">Ficha de recepción de materiales</w:t>
            </w:r>
          </w:p>
        </w:tc>
        <w:tc>
          <w:tcPr>
            <w:tcW w:w="2722" w:type="dxa"/>
          </w:tcPr>
          <w:p>
            <w:pPr>
              <w:pStyle w:val="CeldaAPA"/>
              <w:jc w:val="left"/>
            </w:pPr>
            <w:r>
              <w:rPr/>
              <w:t xml:space="preserve">PCM-01 (Tabla 37)</w:t>
            </w:r>
          </w:p>
        </w:tc>
        <w:tc>
          <w:tcPr>
            <w:tcW w:w="1891" w:type="dxa"/>
          </w:tcPr>
          <w:p>
            <w:pPr>
              <w:pStyle w:val="CeldaAPA"/>
              <w:jc w:val="left"/>
            </w:pPr>
            <w:r>
              <w:rPr/>
              <w:t xml:space="preserve">Almacenero; encargado de calidad</w:t>
            </w:r>
          </w:p>
        </w:tc>
      </w:tr>
      <w:tr>
        <w:tc>
          <w:tcPr>
            <w:tcW w:w="1083" w:type="dxa"/>
          </w:tcPr>
          <w:p>
            <w:pPr>
              <w:pStyle w:val="CeldaAPA"/>
              <w:jc w:val="left"/>
            </w:pPr>
            <w:r>
              <w:rPr/>
              <w:t xml:space="preserve">C.4</w:t>
            </w:r>
          </w:p>
        </w:tc>
        <w:tc>
          <w:tcPr>
            <w:tcW w:w="3663" w:type="dxa"/>
          </w:tcPr>
          <w:p>
            <w:pPr>
              <w:pStyle w:val="CeldaAPA"/>
              <w:jc w:val="left"/>
            </w:pPr>
            <w:r>
              <w:rPr/>
              <w:t xml:space="preserve">Control de materiales y conciliación por paño</w:t>
            </w:r>
          </w:p>
        </w:tc>
        <w:tc>
          <w:tcPr>
            <w:tcW w:w="2722" w:type="dxa"/>
          </w:tcPr>
          <w:p>
            <w:pPr>
              <w:pStyle w:val="CeldaAPA"/>
              <w:jc w:val="left"/>
            </w:pPr>
            <w:r>
              <w:rPr/>
              <w:t xml:space="preserve">PCM-02, PCM-03 y PCM-04</w:t>
            </w:r>
          </w:p>
        </w:tc>
        <w:tc>
          <w:tcPr>
            <w:tcW w:w="1891" w:type="dxa"/>
          </w:tcPr>
          <w:p>
            <w:pPr>
              <w:pStyle w:val="CeldaAPA"/>
              <w:jc w:val="left"/>
            </w:pPr>
            <w:r>
              <w:rPr/>
              <w:t xml:space="preserve">Almacenero; encargado de calidad</w:t>
            </w:r>
          </w:p>
        </w:tc>
      </w:tr>
      <w:tr>
        <w:tc>
          <w:tcPr>
            <w:tcW w:w="1083" w:type="dxa"/>
          </w:tcPr>
          <w:p>
            <w:pPr>
              <w:pStyle w:val="CeldaAPA"/>
              <w:jc w:val="left"/>
            </w:pPr>
            <w:r>
              <w:rPr/>
              <w:t xml:space="preserve">C.5</w:t>
            </w:r>
          </w:p>
        </w:tc>
        <w:tc>
          <w:tcPr>
            <w:tcW w:w="3663" w:type="dxa"/>
          </w:tcPr>
          <w:p>
            <w:pPr>
              <w:pStyle w:val="CeldaAPA"/>
              <w:jc w:val="left"/>
            </w:pPr>
            <w:r>
              <w:rPr/>
              <w:t xml:space="preserve">Registro de no conformidades y acción correctiva</w:t>
            </w:r>
          </w:p>
        </w:tc>
        <w:tc>
          <w:tcPr>
            <w:tcW w:w="2722" w:type="dxa"/>
          </w:tcPr>
          <w:p>
            <w:pPr>
              <w:pStyle w:val="CeldaAPA"/>
              <w:jc w:val="left"/>
            </w:pPr>
            <w:r>
              <w:rPr/>
              <w:t xml:space="preserve">PCM-05; procedimiento de NC</w:t>
            </w:r>
          </w:p>
        </w:tc>
        <w:tc>
          <w:tcPr>
            <w:tcW w:w="1891" w:type="dxa"/>
          </w:tcPr>
          <w:p>
            <w:pPr>
              <w:pStyle w:val="CeldaAPA"/>
              <w:jc w:val="left"/>
            </w:pPr>
            <w:r>
              <w:rPr/>
              <w:t xml:space="preserve">Encargado de calidad</w:t>
            </w:r>
          </w:p>
        </w:tc>
      </w:tr>
      <w:tr>
        <w:tc>
          <w:tcPr>
            <w:tcW w:w="1083" w:type="dxa"/>
          </w:tcPr>
          <w:p>
            <w:pPr>
              <w:pStyle w:val="CeldaAPA"/>
              <w:jc w:val="left"/>
            </w:pPr>
            <w:r>
              <w:rPr/>
              <w:t xml:space="preserve">C.6</w:t>
            </w:r>
          </w:p>
        </w:tc>
        <w:tc>
          <w:tcPr>
            <w:tcW w:w="3663" w:type="dxa"/>
          </w:tcPr>
          <w:p>
            <w:pPr>
              <w:pStyle w:val="CeldaAPA"/>
              <w:jc w:val="left"/>
            </w:pPr>
            <w:r>
              <w:rPr/>
              <w:t xml:space="preserve">Planilla de costos de la calidad (PAF)</w:t>
            </w:r>
          </w:p>
        </w:tc>
        <w:tc>
          <w:tcPr>
            <w:tcW w:w="2722" w:type="dxa"/>
          </w:tcPr>
          <w:p>
            <w:pPr>
              <w:pStyle w:val="CeldaAPA"/>
              <w:jc w:val="left"/>
            </w:pPr>
            <w:r>
              <w:rPr/>
              <w:t xml:space="preserve">Registro de costos de la calidad</w:t>
            </w:r>
          </w:p>
        </w:tc>
        <w:tc>
          <w:tcPr>
            <w:tcW w:w="1891" w:type="dxa"/>
          </w:tcPr>
          <w:p>
            <w:pPr>
              <w:pStyle w:val="CeldaAPA"/>
              <w:jc w:val="left"/>
            </w:pPr>
            <w:r>
              <w:rPr/>
              <w:t xml:space="preserve">Encargado de calidad</w:t>
            </w:r>
          </w:p>
        </w:tc>
      </w:tr>
      <w:tr>
        <w:tc>
          <w:tcPr>
            <w:tcW w:w="1083" w:type="dxa"/>
          </w:tcPr>
          <w:p>
            <w:pPr>
              <w:pStyle w:val="CeldaAPA"/>
              <w:jc w:val="left"/>
            </w:pPr>
            <w:r>
              <w:rPr/>
              <w:t xml:space="preserve">C.7</w:t>
            </w:r>
          </w:p>
        </w:tc>
        <w:tc>
          <w:tcPr>
            <w:tcW w:w="3663" w:type="dxa"/>
          </w:tcPr>
          <w:p>
            <w:pPr>
              <w:pStyle w:val="CeldaAPA"/>
              <w:jc w:val="left"/>
            </w:pPr>
            <w:r>
              <w:rPr/>
              <w:t xml:space="preserve">Guía de entrevista semiestructurada</w:t>
            </w:r>
          </w:p>
        </w:tc>
        <w:tc>
          <w:tcPr>
            <w:tcW w:w="2722" w:type="dxa"/>
          </w:tcPr>
          <w:p>
            <w:pPr>
              <w:pStyle w:val="CeldaAPA"/>
              <w:jc w:val="left"/>
            </w:pPr>
            <w:r>
              <w:rPr/>
              <w:t xml:space="preserve">Diagnóstico (OE1)</w:t>
            </w:r>
          </w:p>
        </w:tc>
        <w:tc>
          <w:tcPr>
            <w:tcW w:w="1891" w:type="dxa"/>
          </w:tcPr>
          <w:p>
            <w:pPr>
              <w:pStyle w:val="CeldaAPA"/>
              <w:jc w:val="left"/>
            </w:pPr>
            <w:r>
              <w:rPr/>
              <w:t xml:space="preserve">Investigador</w:t>
            </w:r>
          </w:p>
        </w:tc>
      </w:tr>
      <w:tr>
        <w:tc>
          <w:tcPr>
            <w:tcW w:w="1083" w:type="dxa"/>
            <w:tcBorders>
              <w:bottom w:val="single" w:sz="8" w:space="0" w:color="000000"/>
            </w:tcBorders>
          </w:tcPr>
          <w:p>
            <w:pPr>
              <w:pStyle w:val="CeldaAPA"/>
              <w:jc w:val="left"/>
            </w:pPr>
            <w:r>
              <w:rPr/>
              <w:t xml:space="preserve">C.8</w:t>
            </w:r>
          </w:p>
        </w:tc>
        <w:tc>
          <w:tcPr>
            <w:tcW w:w="3663" w:type="dxa"/>
            <w:tcBorders>
              <w:bottom w:val="single" w:sz="8" w:space="0" w:color="000000"/>
            </w:tcBorders>
          </w:tcPr>
          <w:p>
            <w:pPr>
              <w:pStyle w:val="CeldaAPA"/>
              <w:jc w:val="left"/>
            </w:pPr>
            <w:r>
              <w:rPr/>
              <w:t xml:space="preserve">Formato de validación por juicio de expertos</w:t>
            </w:r>
          </w:p>
        </w:tc>
        <w:tc>
          <w:tcPr>
            <w:tcW w:w="2722" w:type="dxa"/>
            <w:tcBorders>
              <w:bottom w:val="single" w:sz="8" w:space="0" w:color="000000"/>
            </w:tcBorders>
          </w:tcPr>
          <w:p>
            <w:pPr>
              <w:pStyle w:val="CeldaAPA"/>
              <w:jc w:val="left"/>
            </w:pPr>
            <w:r>
              <w:rPr/>
              <w:t xml:space="preserve">Validación (OE5)</w:t>
            </w:r>
          </w:p>
        </w:tc>
        <w:tc>
          <w:tcPr>
            <w:tcW w:w="1891" w:type="dxa"/>
            <w:tcBorders>
              <w:bottom w:val="single" w:sz="8" w:space="0" w:color="000000"/>
            </w:tcBorders>
          </w:tcPr>
          <w:p>
            <w:pPr>
              <w:pStyle w:val="CeldaAPA"/>
              <w:jc w:val="left"/>
            </w:pPr>
            <w:r>
              <w:rPr/>
              <w:t xml:space="preserve">Investigador; expertos</w:t>
            </w:r>
          </w:p>
        </w:tc>
      </w:tr>
    </w:tbl>
    <w:p>
      <w:pPr>
        <w:pStyle w:val="Heading2"/>
        <w:spacing w:before="240"/>
      </w:pPr>
      <w:bookmarkStart w:id="351" w:name="tit163"/>
      <w:r>
        <w:t xml:space="preserve">C.1. Lista de verificación de requisitos de ISO 9001:2026 aplicada a la ejecución de la primera losa</w:t>
      </w:r>
      <w:bookmarkEnd w:id="351"/>
    </w:p>
    <w:p>
      <w:pPr>
        <w:pStyle w:val="FirstParagraph"/>
      </w:pPr>
      <w:r>
        <w:rPr>
          <w:bCs/>
          <w:b/>
        </w:rPr>
        <w:t xml:space="preserve">Propósito y alcance.</w:t>
      </w:r>
      <w:r>
        <w:t xml:space="preserve"> </w:t>
      </w:r>
      <w:r>
        <w:t xml:space="preserve">La lista sirve para diagnosticar las brechas entre la gestión real del proceso constructivo de la losa alivianada y los requisitos de las cláusulas 4 a 10 de la norma ISO 9001:2026</w:t>
      </w:r>
      <w:r>
        <w:t xml:space="preserve"> </w:t>
      </w:r>
      <w:r>
        <w:t xml:space="preserve">(ISO, 2026b)</w:t>
      </w:r>
      <w:r>
        <w:t xml:space="preserve">. Se aplicó a la ejecución de la primera losa (41 paños; 1.109,84 m</w:t>
      </w:r>
      <w:r>
        <w:rPr>
          <w:vertAlign w:val="superscript"/>
        </w:rPr>
        <w:t xml:space="preserve">2</w:t>
      </w:r>
      <w:r>
        <w:t xml:space="preserve">), entendida como el sistema formado por la empresa contratista, su Dirección de Obra y los controles de la Supervisión que constan en los documentos. Los requisitos se redactaron como paráfrasis del autor, en términos del proceso de la losa; no reproducen el texto de la norma. La numeración corresponde a la estructura de cláusulas que la edición de 2026 conserva de la de 2015.</w:t>
      </w:r>
    </w:p>
    <w:p>
      <w:pPr>
        <w:pStyle w:val="BodyText"/>
      </w:pPr>
      <w:r>
        <w:rPr>
          <w:bCs/>
          <w:b/>
        </w:rPr>
        <w:t xml:space="preserve">Método.</w:t>
      </w:r>
      <w:r>
        <w:t xml:space="preserve"> </w:t>
      </w:r>
      <w:r>
        <w:t xml:space="preserve">La aplicación fue documental y la realizó el investigador. Se revisaron, página por página, la Planilla de avance de obra N.</w:t>
      </w:r>
      <w:r>
        <w:rPr>
          <w:vertAlign w:val="superscript"/>
        </w:rPr>
        <w:t xml:space="preserve">o</w:t>
      </w:r>
      <w:r>
        <w:t xml:space="preserve"> 2 con sus anexos (informe de Supervisión, cómputos, certificados, contrato, Libro de Órdenes y cronogramas), la planilla y los cómputos de cierre por resolución del contrato, el expediente del ítem 13, las especificaciones técnicas y los planos 01 a 03. Cada requisito aplicable se calificó así:</w:t>
      </w:r>
      <w:r>
        <w:t xml:space="preserve"> </w:t>
      </w:r>
      <w:r>
        <w:rPr>
          <w:bCs/>
          <w:b/>
        </w:rPr>
        <w:t xml:space="preserve">1</w:t>
      </w:r>
      <w:r>
        <w:t xml:space="preserve"> </w:t>
      </w:r>
      <w:r>
        <w:t xml:space="preserve">= cumple (el requisito está establecido, se aplicó y hay evidencia documental);</w:t>
      </w:r>
      <w:r>
        <w:t xml:space="preserve"> </w:t>
      </w:r>
      <w:r>
        <w:rPr>
          <w:bCs/>
          <w:b/>
        </w:rPr>
        <w:t xml:space="preserve">0,5</w:t>
      </w:r>
      <w:r>
        <w:t xml:space="preserve"> </w:t>
      </w:r>
      <w:r>
        <w:t xml:space="preserve">= cumple parcialmente (hay evidencia de una aplicación parcial, informal o sin registros completos);</w:t>
      </w:r>
      <w:r>
        <w:t xml:space="preserve"> </w:t>
      </w:r>
      <w:r>
        <w:rPr>
          <w:bCs/>
          <w:b/>
        </w:rPr>
        <w:t xml:space="preserve">0</w:t>
      </w:r>
      <w:r>
        <w:t xml:space="preserve"> </w:t>
      </w:r>
      <w:r>
        <w:t xml:space="preserve">= no cumple (no se encontró evidencia en los documentos revisados, o la evidencia muestra lo contrario);</w:t>
      </w:r>
      <w:r>
        <w:t xml:space="preserve"> </w:t>
      </w:r>
      <w:r>
        <w:rPr>
          <w:bCs/>
          <w:b/>
        </w:rPr>
        <w:t xml:space="preserve">NA</w:t>
      </w:r>
      <w:r>
        <w:t xml:space="preserve"> </w:t>
      </w:r>
      <w:r>
        <w:t xml:space="preserve">= no aplica al proceso de la losa (se excluye del denominador). El porcentaje de cada cláusula es la suma de las calificaciones dividida entre el número de requisitos aplicables. La interpretación usa la escala de</w:t>
      </w:r>
      <w:r>
        <w:t xml:space="preserve"> </w:t>
      </w:r>
      <w:r>
        <w:t xml:space="preserve">Mamani Calsina (2025, p. 42)</w:t>
      </w:r>
      <w:r>
        <w:t xml:space="preserve">: 0–25 % deficiente o no implementado; 26–50 % básico o en desarrollo; 51–75 % aceptable; 76–100 % excelente.</w:t>
      </w:r>
    </w:p>
    <w:p>
      <w:pPr>
        <w:pStyle w:val="BodyText"/>
      </w:pPr>
      <w:r>
        <w:rPr>
          <w:bCs/>
          <w:b/>
        </w:rPr>
        <w:t xml:space="preserve">Limitación.</w:t>
      </w:r>
      <w:r>
        <w:t xml:space="preserve"> </w:t>
      </w:r>
      <w:r>
        <w:t xml:space="preserve">Una calificación de 0 por falta de evidencia documental no prueba que la práctica no existiera; prueba que no quedó registrada. Las entrevistas de la guía C.7 a la Dirección de Obra, a la Supervisión y a la Fiscalización permitirán verificar o corregir estas calificaciones. Para las auditorías internas del SGC propuesto, la columna de requisitos se usa sin cambios y las columnas de evidencia y calificación se llenan en cada aplicación.</w:t>
      </w:r>
    </w:p>
    <w:p>
      <w:pPr>
        <w:pStyle w:val="Caption"/>
      </w:pPr>
      <w:bookmarkStart w:id="1475" w:name="tab56"/>
      <w:r>
        <w:t xml:space="preserve"/>
      </w:r>
      <w:r>
        <w:rPr>
          <w:bCs/>
          <w:b/>
        </w:rPr>
        <w:t xml:space="preserve">Tabla 56</w:t>
      </w:r>
      <w:r>
        <w:br/>
      </w:r>
      <w:r>
        <w:rPr>
          <w:iCs/>
          <w:i/>
        </w:rPr>
        <w:t xml:space="preserve">Lista de verificación C.1 aplicada a la ejecución de la primera losa</w:t>
      </w:r>
      <w:bookmarkEnd w:id="1475"/>
    </w:p>
    <w:tbl>
      <w:tblPr>
        <w:tblStyle w:val="Table"/>
        <w:tblW w:w="9359" w:type="dxa"/>
        <w:jc w:val="left"/>
        <w:tblLayout w:type="fixed"/>
        <w:tblCellMar>
          <w:top w:w="0" w:type="dxa"/>
          <w:left w:w="85" w:type="dxa"/>
          <w:bottom w:w="0" w:type="dxa"/>
          <w:right w:w="85" w:type="dxa"/>
        </w:tblCellMar>
        <w:tblLook w:firstRow="1" w:lastRow="0" w:firstColumn="0" w:lastColumn="0" w:noHBand="0" w:noVBand="0" w:val="0020"/>
      </w:tblPr>
      <w:tblGrid>
        <w:gridCol w:w="1251"/>
        <w:gridCol w:w="2203"/>
        <w:gridCol w:w="2707"/>
        <w:gridCol w:w="916"/>
        <w:gridCol w:w="2282"/>
      </w:tblGrid>
      <w:tr>
        <w:trPr>
          <w:cantSplit/>
          <w:tblHeader w:val="true"/>
        </w:trPr>
        <w:tc>
          <w:tcPr>
            <w:tcW w:w="1251" w:type="dxa"/>
            <w:tcBorders>
              <w:top w:val="single" w:sz="8" w:space="0" w:color="000000"/>
              <w:bottom w:val="single" w:sz="4" w:space="0" w:color="000000"/>
            </w:tcBorders>
          </w:tcPr>
          <w:p>
            <w:pPr>
              <w:pStyle w:val="CeldaAPA"/>
              <w:jc w:val="center"/>
            </w:pPr>
            <w:r>
              <w:rPr>
                <w:bCs/>
                <w:b/>
              </w:rPr>
              <w:t xml:space="preserve">Cláusula</w:t>
            </w:r>
          </w:p>
        </w:tc>
        <w:tc>
          <w:tcPr>
            <w:tcW w:w="2203" w:type="dxa"/>
            <w:tcBorders>
              <w:top w:val="single" w:sz="8" w:space="0" w:color="000000"/>
              <w:bottom w:val="single" w:sz="4" w:space="0" w:color="000000"/>
            </w:tcBorders>
          </w:tcPr>
          <w:p>
            <w:pPr>
              <w:pStyle w:val="CeldaAPA"/>
              <w:jc w:val="center"/>
            </w:pPr>
            <w:r>
              <w:rPr>
                <w:bCs/>
                <w:b/>
              </w:rPr>
              <w:t xml:space="preserve">Requisito (paráfrasis aplicada a la losa)</w:t>
            </w:r>
          </w:p>
        </w:tc>
        <w:tc>
          <w:tcPr>
            <w:tcW w:w="2707" w:type="dxa"/>
            <w:tcBorders>
              <w:top w:val="single" w:sz="8" w:space="0" w:color="000000"/>
              <w:bottom w:val="single" w:sz="4" w:space="0" w:color="000000"/>
            </w:tcBorders>
          </w:tcPr>
          <w:p>
            <w:pPr>
              <w:pStyle w:val="CeldaAPA"/>
              <w:jc w:val="center"/>
            </w:pPr>
            <w:r>
              <w:rPr>
                <w:bCs/>
                <w:b/>
              </w:rPr>
              <w:t xml:space="preserve">Evidencia documental encontrada</w:t>
            </w:r>
          </w:p>
        </w:tc>
        <w:tc>
          <w:tcPr>
            <w:tcW w:w="916" w:type="dxa"/>
            <w:tcBorders>
              <w:top w:val="single" w:sz="8" w:space="0" w:color="000000"/>
              <w:bottom w:val="single" w:sz="4" w:space="0" w:color="000000"/>
            </w:tcBorders>
          </w:tcPr>
          <w:p>
            <w:pPr>
              <w:pStyle w:val="CeldaAPA"/>
              <w:jc w:val="center"/>
            </w:pPr>
            <w:r>
              <w:rPr>
                <w:bCs/>
                <w:b/>
              </w:rPr>
              <w:t xml:space="preserve">Calif.</w:t>
            </w:r>
          </w:p>
        </w:tc>
        <w:tc>
          <w:tcPr>
            <w:tcW w:w="2282" w:type="dxa"/>
            <w:tcBorders>
              <w:top w:val="single" w:sz="8" w:space="0" w:color="000000"/>
              <w:bottom w:val="single" w:sz="4" w:space="0" w:color="000000"/>
            </w:tcBorders>
          </w:tcPr>
          <w:p>
            <w:pPr>
              <w:pStyle w:val="CeldaAPA"/>
              <w:jc w:val="center"/>
            </w:pPr>
            <w:r>
              <w:rPr>
                <w:bCs/>
                <w:b/>
              </w:rPr>
              <w:t xml:space="preserve">Observación</w:t>
            </w:r>
          </w:p>
        </w:tc>
      </w:tr>
      <w:tr>
        <w:tc>
          <w:tcPr>
            <w:tcW w:w="9359" w:type="dxa"/>
            <w:gridSpan w:val="5"/>
          </w:tcPr>
          <w:p>
            <w:pPr>
              <w:pStyle w:val="CeldaAPA"/>
              <w:jc w:val="left"/>
            </w:pPr>
            <w:r>
              <w:rPr>
                <w:bCs/>
                <w:b/>
              </w:rPr>
              <w:t xml:space="preserve">4. Contexto de la organización</w:t>
            </w:r>
          </w:p>
        </w:tc>
      </w:tr>
      <w:tr>
        <w:tc>
          <w:tcPr>
            <w:tcW w:w="1251" w:type="dxa"/>
          </w:tcPr>
          <w:p>
            <w:pPr>
              <w:pStyle w:val="CeldaAPA"/>
              <w:jc w:val="left"/>
            </w:pPr>
            <w:r>
              <w:rPr/>
              <w:t xml:space="preserve">4.1</w:t>
            </w:r>
          </w:p>
        </w:tc>
        <w:tc>
          <w:tcPr>
            <w:tcW w:w="2203" w:type="dxa"/>
          </w:tcPr>
          <w:p>
            <w:pPr>
              <w:pStyle w:val="CeldaAPA"/>
              <w:jc w:val="left"/>
            </w:pPr>
            <w:r>
              <w:rPr/>
              <w:t xml:space="preserve">Determinar las cuestiones externas e internas que afectan al proceso de la losa (abastecimiento, precios, clima y pertinencia del cambio climático) y darles seguimiento.</w:t>
            </w:r>
          </w:p>
        </w:tc>
        <w:tc>
          <w:tcPr>
            <w:tcW w:w="2707" w:type="dxa"/>
          </w:tcPr>
          <w:p>
            <w:pPr>
              <w:pStyle w:val="CeldaAPA"/>
              <w:jc w:val="left"/>
            </w:pPr>
            <w:r>
              <w:rPr/>
              <w:t xml:space="preserve">No hay análisis de contexto. Las lluvias (siete días) y la demora de materiales por escasez de combustible solo se anotaron después de ocurridas, para pedir ampliación de plazo (PAO2, pp. 114–124).</w:t>
            </w:r>
          </w:p>
        </w:tc>
        <w:tc>
          <w:tcPr>
            <w:tcW w:w="916" w:type="dxa"/>
          </w:tcPr>
          <w:p>
            <w:pPr>
              <w:pStyle w:val="CeldaAPA"/>
              <w:jc w:val="center"/>
            </w:pPr>
            <w:r>
              <w:rPr/>
              <w:t xml:space="preserve">0</w:t>
            </w:r>
          </w:p>
        </w:tc>
        <w:tc>
          <w:tcPr>
            <w:tcW w:w="2282" w:type="dxa"/>
          </w:tcPr>
          <w:p>
            <w:pPr>
              <w:pStyle w:val="CeldaAPA"/>
              <w:jc w:val="left"/>
            </w:pPr>
            <w:r>
              <w:rPr/>
              <w:t xml:space="preserve">La escasez de diésel ya era pública en junio de 2025 (FANCESA; Las Lomas) y no generó previsiones.</w:t>
            </w:r>
          </w:p>
        </w:tc>
      </w:tr>
      <w:tr>
        <w:tc>
          <w:tcPr>
            <w:tcW w:w="1251" w:type="dxa"/>
          </w:tcPr>
          <w:p>
            <w:pPr>
              <w:pStyle w:val="CeldaAPA"/>
              <w:jc w:val="left"/>
            </w:pPr>
            <w:r>
              <w:rPr/>
              <w:t xml:space="preserve">4.2</w:t>
            </w:r>
          </w:p>
        </w:tc>
        <w:tc>
          <w:tcPr>
            <w:tcW w:w="2203" w:type="dxa"/>
          </w:tcPr>
          <w:p>
            <w:pPr>
              <w:pStyle w:val="CeldaAPA"/>
              <w:jc w:val="left"/>
            </w:pPr>
            <w:r>
              <w:rPr/>
              <w:t xml:space="preserve">Identificar las partes interesadas pertinentes (UATF, Supervisión, Fiscalización, proveedores, laboratorio, usuarios) y sus requisitos.</w:t>
            </w:r>
          </w:p>
        </w:tc>
        <w:tc>
          <w:tcPr>
            <w:tcW w:w="2707" w:type="dxa"/>
          </w:tcPr>
          <w:p>
            <w:pPr>
              <w:pStyle w:val="CeldaAPA"/>
              <w:jc w:val="left"/>
            </w:pPr>
            <w:r>
              <w:rPr/>
              <w:t xml:space="preserve">El contrato define partes y obligaciones (PAO2, pp. 91–112); la ET y los planos fijan los requisitos del producto. No hay análisis de las demás partes interesadas.</w:t>
            </w:r>
          </w:p>
        </w:tc>
        <w:tc>
          <w:tcPr>
            <w:tcW w:w="916" w:type="dxa"/>
          </w:tcPr>
          <w:p>
            <w:pPr>
              <w:pStyle w:val="CeldaAPA"/>
              <w:jc w:val="center"/>
            </w:pPr>
            <w:r>
              <w:rPr/>
              <w:t xml:space="preserve">0,5</w:t>
            </w:r>
          </w:p>
        </w:tc>
        <w:tc>
          <w:tcPr>
            <w:tcW w:w="2282" w:type="dxa"/>
          </w:tcPr>
          <w:p>
            <w:pPr>
              <w:pStyle w:val="CeldaAPA"/>
              <w:jc w:val="left"/>
            </w:pPr>
            <w:r>
              <w:rPr/>
              <w:t xml:space="preserve">Documentados solo los requisitos de la entidad contratante.</w:t>
            </w:r>
          </w:p>
        </w:tc>
      </w:tr>
      <w:tr>
        <w:tc>
          <w:tcPr>
            <w:tcW w:w="1251" w:type="dxa"/>
          </w:tcPr>
          <w:p>
            <w:pPr>
              <w:pStyle w:val="CeldaAPA"/>
              <w:jc w:val="left"/>
            </w:pPr>
            <w:r>
              <w:rPr/>
              <w:t xml:space="preserve">4.3</w:t>
            </w:r>
          </w:p>
        </w:tc>
        <w:tc>
          <w:tcPr>
            <w:tcW w:w="2203" w:type="dxa"/>
          </w:tcPr>
          <w:p>
            <w:pPr>
              <w:pStyle w:val="CeldaAPA"/>
              <w:jc w:val="left"/>
            </w:pPr>
            <w:r>
              <w:rPr/>
              <w:t xml:space="preserve">Definir y documentar el alcance del sistema, con los requisitos que no se aplican y su justificación.</w:t>
            </w:r>
          </w:p>
        </w:tc>
        <w:tc>
          <w:tcPr>
            <w:tcW w:w="2707" w:type="dxa"/>
          </w:tcPr>
          <w:p>
            <w:pPr>
              <w:pStyle w:val="CeldaAPA"/>
              <w:jc w:val="left"/>
            </w:pPr>
            <w:r>
              <w:rPr/>
              <w:t xml:space="preserve">No existe un sistema declarado ni un documento de alcance; los 15 documentos de la planilla no incluyen un plan de la calidad (PAO2, pp. 3–4, 12).</w:t>
            </w:r>
          </w:p>
        </w:tc>
        <w:tc>
          <w:tcPr>
            <w:tcW w:w="916" w:type="dxa"/>
          </w:tcPr>
          <w:p>
            <w:pPr>
              <w:pStyle w:val="CeldaAPA"/>
              <w:jc w:val="center"/>
            </w:pPr>
            <w:r>
              <w:rPr/>
              <w:t xml:space="preserve">0</w:t>
            </w:r>
          </w:p>
        </w:tc>
        <w:tc>
          <w:tcPr>
            <w:tcW w:w="2282" w:type="dxa"/>
          </w:tcPr>
          <w:p>
            <w:pPr>
              <w:pStyle w:val="CeldaAPA"/>
              <w:jc w:val="left"/>
            </w:pPr>
            <w:r>
              <w:rPr/>
              <w:t xml:space="preserve">—</w:t>
            </w:r>
          </w:p>
        </w:tc>
      </w:tr>
      <w:tr>
        <w:tc>
          <w:tcPr>
            <w:tcW w:w="1251" w:type="dxa"/>
          </w:tcPr>
          <w:p>
            <w:pPr>
              <w:pStyle w:val="CeldaAPA"/>
              <w:jc w:val="left"/>
            </w:pPr>
            <w:r>
              <w:rPr/>
              <w:t xml:space="preserve">4.4</w:t>
            </w:r>
          </w:p>
        </w:tc>
        <w:tc>
          <w:tcPr>
            <w:tcW w:w="2203" w:type="dxa"/>
          </w:tcPr>
          <w:p>
            <w:pPr>
              <w:pStyle w:val="CeldaAPA"/>
              <w:jc w:val="left"/>
            </w:pPr>
            <w:r>
              <w:rPr/>
              <w:t xml:space="preserve">Determinar los procesos de la losa (abastecimiento, montaje, armado, hormigonado, curado y medición) con entradas, salidas, secuencia, criterios, responsables y recursos.</w:t>
            </w:r>
          </w:p>
        </w:tc>
        <w:tc>
          <w:tcPr>
            <w:tcW w:w="2707" w:type="dxa"/>
          </w:tcPr>
          <w:p>
            <w:pPr>
              <w:pStyle w:val="CeldaAPA"/>
              <w:jc w:val="left"/>
            </w:pPr>
            <w:r>
              <w:rPr/>
              <w:t xml:space="preserve">La secuencia general figura en la ET (pp. 1–4) y en el cronograma A-8 (PAO2, p. 137); no hay mapa de procesos, procedimientos ni responsables por actividad.</w:t>
            </w:r>
          </w:p>
        </w:tc>
        <w:tc>
          <w:tcPr>
            <w:tcW w:w="916" w:type="dxa"/>
          </w:tcPr>
          <w:p>
            <w:pPr>
              <w:pStyle w:val="CeldaAPA"/>
              <w:jc w:val="center"/>
            </w:pPr>
            <w:r>
              <w:rPr/>
              <w:t xml:space="preserve">0,5</w:t>
            </w:r>
          </w:p>
        </w:tc>
        <w:tc>
          <w:tcPr>
            <w:tcW w:w="2282" w:type="dxa"/>
          </w:tcPr>
          <w:p>
            <w:pPr>
              <w:pStyle w:val="CeldaAPA"/>
              <w:jc w:val="left"/>
            </w:pPr>
            <w:r>
              <w:rPr/>
              <w:t xml:space="preserve">El cronograma no refleja la secuencia real: la losa se armó en noviembre de 2025.</w:t>
            </w:r>
          </w:p>
        </w:tc>
      </w:tr>
      <w:tr>
        <w:tc>
          <w:tcPr>
            <w:tcW w:w="9359" w:type="dxa"/>
            <w:gridSpan w:val="5"/>
          </w:tcPr>
          <w:p>
            <w:pPr>
              <w:pStyle w:val="CeldaAPA"/>
              <w:jc w:val="left"/>
            </w:pPr>
            <w:r>
              <w:rPr>
                <w:bCs/>
                <w:b/>
              </w:rPr>
              <w:t xml:space="preserve">5. Liderazgo</w:t>
            </w:r>
          </w:p>
        </w:tc>
      </w:tr>
      <w:tr>
        <w:tc>
          <w:tcPr>
            <w:tcW w:w="1251" w:type="dxa"/>
          </w:tcPr>
          <w:p>
            <w:pPr>
              <w:pStyle w:val="CeldaAPA"/>
              <w:jc w:val="left"/>
            </w:pPr>
            <w:r>
              <w:rPr/>
              <w:t xml:space="preserve">5.1.1 a</w:t>
            </w:r>
          </w:p>
        </w:tc>
        <w:tc>
          <w:tcPr>
            <w:tcW w:w="2203" w:type="dxa"/>
          </w:tcPr>
          <w:p>
            <w:pPr>
              <w:pStyle w:val="CeldaAPA"/>
              <w:jc w:val="left"/>
            </w:pPr>
            <w:r>
              <w:rPr/>
              <w:t xml:space="preserve">Demostrar el compromiso de la dirección de la empresa con la eficacia del sistema (rendición de cuentas, recursos, integración en los procesos).</w:t>
            </w:r>
          </w:p>
        </w:tc>
        <w:tc>
          <w:tcPr>
            <w:tcW w:w="2707" w:type="dxa"/>
          </w:tcPr>
          <w:p>
            <w:pPr>
              <w:pStyle w:val="CeldaAPA"/>
              <w:jc w:val="left"/>
            </w:pPr>
            <w:r>
              <w:rPr/>
              <w:t xml:space="preserve">La dirección de la empresa solo aparece en las cartas de entrega de planillas y en las firmas de cobro (PAO2, pp. 12, 14, 88).</w:t>
            </w:r>
          </w:p>
        </w:tc>
        <w:tc>
          <w:tcPr>
            <w:tcW w:w="916" w:type="dxa"/>
          </w:tcPr>
          <w:p>
            <w:pPr>
              <w:pStyle w:val="CeldaAPA"/>
              <w:jc w:val="center"/>
            </w:pPr>
            <w:r>
              <w:rPr/>
              <w:t xml:space="preserve">0</w:t>
            </w:r>
          </w:p>
        </w:tc>
        <w:tc>
          <w:tcPr>
            <w:tcW w:w="2282" w:type="dxa"/>
          </w:tcPr>
          <w:p>
            <w:pPr>
              <w:pStyle w:val="CeldaAPA"/>
              <w:jc w:val="left"/>
            </w:pPr>
            <w:r>
              <w:rPr/>
              <w:t xml:space="preserve">—</w:t>
            </w:r>
          </w:p>
        </w:tc>
      </w:tr>
      <w:tr>
        <w:tc>
          <w:tcPr>
            <w:tcW w:w="1251" w:type="dxa"/>
          </w:tcPr>
          <w:p>
            <w:pPr>
              <w:pStyle w:val="CeldaAPA"/>
              <w:jc w:val="left"/>
            </w:pPr>
            <w:r>
              <w:rPr/>
              <w:t xml:space="preserve">5.1.1 b</w:t>
            </w:r>
          </w:p>
        </w:tc>
        <w:tc>
          <w:tcPr>
            <w:tcW w:w="2203" w:type="dxa"/>
          </w:tcPr>
          <w:p>
            <w:pPr>
              <w:pStyle w:val="CeldaAPA"/>
              <w:jc w:val="left"/>
            </w:pPr>
            <w:r>
              <w:rPr/>
              <w:t xml:space="preserve">Promover una cultura de la calidad y un comportamiento ético en la ejecución, la medición y el registro de la obra.</w:t>
            </w:r>
          </w:p>
        </w:tc>
        <w:tc>
          <w:tcPr>
            <w:tcW w:w="2707" w:type="dxa"/>
          </w:tcPr>
          <w:p>
            <w:pPr>
              <w:pStyle w:val="CeldaAPA"/>
              <w:jc w:val="left"/>
            </w:pPr>
            <w:r>
              <w:rPr/>
              <w:t xml:space="preserve">No hay evidencia de acciones; las diferencias de cantidades del acero no tienen explicación documentada (PAO3, hoja de cómputos, filas 375–541; Exp., p. 12).</w:t>
            </w:r>
          </w:p>
        </w:tc>
        <w:tc>
          <w:tcPr>
            <w:tcW w:w="916" w:type="dxa"/>
          </w:tcPr>
          <w:p>
            <w:pPr>
              <w:pStyle w:val="CeldaAPA"/>
              <w:jc w:val="center"/>
            </w:pPr>
            <w:r>
              <w:rPr/>
              <w:t xml:space="preserve">0</w:t>
            </w:r>
          </w:p>
        </w:tc>
        <w:tc>
          <w:tcPr>
            <w:tcW w:w="2282" w:type="dxa"/>
          </w:tcPr>
          <w:p>
            <w:pPr>
              <w:pStyle w:val="CeldaAPA"/>
              <w:jc w:val="left"/>
            </w:pPr>
            <w:r>
              <w:rPr/>
              <w:t xml:space="preserve">Énfasis de la edición 2026. Es ausencia de evidencia, no un juicio sobre las personas.</w:t>
            </w:r>
          </w:p>
        </w:tc>
      </w:tr>
      <w:tr>
        <w:tc>
          <w:tcPr>
            <w:tcW w:w="1251" w:type="dxa"/>
          </w:tcPr>
          <w:p>
            <w:pPr>
              <w:pStyle w:val="CeldaAPA"/>
              <w:jc w:val="left"/>
            </w:pPr>
            <w:r>
              <w:rPr/>
              <w:t xml:space="preserve">5.1.2</w:t>
            </w:r>
          </w:p>
        </w:tc>
        <w:tc>
          <w:tcPr>
            <w:tcW w:w="2203" w:type="dxa"/>
          </w:tcPr>
          <w:p>
            <w:pPr>
              <w:pStyle w:val="CeldaAPA"/>
              <w:jc w:val="left"/>
            </w:pPr>
            <w:r>
              <w:rPr/>
              <w:t xml:space="preserve">Mantener el enfoque al cliente: cumplir los requisitos de la UATF y los legales, y atender los riesgos que afectan la conformidad de la losa.</w:t>
            </w:r>
          </w:p>
        </w:tc>
        <w:tc>
          <w:tcPr>
            <w:tcW w:w="2707" w:type="dxa"/>
          </w:tcPr>
          <w:p>
            <w:pPr>
              <w:pStyle w:val="CeldaAPA"/>
              <w:jc w:val="left"/>
            </w:pPr>
            <w:r>
              <w:rPr/>
              <w:t xml:space="preserve">Obra ejecutada con autorización de la Supervisión (PAO2, pp. 114–125), pero con retraso acumulado de 3,03 % (p. 10) y con garantías, ensayos y dosificaciones pendientes al cierre del periodo (p. 9).</w:t>
            </w:r>
          </w:p>
        </w:tc>
        <w:tc>
          <w:tcPr>
            <w:tcW w:w="916" w:type="dxa"/>
          </w:tcPr>
          <w:p>
            <w:pPr>
              <w:pStyle w:val="CeldaAPA"/>
              <w:jc w:val="center"/>
            </w:pPr>
            <w:r>
              <w:rPr/>
              <w:t xml:space="preserve">0,5</w:t>
            </w:r>
          </w:p>
        </w:tc>
        <w:tc>
          <w:tcPr>
            <w:tcW w:w="2282" w:type="dxa"/>
          </w:tcPr>
          <w:p>
            <w:pPr>
              <w:pStyle w:val="CeldaAPA"/>
              <w:jc w:val="left"/>
            </w:pPr>
            <w:r>
              <w:rPr/>
              <w:t xml:space="preserve">—</w:t>
            </w:r>
          </w:p>
        </w:tc>
      </w:tr>
      <w:tr>
        <w:tc>
          <w:tcPr>
            <w:tcW w:w="1251" w:type="dxa"/>
          </w:tcPr>
          <w:p>
            <w:pPr>
              <w:pStyle w:val="CeldaAPA"/>
              <w:jc w:val="left"/>
            </w:pPr>
            <w:r>
              <w:rPr/>
              <w:t xml:space="preserve">5.2</w:t>
            </w:r>
          </w:p>
        </w:tc>
        <w:tc>
          <w:tcPr>
            <w:tcW w:w="2203" w:type="dxa"/>
          </w:tcPr>
          <w:p>
            <w:pPr>
              <w:pStyle w:val="CeldaAPA"/>
              <w:jc w:val="left"/>
            </w:pPr>
            <w:r>
              <w:rPr/>
              <w:t xml:space="preserve">Establecer, comunicar y mantener disponible una política de la calidad apropiada al proyecto.</w:t>
            </w:r>
          </w:p>
        </w:tc>
        <w:tc>
          <w:tcPr>
            <w:tcW w:w="2707" w:type="dxa"/>
          </w:tcPr>
          <w:p>
            <w:pPr>
              <w:pStyle w:val="CeldaAPA"/>
              <w:jc w:val="left"/>
            </w:pPr>
            <w:r>
              <w:rPr/>
              <w:t xml:space="preserve">No se encontró.</w:t>
            </w:r>
          </w:p>
        </w:tc>
        <w:tc>
          <w:tcPr>
            <w:tcW w:w="916" w:type="dxa"/>
          </w:tcPr>
          <w:p>
            <w:pPr>
              <w:pStyle w:val="CeldaAPA"/>
              <w:jc w:val="center"/>
            </w:pPr>
            <w:r>
              <w:rPr/>
              <w:t xml:space="preserve">0</w:t>
            </w:r>
          </w:p>
        </w:tc>
        <w:tc>
          <w:tcPr>
            <w:tcW w:w="2282" w:type="dxa"/>
          </w:tcPr>
          <w:p>
            <w:pPr>
              <w:pStyle w:val="CeldaAPA"/>
              <w:jc w:val="left"/>
            </w:pPr>
            <w:r>
              <w:rPr/>
              <w:t xml:space="preserve">—</w:t>
            </w:r>
          </w:p>
        </w:tc>
      </w:tr>
      <w:tr>
        <w:tc>
          <w:tcPr>
            <w:tcW w:w="1251" w:type="dxa"/>
          </w:tcPr>
          <w:p>
            <w:pPr>
              <w:pStyle w:val="CeldaAPA"/>
              <w:jc w:val="left"/>
            </w:pPr>
            <w:r>
              <w:rPr/>
              <w:t xml:space="preserve">5.3</w:t>
            </w:r>
          </w:p>
        </w:tc>
        <w:tc>
          <w:tcPr>
            <w:tcW w:w="2203" w:type="dxa"/>
          </w:tcPr>
          <w:p>
            <w:pPr>
              <w:pStyle w:val="CeldaAPA"/>
              <w:jc w:val="left"/>
            </w:pPr>
            <w:r>
              <w:rPr/>
              <w:t xml:space="preserve">Asignar y comunicar roles, responsabilidades y autoridades, incluido quién informa sobre el desempeño del sistema.</w:t>
            </w:r>
          </w:p>
        </w:tc>
        <w:tc>
          <w:tcPr>
            <w:tcW w:w="2707" w:type="dxa"/>
          </w:tcPr>
          <w:p>
            <w:pPr>
              <w:pStyle w:val="CeldaAPA"/>
              <w:jc w:val="left"/>
            </w:pPr>
            <w:r>
              <w:rPr/>
              <w:t xml:space="preserve">Director de Obra designado y evaluado (PAO2, p. 9); Supervisora y Fiscal designados (pp. 7, 127). No hay organigrama ni responsable de calidad; falta la constancia del Director de Obra en las 12 hojas del Libro de Órdenes (pp. 114–125).</w:t>
            </w:r>
          </w:p>
        </w:tc>
        <w:tc>
          <w:tcPr>
            <w:tcW w:w="916" w:type="dxa"/>
          </w:tcPr>
          <w:p>
            <w:pPr>
              <w:pStyle w:val="CeldaAPA"/>
              <w:jc w:val="center"/>
            </w:pPr>
            <w:r>
              <w:rPr/>
              <w:t xml:space="preserve">0,5</w:t>
            </w:r>
          </w:p>
        </w:tc>
        <w:tc>
          <w:tcPr>
            <w:tcW w:w="2282" w:type="dxa"/>
          </w:tcPr>
          <w:p>
            <w:pPr>
              <w:pStyle w:val="CeldaAPA"/>
              <w:jc w:val="left"/>
            </w:pPr>
            <w:r>
              <w:rPr/>
              <w:t xml:space="preserve">Cl. 25.ª del contrato (PAO2, p. 100).</w:t>
            </w:r>
          </w:p>
        </w:tc>
      </w:tr>
      <w:tr>
        <w:tc>
          <w:tcPr>
            <w:tcW w:w="9359" w:type="dxa"/>
            <w:gridSpan w:val="5"/>
          </w:tcPr>
          <w:p>
            <w:pPr>
              <w:pStyle w:val="CeldaAPA"/>
              <w:jc w:val="left"/>
            </w:pPr>
            <w:r>
              <w:rPr>
                <w:bCs/>
                <w:b/>
              </w:rPr>
              <w:t xml:space="preserve">6. Planificación</w:t>
            </w:r>
          </w:p>
        </w:tc>
      </w:tr>
      <w:tr>
        <w:tc>
          <w:tcPr>
            <w:tcW w:w="1251" w:type="dxa"/>
          </w:tcPr>
          <w:p>
            <w:pPr>
              <w:pStyle w:val="CeldaAPA"/>
              <w:jc w:val="left"/>
            </w:pPr>
            <w:r>
              <w:rPr/>
              <w:t xml:space="preserve">6.1 a</w:t>
            </w:r>
          </w:p>
        </w:tc>
        <w:tc>
          <w:tcPr>
            <w:tcW w:w="2203" w:type="dxa"/>
          </w:tcPr>
          <w:p>
            <w:pPr>
              <w:pStyle w:val="CeldaAPA"/>
              <w:jc w:val="left"/>
            </w:pPr>
            <w:r>
              <w:rPr/>
              <w:t xml:space="preserve">Determinar los riesgos y las oportunidades del proceso (suministro, precios, clima, cambios de diseño).</w:t>
            </w:r>
          </w:p>
        </w:tc>
        <w:tc>
          <w:tcPr>
            <w:tcW w:w="2707" w:type="dxa"/>
          </w:tcPr>
          <w:p>
            <w:pPr>
              <w:pStyle w:val="CeldaAPA"/>
              <w:jc w:val="left"/>
            </w:pPr>
            <w:r>
              <w:rPr/>
              <w:t xml:space="preserve">No hay matriz de riesgos. Se materializaron riesgos no previstos: viguetas inexistentes en el mercado en los tamaños requeridos (PAO2, p. 11), entrega del 30 % del acero pedido (carta de Las Lomas, Exp., p. 27) y demoras por combustible (PAO2, p. 123).</w:t>
            </w:r>
          </w:p>
        </w:tc>
        <w:tc>
          <w:tcPr>
            <w:tcW w:w="916" w:type="dxa"/>
          </w:tcPr>
          <w:p>
            <w:pPr>
              <w:pStyle w:val="CeldaAPA"/>
              <w:jc w:val="center"/>
            </w:pPr>
            <w:r>
              <w:rPr/>
              <w:t xml:space="preserve">0</w:t>
            </w:r>
          </w:p>
        </w:tc>
        <w:tc>
          <w:tcPr>
            <w:tcW w:w="2282" w:type="dxa"/>
          </w:tcPr>
          <w:p>
            <w:pPr>
              <w:pStyle w:val="CeldaAPA"/>
              <w:jc w:val="left"/>
            </w:pPr>
            <w:r>
              <w:rPr/>
              <w:t xml:space="preserve">—</w:t>
            </w:r>
          </w:p>
        </w:tc>
      </w:tr>
      <w:tr>
        <w:tc>
          <w:tcPr>
            <w:tcW w:w="1251" w:type="dxa"/>
          </w:tcPr>
          <w:p>
            <w:pPr>
              <w:pStyle w:val="CeldaAPA"/>
              <w:jc w:val="left"/>
            </w:pPr>
            <w:r>
              <w:rPr/>
              <w:t xml:space="preserve">6.1 b</w:t>
            </w:r>
          </w:p>
        </w:tc>
        <w:tc>
          <w:tcPr>
            <w:tcW w:w="2203" w:type="dxa"/>
          </w:tcPr>
          <w:p>
            <w:pPr>
              <w:pStyle w:val="CeldaAPA"/>
              <w:jc w:val="left"/>
            </w:pPr>
            <w:r>
              <w:rPr/>
              <w:t xml:space="preserve">Planificar acciones proporcionales a los riesgos, integrarlas en los procesos y evaluar su eficacia.</w:t>
            </w:r>
          </w:p>
        </w:tc>
        <w:tc>
          <w:tcPr>
            <w:tcW w:w="2707" w:type="dxa"/>
          </w:tcPr>
          <w:p>
            <w:pPr>
              <w:pStyle w:val="CeldaAPA"/>
              <w:jc w:val="left"/>
            </w:pPr>
            <w:r>
              <w:rPr/>
              <w:t xml:space="preserve">Sin evidencia; los eventos solo se tramitaron como causales de ampliación de plazo (PAO2, pp. 114–124), aunque la cl. 20.ª no los considera fuerza mayor (p. 96).</w:t>
            </w:r>
          </w:p>
        </w:tc>
        <w:tc>
          <w:tcPr>
            <w:tcW w:w="916" w:type="dxa"/>
          </w:tcPr>
          <w:p>
            <w:pPr>
              <w:pStyle w:val="CeldaAPA"/>
              <w:jc w:val="center"/>
            </w:pPr>
            <w:r>
              <w:rPr/>
              <w:t xml:space="preserve">0</w:t>
            </w:r>
          </w:p>
        </w:tc>
        <w:tc>
          <w:tcPr>
            <w:tcW w:w="2282" w:type="dxa"/>
          </w:tcPr>
          <w:p>
            <w:pPr>
              <w:pStyle w:val="CeldaAPA"/>
              <w:jc w:val="left"/>
            </w:pPr>
            <w:r>
              <w:rPr/>
              <w:t xml:space="preserve">—</w:t>
            </w:r>
          </w:p>
        </w:tc>
      </w:tr>
      <w:tr>
        <w:tc>
          <w:tcPr>
            <w:tcW w:w="1251" w:type="dxa"/>
          </w:tcPr>
          <w:p>
            <w:pPr>
              <w:pStyle w:val="CeldaAPA"/>
              <w:jc w:val="left"/>
            </w:pPr>
            <w:r>
              <w:rPr/>
              <w:t xml:space="preserve">6.2</w:t>
            </w:r>
          </w:p>
        </w:tc>
        <w:tc>
          <w:tcPr>
            <w:tcW w:w="2203" w:type="dxa"/>
          </w:tcPr>
          <w:p>
            <w:pPr>
              <w:pStyle w:val="CeldaAPA"/>
              <w:jc w:val="left"/>
            </w:pPr>
            <w:r>
              <w:rPr/>
              <w:t xml:space="preserve">Establecer objetivos de la calidad medibles (desperdicio, conformidad del hormigón, plazos de liberación) y planificar cómo lograrlos.</w:t>
            </w:r>
          </w:p>
        </w:tc>
        <w:tc>
          <w:tcPr>
            <w:tcW w:w="2707" w:type="dxa"/>
          </w:tcPr>
          <w:p>
            <w:pPr>
              <w:pStyle w:val="CeldaAPA"/>
              <w:jc w:val="left"/>
            </w:pPr>
            <w:r>
              <w:rPr/>
              <w:t xml:space="preserve">El único objetivo medido es el avance físico-financiero (PAO2, p. 10).</w:t>
            </w:r>
          </w:p>
        </w:tc>
        <w:tc>
          <w:tcPr>
            <w:tcW w:w="916" w:type="dxa"/>
          </w:tcPr>
          <w:p>
            <w:pPr>
              <w:pStyle w:val="CeldaAPA"/>
              <w:jc w:val="center"/>
            </w:pPr>
            <w:r>
              <w:rPr/>
              <w:t xml:space="preserve">0</w:t>
            </w:r>
          </w:p>
        </w:tc>
        <w:tc>
          <w:tcPr>
            <w:tcW w:w="2282" w:type="dxa"/>
          </w:tcPr>
          <w:p>
            <w:pPr>
              <w:pStyle w:val="CeldaAPA"/>
              <w:jc w:val="left"/>
            </w:pPr>
            <w:r>
              <w:rPr/>
              <w:t xml:space="preserve">—</w:t>
            </w:r>
          </w:p>
        </w:tc>
      </w:tr>
      <w:tr>
        <w:tc>
          <w:tcPr>
            <w:tcW w:w="1251" w:type="dxa"/>
          </w:tcPr>
          <w:p>
            <w:pPr>
              <w:pStyle w:val="CeldaAPA"/>
              <w:jc w:val="left"/>
            </w:pPr>
            <w:r>
              <w:rPr/>
              <w:t xml:space="preserve">6.3</w:t>
            </w:r>
          </w:p>
        </w:tc>
        <w:tc>
          <w:tcPr>
            <w:tcW w:w="2203" w:type="dxa"/>
          </w:tcPr>
          <w:p>
            <w:pPr>
              <w:pStyle w:val="CeldaAPA"/>
              <w:jc w:val="left"/>
            </w:pPr>
            <w:r>
              <w:rPr/>
              <w:t xml:space="preserve">Planificar y controlar los cambios que afectan al sistema o al producto.</w:t>
            </w:r>
          </w:p>
        </w:tc>
        <w:tc>
          <w:tcPr>
            <w:tcW w:w="2707" w:type="dxa"/>
          </w:tcPr>
          <w:p>
            <w:pPr>
              <w:pStyle w:val="CeldaAPA"/>
              <w:jc w:val="left"/>
            </w:pPr>
            <w:r>
              <w:rPr/>
              <w:t xml:space="preserve">Los cambios contractuales se tramitaron formalmente: contrato modificatorio N.</w:t>
            </w:r>
            <w:r>
              <w:rPr>
                <w:vertAlign w:val="superscript"/>
              </w:rPr>
              <w:t xml:space="preserve">o</w:t>
            </w:r>
            <w:r>
              <w:rPr/>
              <w:t xml:space="preserve"> 1 y dos ampliaciones de plazo (PAO2, pp. 4, 7). Los cambios técnicos de la losa (viguetas, complemento) no tienen registro (p. 11; p. 81; ET, p. 3).</w:t>
            </w:r>
          </w:p>
        </w:tc>
        <w:tc>
          <w:tcPr>
            <w:tcW w:w="916" w:type="dxa"/>
          </w:tcPr>
          <w:p>
            <w:pPr>
              <w:pStyle w:val="CeldaAPA"/>
              <w:jc w:val="center"/>
            </w:pPr>
            <w:r>
              <w:rPr/>
              <w:t xml:space="preserve">0,5</w:t>
            </w:r>
          </w:p>
        </w:tc>
        <w:tc>
          <w:tcPr>
            <w:tcW w:w="2282" w:type="dxa"/>
          </w:tcPr>
          <w:p>
            <w:pPr>
              <w:pStyle w:val="CeldaAPA"/>
              <w:jc w:val="left"/>
            </w:pPr>
            <w:r>
              <w:rPr/>
              <w:t xml:space="preserve">—</w:t>
            </w:r>
          </w:p>
        </w:tc>
      </w:tr>
      <w:tr>
        <w:tc>
          <w:tcPr>
            <w:tcW w:w="9359" w:type="dxa"/>
            <w:gridSpan w:val="5"/>
          </w:tcPr>
          <w:p>
            <w:pPr>
              <w:pStyle w:val="CeldaAPA"/>
              <w:jc w:val="left"/>
            </w:pPr>
            <w:r>
              <w:rPr>
                <w:bCs/>
                <w:b/>
              </w:rPr>
              <w:t xml:space="preserve">7. Apoyo</w:t>
            </w:r>
          </w:p>
        </w:tc>
      </w:tr>
      <w:tr>
        <w:tc>
          <w:tcPr>
            <w:tcW w:w="1251" w:type="dxa"/>
          </w:tcPr>
          <w:p>
            <w:pPr>
              <w:pStyle w:val="CeldaAPA"/>
              <w:jc w:val="left"/>
            </w:pPr>
            <w:r>
              <w:rPr/>
              <w:t xml:space="preserve">7.1.2 y 7.1.3</w:t>
            </w:r>
          </w:p>
        </w:tc>
        <w:tc>
          <w:tcPr>
            <w:tcW w:w="2203" w:type="dxa"/>
          </w:tcPr>
          <w:p>
            <w:pPr>
              <w:pStyle w:val="CeldaAPA"/>
              <w:jc w:val="left"/>
            </w:pPr>
            <w:r>
              <w:rPr/>
              <w:t xml:space="preserve">Proveer las personas y la infraestructura necesarias (frentes de trabajo, apuntalamiento, mezclado, transporte y vibrado del hormigón).</w:t>
            </w:r>
          </w:p>
        </w:tc>
        <w:tc>
          <w:tcPr>
            <w:tcW w:w="2707" w:type="dxa"/>
          </w:tcPr>
          <w:p>
            <w:pPr>
              <w:pStyle w:val="CeldaAPA"/>
              <w:jc w:val="left"/>
            </w:pPr>
            <w:r>
              <w:rPr/>
              <w:t xml:space="preserve">Dos frentes de obra civil y dos de vaciado de</w:t>
            </w:r>
            <w:r>
              <w:rPr/>
              <w:t xml:space="preserve"> </w:t>
            </w:r>
            <m:oMath>
              <m:r>
                <m:rPr>
                  <m:sty m:val="p"/>
                </m:rPr>
                <m:t>≈</m:t>
              </m:r>
            </m:oMath>
            <w:r>
              <w:rPr/>
              <w:t xml:space="preserve"> 6 trabajadores (PAO2, p. 9); apuntalamiento de madera, carretillas y vibrador en las fotografías (pp. 74–76). La Supervisión pidió más cuadrillas para recuperar el retraso (p. 11).</w:t>
            </w:r>
          </w:p>
        </w:tc>
        <w:tc>
          <w:tcPr>
            <w:tcW w:w="916" w:type="dxa"/>
          </w:tcPr>
          <w:p>
            <w:pPr>
              <w:pStyle w:val="CeldaAPA"/>
              <w:jc w:val="center"/>
            </w:pPr>
            <w:r>
              <w:rPr/>
              <w:t xml:space="preserve">0,5</w:t>
            </w:r>
          </w:p>
        </w:tc>
        <w:tc>
          <w:tcPr>
            <w:tcW w:w="2282" w:type="dxa"/>
          </w:tcPr>
          <w:p>
            <w:pPr>
              <w:pStyle w:val="CeldaAPA"/>
              <w:jc w:val="left"/>
            </w:pPr>
            <w:r>
              <w:rPr/>
              <w:t xml:space="preserve">Recursos presentes, pero insuficientes para el cronograma.</w:t>
            </w:r>
          </w:p>
        </w:tc>
      </w:tr>
      <w:tr>
        <w:tc>
          <w:tcPr>
            <w:tcW w:w="1251" w:type="dxa"/>
          </w:tcPr>
          <w:p>
            <w:pPr>
              <w:pStyle w:val="CeldaAPA"/>
              <w:jc w:val="left"/>
            </w:pPr>
            <w:r>
              <w:rPr/>
              <w:t xml:space="preserve">7.1.4</w:t>
            </w:r>
          </w:p>
        </w:tc>
        <w:tc>
          <w:tcPr>
            <w:tcW w:w="2203" w:type="dxa"/>
          </w:tcPr>
          <w:p>
            <w:pPr>
              <w:pStyle w:val="CeldaAPA"/>
              <w:jc w:val="left"/>
            </w:pPr>
            <w:r>
              <w:rPr/>
              <w:t xml:space="preserve">Mantener un ambiente adecuado para la operación (protección del hormigón ante lluvia y bajas temperaturas).</w:t>
            </w:r>
          </w:p>
        </w:tc>
        <w:tc>
          <w:tcPr>
            <w:tcW w:w="2707" w:type="dxa"/>
          </w:tcPr>
          <w:p>
            <w:pPr>
              <w:pStyle w:val="CeldaAPA"/>
              <w:jc w:val="left"/>
            </w:pPr>
            <w:r>
              <w:rPr/>
              <w:t xml:space="preserve">No hay previsiones de vaciado ni de curado en tiempo frío o con lluvia; solo el registro de las lluvias (PAO2, pp. 114–124).</w:t>
            </w:r>
          </w:p>
        </w:tc>
        <w:tc>
          <w:tcPr>
            <w:tcW w:w="916" w:type="dxa"/>
          </w:tcPr>
          <w:p>
            <w:pPr>
              <w:pStyle w:val="CeldaAPA"/>
              <w:jc w:val="center"/>
            </w:pPr>
            <w:r>
              <w:rPr/>
              <w:t xml:space="preserve">0</w:t>
            </w:r>
          </w:p>
        </w:tc>
        <w:tc>
          <w:tcPr>
            <w:tcW w:w="2282" w:type="dxa"/>
          </w:tcPr>
          <w:p>
            <w:pPr>
              <w:pStyle w:val="CeldaAPA"/>
              <w:jc w:val="left"/>
            </w:pPr>
            <w:r>
              <w:rPr/>
              <w:t xml:space="preserve">ACI 318-25 exige un plan de hormigonado en tiempo frío (p. 583).</w:t>
            </w:r>
          </w:p>
        </w:tc>
      </w:tr>
      <w:tr>
        <w:tc>
          <w:tcPr>
            <w:tcW w:w="1251" w:type="dxa"/>
          </w:tcPr>
          <w:p>
            <w:pPr>
              <w:pStyle w:val="CeldaAPA"/>
              <w:jc w:val="left"/>
            </w:pPr>
            <w:r>
              <w:rPr/>
              <w:t xml:space="preserve">7.1.5</w:t>
            </w:r>
          </w:p>
        </w:tc>
        <w:tc>
          <w:tcPr>
            <w:tcW w:w="2203" w:type="dxa"/>
          </w:tcPr>
          <w:p>
            <w:pPr>
              <w:pStyle w:val="CeldaAPA"/>
              <w:jc w:val="left"/>
            </w:pPr>
            <w:r>
              <w:rPr/>
              <w:t xml:space="preserve">Disponer de recursos de seguimiento y medición adecuados y de un muestreo confiable (laboratorio, moldes, cono de Abrams, balanzas).</w:t>
            </w:r>
          </w:p>
        </w:tc>
        <w:tc>
          <w:tcPr>
            <w:tcW w:w="2707" w:type="dxa"/>
          </w:tcPr>
          <w:p>
            <w:pPr>
              <w:pStyle w:val="CeldaAPA"/>
              <w:jc w:val="left"/>
            </w:pPr>
            <w:r>
              <w:rPr/>
              <w:t xml:space="preserve">Ensayos en el laboratorio de la UATF (PAO2, p. 78), con probetas «traídas y elaboradas por la empresa solicitante»; no constan equipos de obra ni su verificación.</w:t>
            </w:r>
          </w:p>
        </w:tc>
        <w:tc>
          <w:tcPr>
            <w:tcW w:w="916" w:type="dxa"/>
          </w:tcPr>
          <w:p>
            <w:pPr>
              <w:pStyle w:val="CeldaAPA"/>
              <w:jc w:val="center"/>
            </w:pPr>
            <w:r>
              <w:rPr/>
              <w:t xml:space="preserve">0,5</w:t>
            </w:r>
          </w:p>
        </w:tc>
        <w:tc>
          <w:tcPr>
            <w:tcW w:w="2282" w:type="dxa"/>
          </w:tcPr>
          <w:p>
            <w:pPr>
              <w:pStyle w:val="CeldaAPA"/>
              <w:jc w:val="left"/>
            </w:pPr>
            <w:r>
              <w:rPr/>
              <w:t xml:space="preserve">—</w:t>
            </w:r>
          </w:p>
        </w:tc>
      </w:tr>
      <w:tr>
        <w:tc>
          <w:tcPr>
            <w:tcW w:w="1251" w:type="dxa"/>
          </w:tcPr>
          <w:p>
            <w:pPr>
              <w:pStyle w:val="CeldaAPA"/>
              <w:jc w:val="left"/>
            </w:pPr>
            <w:r>
              <w:rPr/>
              <w:t xml:space="preserve">7.1.6</w:t>
            </w:r>
          </w:p>
        </w:tc>
        <w:tc>
          <w:tcPr>
            <w:tcW w:w="2203" w:type="dxa"/>
          </w:tcPr>
          <w:p>
            <w:pPr>
              <w:pStyle w:val="CeldaAPA"/>
              <w:jc w:val="left"/>
            </w:pPr>
            <w:r>
              <w:rPr/>
              <w:t xml:space="preserve">Determinar y mantener los conocimientos necesarios (instrucciones de montaje del fabricante, lecciones aprendidas).</w:t>
            </w:r>
          </w:p>
        </w:tc>
        <w:tc>
          <w:tcPr>
            <w:tcW w:w="2707" w:type="dxa"/>
          </w:tcPr>
          <w:p>
            <w:pPr>
              <w:pStyle w:val="CeldaAPA"/>
              <w:jc w:val="left"/>
            </w:pPr>
            <w:r>
              <w:rPr/>
              <w:t xml:space="preserve">El certificado de PRETENSA remite a los pasos de montaje del fabricante (PAO2, p. 80); no consta que estuvieran en obra.</w:t>
            </w:r>
          </w:p>
        </w:tc>
        <w:tc>
          <w:tcPr>
            <w:tcW w:w="916" w:type="dxa"/>
          </w:tcPr>
          <w:p>
            <w:pPr>
              <w:pStyle w:val="CeldaAPA"/>
              <w:jc w:val="center"/>
            </w:pPr>
            <w:r>
              <w:rPr/>
              <w:t xml:space="preserve">0</w:t>
            </w:r>
          </w:p>
        </w:tc>
        <w:tc>
          <w:tcPr>
            <w:tcW w:w="2282" w:type="dxa"/>
          </w:tcPr>
          <w:p>
            <w:pPr>
              <w:pStyle w:val="CeldaAPA"/>
              <w:jc w:val="left"/>
            </w:pPr>
            <w:r>
              <w:rPr/>
              <w:t xml:space="preserve">—</w:t>
            </w:r>
          </w:p>
        </w:tc>
      </w:tr>
      <w:tr>
        <w:tc>
          <w:tcPr>
            <w:tcW w:w="1251" w:type="dxa"/>
          </w:tcPr>
          <w:p>
            <w:pPr>
              <w:pStyle w:val="CeldaAPA"/>
              <w:jc w:val="left"/>
            </w:pPr>
            <w:r>
              <w:rPr/>
              <w:t xml:space="preserve">7.2</w:t>
            </w:r>
          </w:p>
        </w:tc>
        <w:tc>
          <w:tcPr>
            <w:tcW w:w="2203" w:type="dxa"/>
          </w:tcPr>
          <w:p>
            <w:pPr>
              <w:pStyle w:val="CeldaAPA"/>
              <w:jc w:val="left"/>
            </w:pPr>
            <w:r>
              <w:rPr/>
              <w:t xml:space="preserve">Determinar la competencia necesaria (armadores, encofradores, personal de vaciado y muestreo), asegurarla y conservar evidencia.</w:t>
            </w:r>
          </w:p>
        </w:tc>
        <w:tc>
          <w:tcPr>
            <w:tcW w:w="2707" w:type="dxa"/>
          </w:tcPr>
          <w:p>
            <w:pPr>
              <w:pStyle w:val="CeldaAPA"/>
              <w:jc w:val="left"/>
            </w:pPr>
            <w:r>
              <w:rPr/>
              <w:t xml:space="preserve">Solo se evalúa al Director de Obra («Buena», PAO2, p. 9); la Supervisión trabajó con apoyo de pasantes (p. 10); no hay registros de competencia ni de capacitación.</w:t>
            </w:r>
          </w:p>
        </w:tc>
        <w:tc>
          <w:tcPr>
            <w:tcW w:w="916" w:type="dxa"/>
          </w:tcPr>
          <w:p>
            <w:pPr>
              <w:pStyle w:val="CeldaAPA"/>
              <w:jc w:val="center"/>
            </w:pPr>
            <w:r>
              <w:rPr/>
              <w:t xml:space="preserve">0,5</w:t>
            </w:r>
          </w:p>
        </w:tc>
        <w:tc>
          <w:tcPr>
            <w:tcW w:w="2282" w:type="dxa"/>
          </w:tcPr>
          <w:p>
            <w:pPr>
              <w:pStyle w:val="CeldaAPA"/>
              <w:jc w:val="left"/>
            </w:pPr>
            <w:r>
              <w:rPr/>
              <w:t xml:space="preserve">—</w:t>
            </w:r>
          </w:p>
        </w:tc>
      </w:tr>
      <w:tr>
        <w:tc>
          <w:tcPr>
            <w:tcW w:w="1251" w:type="dxa"/>
          </w:tcPr>
          <w:p>
            <w:pPr>
              <w:pStyle w:val="CeldaAPA"/>
              <w:jc w:val="left"/>
            </w:pPr>
            <w:r>
              <w:rPr/>
              <w:t xml:space="preserve">7.3</w:t>
            </w:r>
          </w:p>
        </w:tc>
        <w:tc>
          <w:tcPr>
            <w:tcW w:w="2203" w:type="dxa"/>
          </w:tcPr>
          <w:p>
            <w:pPr>
              <w:pStyle w:val="CeldaAPA"/>
              <w:jc w:val="left"/>
            </w:pPr>
            <w:r>
              <w:rPr/>
              <w:t xml:space="preserve">Asegurar que el personal conozca la importancia de su trabajo para la calidad y las consecuencias de incumplir.</w:t>
            </w:r>
          </w:p>
        </w:tc>
        <w:tc>
          <w:tcPr>
            <w:tcW w:w="2707" w:type="dxa"/>
          </w:tcPr>
          <w:p>
            <w:pPr>
              <w:pStyle w:val="CeldaAPA"/>
              <w:jc w:val="left"/>
            </w:pPr>
            <w:r>
              <w:rPr/>
              <w:t xml:space="preserve">Sin evidencia; las fotografías muestran la parrilla pisada durante el vaciado y sin separadores visibles (PAO2, p. 76).</w:t>
            </w:r>
          </w:p>
        </w:tc>
        <w:tc>
          <w:tcPr>
            <w:tcW w:w="916" w:type="dxa"/>
          </w:tcPr>
          <w:p>
            <w:pPr>
              <w:pStyle w:val="CeldaAPA"/>
              <w:jc w:val="center"/>
            </w:pPr>
            <w:r>
              <w:rPr/>
              <w:t xml:space="preserve">0</w:t>
            </w:r>
          </w:p>
        </w:tc>
        <w:tc>
          <w:tcPr>
            <w:tcW w:w="2282" w:type="dxa"/>
          </w:tcPr>
          <w:p>
            <w:pPr>
              <w:pStyle w:val="CeldaAPA"/>
              <w:jc w:val="left"/>
            </w:pPr>
            <w:r>
              <w:rPr/>
              <w:t xml:space="preserve">Observación fotográfica a confirmar.</w:t>
            </w:r>
          </w:p>
        </w:tc>
      </w:tr>
      <w:tr>
        <w:tc>
          <w:tcPr>
            <w:tcW w:w="1251" w:type="dxa"/>
          </w:tcPr>
          <w:p>
            <w:pPr>
              <w:pStyle w:val="CeldaAPA"/>
              <w:jc w:val="left"/>
            </w:pPr>
            <w:r>
              <w:rPr/>
              <w:t xml:space="preserve">7.4</w:t>
            </w:r>
          </w:p>
        </w:tc>
        <w:tc>
          <w:tcPr>
            <w:tcW w:w="2203" w:type="dxa"/>
          </w:tcPr>
          <w:p>
            <w:pPr>
              <w:pStyle w:val="CeldaAPA"/>
              <w:jc w:val="left"/>
            </w:pPr>
            <w:r>
              <w:rPr/>
              <w:t xml:space="preserve">Definir la comunicación interna y externa (qué, cuándo, a quién, cómo y quién comunica).</w:t>
            </w:r>
          </w:p>
        </w:tc>
        <w:tc>
          <w:tcPr>
            <w:tcW w:w="2707" w:type="dxa"/>
          </w:tcPr>
          <w:p>
            <w:pPr>
              <w:pStyle w:val="CeldaAPA"/>
              <w:jc w:val="left"/>
            </w:pPr>
            <w:r>
              <w:rPr/>
              <w:t xml:space="preserve">El Libro de Órdenes funcionó como canal formal: 24 asientos con respuesta el mismo día (PAO2, pp. 114–125); hay cartas formales (pp. 2, 5, 12, 88). Encabezados vacíos y sin constancia del Director de Obra.</w:t>
            </w:r>
          </w:p>
        </w:tc>
        <w:tc>
          <w:tcPr>
            <w:tcW w:w="916" w:type="dxa"/>
          </w:tcPr>
          <w:p>
            <w:pPr>
              <w:pStyle w:val="CeldaAPA"/>
              <w:jc w:val="center"/>
            </w:pPr>
            <w:r>
              <w:rPr/>
              <w:t xml:space="preserve">0,5</w:t>
            </w:r>
          </w:p>
        </w:tc>
        <w:tc>
          <w:tcPr>
            <w:tcW w:w="2282" w:type="dxa"/>
          </w:tcPr>
          <w:p>
            <w:pPr>
              <w:pStyle w:val="CeldaAPA"/>
              <w:jc w:val="left"/>
            </w:pPr>
            <w:r>
              <w:rPr/>
              <w:t xml:space="preserve">Sin evidencia de comunicación interna con el personal.</w:t>
            </w:r>
          </w:p>
        </w:tc>
      </w:tr>
      <w:tr>
        <w:tc>
          <w:tcPr>
            <w:tcW w:w="1251" w:type="dxa"/>
          </w:tcPr>
          <w:p>
            <w:pPr>
              <w:pStyle w:val="CeldaAPA"/>
              <w:jc w:val="left"/>
            </w:pPr>
            <w:r>
              <w:rPr/>
              <w:t xml:space="preserve">7.5.2</w:t>
            </w:r>
          </w:p>
        </w:tc>
        <w:tc>
          <w:tcPr>
            <w:tcW w:w="2203" w:type="dxa"/>
          </w:tcPr>
          <w:p>
            <w:pPr>
              <w:pStyle w:val="CeldaAPA"/>
              <w:jc w:val="left"/>
            </w:pPr>
            <w:r>
              <w:rPr/>
              <w:t xml:space="preserve">Crear y actualizar la información documentada con identificación, fecha, revisión y aprobación.</w:t>
            </w:r>
          </w:p>
        </w:tc>
        <w:tc>
          <w:tcPr>
            <w:tcW w:w="2707" w:type="dxa"/>
          </w:tcPr>
          <w:p>
            <w:pPr>
              <w:pStyle w:val="CeldaAPA"/>
              <w:jc w:val="left"/>
            </w:pPr>
            <w:r>
              <w:rPr/>
              <w:t xml:space="preserve">Planillas, cómputos y croquis firmados y sellados (PAO2, pp. 14, 18–72), pero con errores: rótulo ZT10 repetido (p. 18), columna tipo 5 con 6 y 7 unidades (p. 38), hoja duplicada (pp. 51–52), anticipo de 10 % en un contrato sin anticipo (p. 14), desfase del periodo mal calculado (p. 10).</w:t>
            </w:r>
          </w:p>
        </w:tc>
        <w:tc>
          <w:tcPr>
            <w:tcW w:w="916" w:type="dxa"/>
          </w:tcPr>
          <w:p>
            <w:pPr>
              <w:pStyle w:val="CeldaAPA"/>
              <w:jc w:val="center"/>
            </w:pPr>
            <w:r>
              <w:rPr/>
              <w:t xml:space="preserve">0,5</w:t>
            </w:r>
          </w:p>
        </w:tc>
        <w:tc>
          <w:tcPr>
            <w:tcW w:w="2282" w:type="dxa"/>
          </w:tcPr>
          <w:p>
            <w:pPr>
              <w:pStyle w:val="CeldaAPA"/>
              <w:jc w:val="left"/>
            </w:pPr>
            <w:r>
              <w:rPr/>
              <w:t xml:space="preserve">—</w:t>
            </w:r>
          </w:p>
        </w:tc>
      </w:tr>
      <w:tr>
        <w:tc>
          <w:tcPr>
            <w:tcW w:w="1251" w:type="dxa"/>
          </w:tcPr>
          <w:p>
            <w:pPr>
              <w:pStyle w:val="CeldaAPA"/>
              <w:jc w:val="left"/>
            </w:pPr>
            <w:r>
              <w:rPr/>
              <w:t xml:space="preserve">7.5.3 a</w:t>
            </w:r>
          </w:p>
        </w:tc>
        <w:tc>
          <w:tcPr>
            <w:tcW w:w="2203" w:type="dxa"/>
          </w:tcPr>
          <w:p>
            <w:pPr>
              <w:pStyle w:val="CeldaAPA"/>
              <w:jc w:val="left"/>
            </w:pPr>
            <w:r>
              <w:rPr/>
              <w:t xml:space="preserve">Controlar la información documentada: versión vigente, coherencia entre documentos y normas actualizadas.</w:t>
            </w:r>
          </w:p>
        </w:tc>
        <w:tc>
          <w:tcPr>
            <w:tcW w:w="2707" w:type="dxa"/>
          </w:tcPr>
          <w:p>
            <w:pPr>
              <w:pStyle w:val="CeldaAPA"/>
              <w:jc w:val="left"/>
            </w:pPr>
            <w:r>
              <w:rPr/>
              <w:t xml:space="preserve">Tres geometrías del complemento: 100 </w:t>
            </w:r>
            <m:oMath>
              <m:r>
                <m:rPr>
                  <m:sty m:val="p"/>
                </m:rPr>
                <m:t>×</m:t>
              </m:r>
            </m:oMath>
            <w:r>
              <w:rPr/>
              <w:t xml:space="preserve"> 50 </w:t>
            </w:r>
            <m:oMath>
              <m:r>
                <m:rPr>
                  <m:sty m:val="p"/>
                </m:rPr>
                <m:t>×</m:t>
              </m:r>
            </m:oMath>
            <w:r>
              <w:rPr/>
              <w:t xml:space="preserve"> 20 cm (ET, p. 3), altura de 0,15 m (Plano 02) y 20 </w:t>
            </w:r>
            <m:oMath>
              <m:r>
                <m:rPr>
                  <m:sty m:val="p"/>
                </m:rPr>
                <m:t>×</m:t>
              </m:r>
            </m:oMath>
            <w:r>
              <w:rPr/>
              <w:t xml:space="preserve"> 100 </w:t>
            </w:r>
            <m:oMath>
              <m:r>
                <m:rPr>
                  <m:sty m:val="p"/>
                </m:rPr>
                <m:t>×</m:t>
              </m:r>
            </m:oMath>
            <w:r>
              <w:rPr/>
              <w:t xml:space="preserve"> 44 cm (PAO2, p. 81); la ET cita la CBH-87 y NB antiguas (pp. 1–2); dos versiones de la planilla de cierre con distinto descuento de acero (Exp., p. 2; PAO3); el archivo de cierre conserva una hoja de otro contrato (PAO3).</w:t>
            </w:r>
          </w:p>
        </w:tc>
        <w:tc>
          <w:tcPr>
            <w:tcW w:w="916" w:type="dxa"/>
          </w:tcPr>
          <w:p>
            <w:pPr>
              <w:pStyle w:val="CeldaAPA"/>
              <w:jc w:val="center"/>
            </w:pPr>
            <w:r>
              <w:rPr/>
              <w:t xml:space="preserve">0</w:t>
            </w:r>
          </w:p>
        </w:tc>
        <w:tc>
          <w:tcPr>
            <w:tcW w:w="2282" w:type="dxa"/>
          </w:tcPr>
          <w:p>
            <w:pPr>
              <w:pStyle w:val="CeldaAPA"/>
              <w:jc w:val="left"/>
            </w:pPr>
            <w:r>
              <w:rPr/>
              <w:t xml:space="preserve">—</w:t>
            </w:r>
          </w:p>
        </w:tc>
      </w:tr>
      <w:tr>
        <w:tc>
          <w:tcPr>
            <w:tcW w:w="1251" w:type="dxa"/>
          </w:tcPr>
          <w:p>
            <w:pPr>
              <w:pStyle w:val="CeldaAPA"/>
              <w:jc w:val="left"/>
            </w:pPr>
            <w:r>
              <w:rPr/>
              <w:t xml:space="preserve">7.5.3 b</w:t>
            </w:r>
          </w:p>
        </w:tc>
        <w:tc>
          <w:tcPr>
            <w:tcW w:w="2203" w:type="dxa"/>
          </w:tcPr>
          <w:p>
            <w:pPr>
              <w:pStyle w:val="CeldaAPA"/>
              <w:jc w:val="left"/>
            </w:pPr>
            <w:r>
              <w:rPr/>
              <w:t xml:space="preserve">Conservar los registros que evidencian la conformidad (recepción, inspección, ensayos, consumos, vaciado y curado).</w:t>
            </w:r>
          </w:p>
        </w:tc>
        <w:tc>
          <w:tcPr>
            <w:tcW w:w="2707" w:type="dxa"/>
          </w:tcPr>
          <w:p>
            <w:pPr>
              <w:pStyle w:val="CeldaAPA"/>
              <w:jc w:val="left"/>
            </w:pPr>
            <w:r>
              <w:rPr/>
              <w:t xml:space="preserve">No se encontraron registros de recepción, inspección del armado, consumos, vaciado ni curado de la losa (PAO2, pp. 1–139; Exp., pp. 1–29).</w:t>
            </w:r>
          </w:p>
        </w:tc>
        <w:tc>
          <w:tcPr>
            <w:tcW w:w="916" w:type="dxa"/>
          </w:tcPr>
          <w:p>
            <w:pPr>
              <w:pStyle w:val="CeldaAPA"/>
              <w:jc w:val="center"/>
            </w:pPr>
            <w:r>
              <w:rPr/>
              <w:t xml:space="preserve">0</w:t>
            </w:r>
          </w:p>
        </w:tc>
        <w:tc>
          <w:tcPr>
            <w:tcW w:w="2282" w:type="dxa"/>
          </w:tcPr>
          <w:p>
            <w:pPr>
              <w:pStyle w:val="CeldaAPA"/>
              <w:jc w:val="left"/>
            </w:pPr>
            <w:r>
              <w:rPr/>
              <w:t xml:space="preserve">Brecha central para la línea base.</w:t>
            </w:r>
          </w:p>
        </w:tc>
      </w:tr>
      <w:tr>
        <w:tc>
          <w:tcPr>
            <w:tcW w:w="9359" w:type="dxa"/>
            <w:gridSpan w:val="5"/>
          </w:tcPr>
          <w:p>
            <w:pPr>
              <w:pStyle w:val="CeldaAPA"/>
              <w:jc w:val="left"/>
            </w:pPr>
            <w:r>
              <w:rPr>
                <w:bCs/>
                <w:b/>
              </w:rPr>
              <w:t xml:space="preserve">8. Operación</w:t>
            </w:r>
          </w:p>
        </w:tc>
      </w:tr>
      <w:tr>
        <w:tc>
          <w:tcPr>
            <w:tcW w:w="1251" w:type="dxa"/>
          </w:tcPr>
          <w:p>
            <w:pPr>
              <w:pStyle w:val="CeldaAPA"/>
              <w:jc w:val="left"/>
            </w:pPr>
            <w:r>
              <w:rPr/>
              <w:t xml:space="preserve">8.1 a</w:t>
            </w:r>
          </w:p>
        </w:tc>
        <w:tc>
          <w:tcPr>
            <w:tcW w:w="2203" w:type="dxa"/>
          </w:tcPr>
          <w:p>
            <w:pPr>
              <w:pStyle w:val="CeldaAPA"/>
              <w:jc w:val="left"/>
            </w:pPr>
            <w:r>
              <w:rPr/>
              <w:t xml:space="preserve">Planificar el proceso de la losa: criterios de aceptación, controles y registros necesarios (plan de la calidad, PPI).</w:t>
            </w:r>
          </w:p>
        </w:tc>
        <w:tc>
          <w:tcPr>
            <w:tcW w:w="2707" w:type="dxa"/>
          </w:tcPr>
          <w:p>
            <w:pPr>
              <w:pStyle w:val="CeldaAPA"/>
              <w:jc w:val="left"/>
            </w:pPr>
            <w:r>
              <w:rPr/>
              <w:t xml:space="preserve">La ET fija criterios: f’c = 250 kg/cm</w:t>
            </w:r>
            <w:r>
              <w:rPr>
                <w:vertAlign w:val="superscript"/>
              </w:rPr>
              <w:t xml:space="preserve">2</w:t>
            </w:r>
            <w:r>
              <w:rPr/>
              <w:t xml:space="preserve">, cemento</w:t>
            </w:r>
            <w:r>
              <w:rPr/>
              <w:t xml:space="preserve"> </w:t>
            </w:r>
            <m:oMath>
              <m:r>
                <m:rPr>
                  <m:sty m:val="p"/>
                </m:rPr>
                <m:t>≥</m:t>
              </m:r>
            </m:oMath>
            <w:r>
              <w:rPr/>
              <w:t xml:space="preserve"> 400 kg/m</w:t>
            </w:r>
            <w:r>
              <w:rPr>
                <w:vertAlign w:val="superscript"/>
              </w:rPr>
              <w:t xml:space="preserve">3</w:t>
            </w:r>
            <w:r>
              <w:rPr/>
              <w:t xml:space="preserve">, vaciado por franjas y monolítico con las vigas (pp. 1–4). No hay plan de la calidad ni PPI.</w:t>
            </w:r>
          </w:p>
        </w:tc>
        <w:tc>
          <w:tcPr>
            <w:tcW w:w="916" w:type="dxa"/>
          </w:tcPr>
          <w:p>
            <w:pPr>
              <w:pStyle w:val="CeldaAPA"/>
              <w:jc w:val="center"/>
            </w:pPr>
            <w:r>
              <w:rPr/>
              <w:t xml:space="preserve">0,5</w:t>
            </w:r>
          </w:p>
        </w:tc>
        <w:tc>
          <w:tcPr>
            <w:tcW w:w="2282" w:type="dxa"/>
          </w:tcPr>
          <w:p>
            <w:pPr>
              <w:pStyle w:val="CeldaAPA"/>
              <w:jc w:val="left"/>
            </w:pPr>
            <w:r>
              <w:rPr/>
              <w:t xml:space="preserve">—</w:t>
            </w:r>
          </w:p>
        </w:tc>
      </w:tr>
      <w:tr>
        <w:tc>
          <w:tcPr>
            <w:tcW w:w="1251" w:type="dxa"/>
          </w:tcPr>
          <w:p>
            <w:pPr>
              <w:pStyle w:val="CeldaAPA"/>
              <w:jc w:val="left"/>
            </w:pPr>
            <w:r>
              <w:rPr/>
              <w:t xml:space="preserve">8.1 b</w:t>
            </w:r>
          </w:p>
        </w:tc>
        <w:tc>
          <w:tcPr>
            <w:tcW w:w="2203" w:type="dxa"/>
          </w:tcPr>
          <w:p>
            <w:pPr>
              <w:pStyle w:val="CeldaAPA"/>
              <w:jc w:val="left"/>
            </w:pPr>
            <w:r>
              <w:rPr/>
              <w:t xml:space="preserve">Determinar los materiales necesarios por paño (cantidades teóricas para pedido y control).</w:t>
            </w:r>
          </w:p>
        </w:tc>
        <w:tc>
          <w:tcPr>
            <w:tcW w:w="2707" w:type="dxa"/>
          </w:tcPr>
          <w:p>
            <w:pPr>
              <w:pStyle w:val="CeldaAPA"/>
              <w:jc w:val="left"/>
            </w:pPr>
            <w:r>
              <w:rPr/>
              <w:t xml:space="preserve">El cómputo del ítem 13 solo lista las áreas de los 41 paños (PAO2, pp. 28–29); no hay cantidades de viguetas, EPS, hormigón ni acero por paño.</w:t>
            </w:r>
          </w:p>
        </w:tc>
        <w:tc>
          <w:tcPr>
            <w:tcW w:w="916" w:type="dxa"/>
          </w:tcPr>
          <w:p>
            <w:pPr>
              <w:pStyle w:val="CeldaAPA"/>
              <w:jc w:val="center"/>
            </w:pPr>
            <w:r>
              <w:rPr/>
              <w:t xml:space="preserve">0</w:t>
            </w:r>
          </w:p>
        </w:tc>
        <w:tc>
          <w:tcPr>
            <w:tcW w:w="2282" w:type="dxa"/>
          </w:tcPr>
          <w:p>
            <w:pPr>
              <w:pStyle w:val="CeldaAPA"/>
              <w:jc w:val="left"/>
            </w:pPr>
            <w:r>
              <w:rPr/>
              <w:t xml:space="preserve">—</w:t>
            </w:r>
          </w:p>
        </w:tc>
      </w:tr>
      <w:tr>
        <w:tc>
          <w:tcPr>
            <w:tcW w:w="1251" w:type="dxa"/>
          </w:tcPr>
          <w:p>
            <w:pPr>
              <w:pStyle w:val="CeldaAPA"/>
              <w:jc w:val="left"/>
            </w:pPr>
            <w:r>
              <w:rPr/>
              <w:t xml:space="preserve">8.2.2 y 8.2.3</w:t>
            </w:r>
          </w:p>
        </w:tc>
        <w:tc>
          <w:tcPr>
            <w:tcW w:w="2203" w:type="dxa"/>
          </w:tcPr>
          <w:p>
            <w:pPr>
              <w:pStyle w:val="CeldaAPA"/>
              <w:jc w:val="left"/>
            </w:pPr>
            <w:r>
              <w:rPr/>
              <w:t xml:space="preserve">Determinar y revisar los requisitos del producto (contrato, ET, planos) antes de ejecutar, y resolver las diferencias.</w:t>
            </w:r>
          </w:p>
        </w:tc>
        <w:tc>
          <w:tcPr>
            <w:tcW w:w="2707" w:type="dxa"/>
          </w:tcPr>
          <w:p>
            <w:pPr>
              <w:pStyle w:val="CeldaAPA"/>
              <w:jc w:val="left"/>
            </w:pPr>
            <w:r>
              <w:rPr/>
              <w:t xml:space="preserve">Requisitos disponibles (PAO2, pp. 91–112; ET; planos 01 a 03), pero las discrepancias del complemento, de su altura y de las normas citadas no se resolvieron, pese a la consulta previa que exige la cl. 33.1 (p. 107).</w:t>
            </w:r>
          </w:p>
        </w:tc>
        <w:tc>
          <w:tcPr>
            <w:tcW w:w="916" w:type="dxa"/>
          </w:tcPr>
          <w:p>
            <w:pPr>
              <w:pStyle w:val="CeldaAPA"/>
              <w:jc w:val="center"/>
            </w:pPr>
            <w:r>
              <w:rPr/>
              <w:t xml:space="preserve">0,5</w:t>
            </w:r>
          </w:p>
        </w:tc>
        <w:tc>
          <w:tcPr>
            <w:tcW w:w="2282" w:type="dxa"/>
          </w:tcPr>
          <w:p>
            <w:pPr>
              <w:pStyle w:val="CeldaAPA"/>
              <w:jc w:val="left"/>
            </w:pPr>
            <w:r>
              <w:rPr/>
              <w:t xml:space="preserve">—</w:t>
            </w:r>
          </w:p>
        </w:tc>
      </w:tr>
      <w:tr>
        <w:tc>
          <w:tcPr>
            <w:tcW w:w="1251" w:type="dxa"/>
          </w:tcPr>
          <w:p>
            <w:pPr>
              <w:pStyle w:val="CeldaAPA"/>
              <w:jc w:val="left"/>
            </w:pPr>
            <w:r>
              <w:rPr/>
              <w:t xml:space="preserve">8.2.4</w:t>
            </w:r>
          </w:p>
        </w:tc>
        <w:tc>
          <w:tcPr>
            <w:tcW w:w="2203" w:type="dxa"/>
          </w:tcPr>
          <w:p>
            <w:pPr>
              <w:pStyle w:val="CeldaAPA"/>
              <w:jc w:val="left"/>
            </w:pPr>
            <w:r>
              <w:rPr/>
              <w:t xml:space="preserve">Actualizar la información y comunicarla cuando cambian los requisitos.</w:t>
            </w:r>
          </w:p>
        </w:tc>
        <w:tc>
          <w:tcPr>
            <w:tcW w:w="2707" w:type="dxa"/>
          </w:tcPr>
          <w:p>
            <w:pPr>
              <w:pStyle w:val="CeldaAPA"/>
              <w:jc w:val="left"/>
            </w:pPr>
            <w:r>
              <w:rPr/>
              <w:t xml:space="preserve">«Modificaciones estructurales» por falta de viguetas de los tamaños requeridos, sin documento que las describa (PAO2, p. 11); EPS distinto de la ET sin orden de cambio (p. 81).</w:t>
            </w:r>
          </w:p>
        </w:tc>
        <w:tc>
          <w:tcPr>
            <w:tcW w:w="916" w:type="dxa"/>
          </w:tcPr>
          <w:p>
            <w:pPr>
              <w:pStyle w:val="CeldaAPA"/>
              <w:jc w:val="center"/>
            </w:pPr>
            <w:r>
              <w:rPr/>
              <w:t xml:space="preserve">0</w:t>
            </w:r>
          </w:p>
        </w:tc>
        <w:tc>
          <w:tcPr>
            <w:tcW w:w="2282" w:type="dxa"/>
          </w:tcPr>
          <w:p>
            <w:pPr>
              <w:pStyle w:val="CeldaAPA"/>
              <w:jc w:val="left"/>
            </w:pPr>
            <w:r>
              <w:rPr/>
              <w:t xml:space="preserve">—</w:t>
            </w:r>
          </w:p>
        </w:tc>
      </w:tr>
      <w:tr>
        <w:tc>
          <w:tcPr>
            <w:tcW w:w="1251" w:type="dxa"/>
          </w:tcPr>
          <w:p>
            <w:pPr>
              <w:pStyle w:val="CeldaAPA"/>
              <w:jc w:val="left"/>
            </w:pPr>
            <w:r>
              <w:rPr/>
              <w:t xml:space="preserve">8.3</w:t>
            </w:r>
          </w:p>
        </w:tc>
        <w:tc>
          <w:tcPr>
            <w:tcW w:w="2203" w:type="dxa"/>
          </w:tcPr>
          <w:p>
            <w:pPr>
              <w:pStyle w:val="CeldaAPA"/>
              <w:jc w:val="left"/>
            </w:pPr>
            <w:r>
              <w:rPr/>
              <w:t xml:space="preserve">Diseño y desarrollo de los productos.</w:t>
            </w:r>
          </w:p>
        </w:tc>
        <w:tc>
          <w:tcPr>
            <w:tcW w:w="2707" w:type="dxa"/>
          </w:tcPr>
          <w:p>
            <w:pPr>
              <w:pStyle w:val="CeldaAPA"/>
              <w:jc w:val="left"/>
            </w:pPr>
            <w:r>
              <w:rPr/>
              <w:t xml:space="preserve">—</w:t>
            </w:r>
          </w:p>
        </w:tc>
        <w:tc>
          <w:tcPr>
            <w:tcW w:w="916" w:type="dxa"/>
          </w:tcPr>
          <w:p>
            <w:pPr>
              <w:pStyle w:val="CeldaAPA"/>
              <w:jc w:val="center"/>
            </w:pPr>
            <w:r>
              <w:rPr/>
              <w:t xml:space="preserve">NA</w:t>
            </w:r>
          </w:p>
        </w:tc>
        <w:tc>
          <w:tcPr>
            <w:tcW w:w="2282" w:type="dxa"/>
          </w:tcPr>
          <w:p>
            <w:pPr>
              <w:pStyle w:val="CeldaAPA"/>
              <w:jc w:val="left"/>
            </w:pPr>
            <w:r>
              <w:rPr/>
              <w:t xml:space="preserve">El diseño estructural corresponde al proyectista de la UATF.</w:t>
            </w:r>
          </w:p>
        </w:tc>
      </w:tr>
      <w:tr>
        <w:tc>
          <w:tcPr>
            <w:tcW w:w="1251" w:type="dxa"/>
          </w:tcPr>
          <w:p>
            <w:pPr>
              <w:pStyle w:val="CeldaAPA"/>
              <w:jc w:val="left"/>
            </w:pPr>
            <w:r>
              <w:rPr/>
              <w:t xml:space="preserve">8.4.1</w:t>
            </w:r>
          </w:p>
        </w:tc>
        <w:tc>
          <w:tcPr>
            <w:tcW w:w="2203" w:type="dxa"/>
          </w:tcPr>
          <w:p>
            <w:pPr>
              <w:pStyle w:val="CeldaAPA"/>
              <w:jc w:val="left"/>
            </w:pPr>
            <w:r>
              <w:rPr/>
              <w:t xml:space="preserve">Aplicar criterios para evaluar, seleccionar y hacer seguimiento a los proveedores externos.</w:t>
            </w:r>
          </w:p>
        </w:tc>
        <w:tc>
          <w:tcPr>
            <w:tcW w:w="2707" w:type="dxa"/>
          </w:tcPr>
          <w:p>
            <w:pPr>
              <w:pStyle w:val="CeldaAPA"/>
              <w:jc w:val="left"/>
            </w:pPr>
            <w:r>
              <w:rPr/>
              <w:t xml:space="preserve">Sin criterios documentados ni reevaluación tras los incumplimientos (acero entregado en 30 %, Exp., p. 27; viguetas no disponibles, PAO2, p. 11). La certificación NB 997 e ISO 9001 de PRETENSA (p. 80) es un atributo del proveedor, no un criterio registrado.</w:t>
            </w:r>
          </w:p>
        </w:tc>
        <w:tc>
          <w:tcPr>
            <w:tcW w:w="916" w:type="dxa"/>
          </w:tcPr>
          <w:p>
            <w:pPr>
              <w:pStyle w:val="CeldaAPA"/>
              <w:jc w:val="center"/>
            </w:pPr>
            <w:r>
              <w:rPr/>
              <w:t xml:space="preserve">0</w:t>
            </w:r>
          </w:p>
        </w:tc>
        <w:tc>
          <w:tcPr>
            <w:tcW w:w="2282" w:type="dxa"/>
          </w:tcPr>
          <w:p>
            <w:pPr>
              <w:pStyle w:val="CeldaAPA"/>
              <w:jc w:val="left"/>
            </w:pPr>
            <w:r>
              <w:rPr/>
              <w:t xml:space="preserve">—</w:t>
            </w:r>
          </w:p>
        </w:tc>
      </w:tr>
      <w:tr>
        <w:tc>
          <w:tcPr>
            <w:tcW w:w="1251" w:type="dxa"/>
          </w:tcPr>
          <w:p>
            <w:pPr>
              <w:pStyle w:val="CeldaAPA"/>
              <w:jc w:val="left"/>
            </w:pPr>
            <w:r>
              <w:rPr/>
              <w:t xml:space="preserve">8.4.2</w:t>
            </w:r>
          </w:p>
        </w:tc>
        <w:tc>
          <w:tcPr>
            <w:tcW w:w="2203" w:type="dxa"/>
          </w:tcPr>
          <w:p>
            <w:pPr>
              <w:pStyle w:val="CeldaAPA"/>
              <w:jc w:val="left"/>
            </w:pPr>
            <w:r>
              <w:rPr/>
              <w:t xml:space="preserve">Verificar lo suministrado antes de incorporarlo a la obra (certificados, inspección de recepción, ensayos).</w:t>
            </w:r>
          </w:p>
        </w:tc>
        <w:tc>
          <w:tcPr>
            <w:tcW w:w="2707" w:type="dxa"/>
          </w:tcPr>
          <w:p>
            <w:pPr>
              <w:pStyle w:val="CeldaAPA"/>
              <w:jc w:val="left"/>
            </w:pPr>
            <w:r>
              <w:rPr/>
              <w:t xml:space="preserve">Certificados de PRETENSA y UNICON del 27/11/2025, sin firma y posteriores al inicio del armado (14/11/2025) (PAO2, pp. 80–81, 122); certificados de acero de</w:t>
            </w:r>
            <w:r>
              <w:rPr/>
              <w:t xml:space="preserve"> </w:t>
            </w:r>
            <m:oMath>
              <m:r>
                <m:t>ϕ</m:t>
              </m:r>
            </m:oMath>
            <w:r>
              <w:rPr/>
              <w:t xml:space="preserve">20 a</w:t>
            </w:r>
            <w:r>
              <w:rPr/>
              <w:t xml:space="preserve"> </w:t>
            </w:r>
            <m:oMath>
              <m:r>
                <m:t>ϕ</m:t>
              </m:r>
            </m:oMath>
            <w:r>
              <w:rPr/>
              <w:t xml:space="preserve">8 (pp. 82–86), sin</w:t>
            </w:r>
            <w:r>
              <w:rPr/>
              <w:t xml:space="preserve"> </w:t>
            </w:r>
            <m:oMath>
              <m:r>
                <m:t>ϕ</m:t>
              </m:r>
            </m:oMath>
            <w:r>
              <w:rPr/>
              <w:t xml:space="preserve">6 ni</w:t>
            </w:r>
            <w:r>
              <w:rPr/>
              <w:t xml:space="preserve"> </w:t>
            </w:r>
            <m:oMath>
              <m:r>
                <m:t>ϕ</m:t>
              </m:r>
            </m:oMath>
            <w:r>
              <w:rPr/>
              <w:t xml:space="preserve">10; sin certificados de cemento ni áridos; sin inspección de recepción.</w:t>
            </w:r>
          </w:p>
        </w:tc>
        <w:tc>
          <w:tcPr>
            <w:tcW w:w="916" w:type="dxa"/>
          </w:tcPr>
          <w:p>
            <w:pPr>
              <w:pStyle w:val="CeldaAPA"/>
              <w:jc w:val="center"/>
            </w:pPr>
            <w:r>
              <w:rPr/>
              <w:t xml:space="preserve">0,5</w:t>
            </w:r>
          </w:p>
        </w:tc>
        <w:tc>
          <w:tcPr>
            <w:tcW w:w="2282" w:type="dxa"/>
          </w:tcPr>
          <w:p>
            <w:pPr>
              <w:pStyle w:val="CeldaAPA"/>
              <w:jc w:val="left"/>
            </w:pPr>
            <w:r>
              <w:rPr/>
              <w:t xml:space="preserve">Cl. 26.6 (PAO2, p. 102); ACI 318-25 (p. 587).</w:t>
            </w:r>
          </w:p>
        </w:tc>
      </w:tr>
      <w:tr>
        <w:tc>
          <w:tcPr>
            <w:tcW w:w="1251" w:type="dxa"/>
          </w:tcPr>
          <w:p>
            <w:pPr>
              <w:pStyle w:val="CeldaAPA"/>
              <w:jc w:val="left"/>
            </w:pPr>
            <w:r>
              <w:rPr/>
              <w:t xml:space="preserve">8.4.3</w:t>
            </w:r>
          </w:p>
        </w:tc>
        <w:tc>
          <w:tcPr>
            <w:tcW w:w="2203" w:type="dxa"/>
          </w:tcPr>
          <w:p>
            <w:pPr>
              <w:pStyle w:val="CeldaAPA"/>
              <w:jc w:val="left"/>
            </w:pPr>
            <w:r>
              <w:rPr/>
              <w:t xml:space="preserve">Comunicar a los proveedores los requisitos de lo que se compra (tipo, dimensiones, cantidad, aprobación).</w:t>
            </w:r>
          </w:p>
        </w:tc>
        <w:tc>
          <w:tcPr>
            <w:tcW w:w="2707" w:type="dxa"/>
          </w:tcPr>
          <w:p>
            <w:pPr>
              <w:pStyle w:val="CeldaAPA"/>
              <w:jc w:val="left"/>
            </w:pPr>
            <w:r>
              <w:rPr/>
              <w:t xml:space="preserve">No hay órdenes de compra; el EPS entregado (20 </w:t>
            </w:r>
            <m:oMath>
              <m:r>
                <m:rPr>
                  <m:sty m:val="p"/>
                </m:rPr>
                <m:t>×</m:t>
              </m:r>
            </m:oMath>
            <w:r>
              <w:rPr/>
              <w:t xml:space="preserve"> 100 </w:t>
            </w:r>
            <m:oMath>
              <m:r>
                <m:rPr>
                  <m:sty m:val="p"/>
                </m:rPr>
                <m:t>×</m:t>
              </m:r>
            </m:oMath>
            <w:r>
              <w:rPr/>
              <w:t xml:space="preserve"> 44 cm; 2.350 piezas) no coincide con la dimensión de la ET (PAO2, p. 81; ET, p. 3).</w:t>
            </w:r>
          </w:p>
        </w:tc>
        <w:tc>
          <w:tcPr>
            <w:tcW w:w="916" w:type="dxa"/>
          </w:tcPr>
          <w:p>
            <w:pPr>
              <w:pStyle w:val="CeldaAPA"/>
              <w:jc w:val="center"/>
            </w:pPr>
            <w:r>
              <w:rPr/>
              <w:t xml:space="preserve">0</w:t>
            </w:r>
          </w:p>
        </w:tc>
        <w:tc>
          <w:tcPr>
            <w:tcW w:w="2282" w:type="dxa"/>
          </w:tcPr>
          <w:p>
            <w:pPr>
              <w:pStyle w:val="CeldaAPA"/>
              <w:jc w:val="left"/>
            </w:pPr>
            <w:r>
              <w:rPr/>
              <w:t xml:space="preserve">—</w:t>
            </w:r>
          </w:p>
        </w:tc>
      </w:tr>
      <w:tr>
        <w:tc>
          <w:tcPr>
            <w:tcW w:w="1251" w:type="dxa"/>
          </w:tcPr>
          <w:p>
            <w:pPr>
              <w:pStyle w:val="CeldaAPA"/>
              <w:jc w:val="left"/>
            </w:pPr>
            <w:r>
              <w:rPr/>
              <w:t xml:space="preserve">8.5.1 a</w:t>
            </w:r>
          </w:p>
        </w:tc>
        <w:tc>
          <w:tcPr>
            <w:tcW w:w="2203" w:type="dxa"/>
          </w:tcPr>
          <w:p>
            <w:pPr>
              <w:pStyle w:val="CeldaAPA"/>
              <w:jc w:val="left"/>
            </w:pPr>
            <w:r>
              <w:rPr/>
              <w:t xml:space="preserve">Ejecutar en condiciones controladas: información disponible, seguimiento en las etapas apropiadas y personal competente.</w:t>
            </w:r>
          </w:p>
        </w:tc>
        <w:tc>
          <w:tcPr>
            <w:tcW w:w="2707" w:type="dxa"/>
          </w:tcPr>
          <w:p>
            <w:pPr>
              <w:pStyle w:val="CeldaAPA"/>
              <w:jc w:val="left"/>
            </w:pPr>
            <w:r>
              <w:rPr/>
              <w:t xml:space="preserve">Verificación del armado antes de cada vaciado, registrada en el Libro de Órdenes (PAO2, pp. 114–125), sin lista de verificación ni criterios; no consta la fecha del hormigonado de la losa (p. 125).</w:t>
            </w:r>
          </w:p>
        </w:tc>
        <w:tc>
          <w:tcPr>
            <w:tcW w:w="916" w:type="dxa"/>
          </w:tcPr>
          <w:p>
            <w:pPr>
              <w:pStyle w:val="CeldaAPA"/>
              <w:jc w:val="center"/>
            </w:pPr>
            <w:r>
              <w:rPr/>
              <w:t xml:space="preserve">0,5</w:t>
            </w:r>
          </w:p>
        </w:tc>
        <w:tc>
          <w:tcPr>
            <w:tcW w:w="2282" w:type="dxa"/>
          </w:tcPr>
          <w:p>
            <w:pPr>
              <w:pStyle w:val="CeldaAPA"/>
              <w:jc w:val="left"/>
            </w:pPr>
            <w:r>
              <w:rPr/>
              <w:t xml:space="preserve">—</w:t>
            </w:r>
          </w:p>
        </w:tc>
      </w:tr>
      <w:tr>
        <w:tc>
          <w:tcPr>
            <w:tcW w:w="1251" w:type="dxa"/>
          </w:tcPr>
          <w:p>
            <w:pPr>
              <w:pStyle w:val="CeldaAPA"/>
              <w:jc w:val="left"/>
            </w:pPr>
            <w:r>
              <w:rPr/>
              <w:t xml:space="preserve">8.5.1 b</w:t>
            </w:r>
          </w:p>
        </w:tc>
        <w:tc>
          <w:tcPr>
            <w:tcW w:w="2203" w:type="dxa"/>
          </w:tcPr>
          <w:p>
            <w:pPr>
              <w:pStyle w:val="CeldaAPA"/>
              <w:jc w:val="left"/>
            </w:pPr>
            <w:r>
              <w:rPr/>
              <w:t xml:space="preserve">Controlar el hormigón y validar el proceso de hormigonado: dosificación aprobada, asentamiento, muestreo, ensayos a 28 días y curado.</w:t>
            </w:r>
          </w:p>
        </w:tc>
        <w:tc>
          <w:tcPr>
            <w:tcW w:w="2707" w:type="dxa"/>
          </w:tcPr>
          <w:p>
            <w:pPr>
              <w:pStyle w:val="CeldaAPA"/>
              <w:jc w:val="left"/>
            </w:pPr>
            <w:r>
              <w:rPr/>
              <w:t xml:space="preserve">Dosificaciones no presentadas (PAO2, p. 9); instrucciones reiteradas sin registro (pp. 120, 121, 125); ninguna probeta de la losa; columnas y vigas ensayadas a 55–76 días (p. 78).</w:t>
            </w:r>
          </w:p>
        </w:tc>
        <w:tc>
          <w:tcPr>
            <w:tcW w:w="916" w:type="dxa"/>
          </w:tcPr>
          <w:p>
            <w:pPr>
              <w:pStyle w:val="CeldaAPA"/>
              <w:jc w:val="center"/>
            </w:pPr>
            <w:r>
              <w:rPr/>
              <w:t xml:space="preserve">0</w:t>
            </w:r>
          </w:p>
        </w:tc>
        <w:tc>
          <w:tcPr>
            <w:tcW w:w="2282" w:type="dxa"/>
          </w:tcPr>
          <w:p>
            <w:pPr>
              <w:pStyle w:val="CeldaAPA"/>
              <w:jc w:val="left"/>
            </w:pPr>
            <w:r>
              <w:rPr/>
              <w:t xml:space="preserve">ACI 318-25 (pp. 577, 601–603).</w:t>
            </w:r>
          </w:p>
        </w:tc>
      </w:tr>
      <w:tr>
        <w:tc>
          <w:tcPr>
            <w:tcW w:w="1251" w:type="dxa"/>
          </w:tcPr>
          <w:p>
            <w:pPr>
              <w:pStyle w:val="CeldaAPA"/>
              <w:jc w:val="left"/>
            </w:pPr>
            <w:r>
              <w:rPr/>
              <w:t xml:space="preserve">8.5.2</w:t>
            </w:r>
          </w:p>
        </w:tc>
        <w:tc>
          <w:tcPr>
            <w:tcW w:w="2203" w:type="dxa"/>
          </w:tcPr>
          <w:p>
            <w:pPr>
              <w:pStyle w:val="CeldaAPA"/>
              <w:jc w:val="left"/>
            </w:pPr>
            <w:r>
              <w:rPr/>
              <w:t xml:space="preserve">Identificar las salidas y su estado de inspección, y asegurar la trazabilidad de materiales y probetas.</w:t>
            </w:r>
          </w:p>
        </w:tc>
        <w:tc>
          <w:tcPr>
            <w:tcW w:w="2707" w:type="dxa"/>
          </w:tcPr>
          <w:p>
            <w:pPr>
              <w:pStyle w:val="CeldaAPA"/>
              <w:jc w:val="left"/>
            </w:pPr>
            <w:r>
              <w:rPr/>
              <w:t xml:space="preserve">Coladas identificadas en los certificados de acero (PAO2, pp. 82–86) sin vínculo con los elementos; probetas rotuladas solo «COLUMNA» o «VIGA» (p. 78).</w:t>
            </w:r>
          </w:p>
        </w:tc>
        <w:tc>
          <w:tcPr>
            <w:tcW w:w="916" w:type="dxa"/>
          </w:tcPr>
          <w:p>
            <w:pPr>
              <w:pStyle w:val="CeldaAPA"/>
              <w:jc w:val="center"/>
            </w:pPr>
            <w:r>
              <w:rPr/>
              <w:t xml:space="preserve">0</w:t>
            </w:r>
          </w:p>
        </w:tc>
        <w:tc>
          <w:tcPr>
            <w:tcW w:w="2282" w:type="dxa"/>
          </w:tcPr>
          <w:p>
            <w:pPr>
              <w:pStyle w:val="CeldaAPA"/>
              <w:jc w:val="left"/>
            </w:pPr>
            <w:r>
              <w:rPr/>
              <w:t xml:space="preserve">—</w:t>
            </w:r>
          </w:p>
        </w:tc>
      </w:tr>
      <w:tr>
        <w:tc>
          <w:tcPr>
            <w:tcW w:w="1251" w:type="dxa"/>
          </w:tcPr>
          <w:p>
            <w:pPr>
              <w:pStyle w:val="CeldaAPA"/>
              <w:jc w:val="left"/>
            </w:pPr>
            <w:r>
              <w:rPr/>
              <w:t xml:space="preserve">8.5.3</w:t>
            </w:r>
          </w:p>
        </w:tc>
        <w:tc>
          <w:tcPr>
            <w:tcW w:w="2203" w:type="dxa"/>
          </w:tcPr>
          <w:p>
            <w:pPr>
              <w:pStyle w:val="CeldaAPA"/>
              <w:jc w:val="left"/>
            </w:pPr>
            <w:r>
              <w:rPr/>
              <w:t xml:space="preserve">Cuidar la propiedad del cliente o de proveedores externos.</w:t>
            </w:r>
          </w:p>
        </w:tc>
        <w:tc>
          <w:tcPr>
            <w:tcW w:w="2707" w:type="dxa"/>
          </w:tcPr>
          <w:p>
            <w:pPr>
              <w:pStyle w:val="CeldaAPA"/>
              <w:jc w:val="left"/>
            </w:pPr>
            <w:r>
              <w:rPr/>
              <w:t xml:space="preserve">—</w:t>
            </w:r>
          </w:p>
        </w:tc>
        <w:tc>
          <w:tcPr>
            <w:tcW w:w="916" w:type="dxa"/>
          </w:tcPr>
          <w:p>
            <w:pPr>
              <w:pStyle w:val="CeldaAPA"/>
              <w:jc w:val="center"/>
            </w:pPr>
            <w:r>
              <w:rPr/>
              <w:t xml:space="preserve">NA</w:t>
            </w:r>
          </w:p>
        </w:tc>
        <w:tc>
          <w:tcPr>
            <w:tcW w:w="2282" w:type="dxa"/>
          </w:tcPr>
          <w:p>
            <w:pPr>
              <w:pStyle w:val="CeldaAPA"/>
              <w:jc w:val="left"/>
            </w:pPr>
            <w:r>
              <w:rPr/>
              <w:t xml:space="preserve">La UATF no suministró materiales ni equipos para la losa.</w:t>
            </w:r>
          </w:p>
        </w:tc>
      </w:tr>
      <w:tr>
        <w:tc>
          <w:tcPr>
            <w:tcW w:w="1251" w:type="dxa"/>
          </w:tcPr>
          <w:p>
            <w:pPr>
              <w:pStyle w:val="CeldaAPA"/>
              <w:jc w:val="left"/>
            </w:pPr>
            <w:r>
              <w:rPr/>
              <w:t xml:space="preserve">8.5.4</w:t>
            </w:r>
          </w:p>
        </w:tc>
        <w:tc>
          <w:tcPr>
            <w:tcW w:w="2203" w:type="dxa"/>
          </w:tcPr>
          <w:p>
            <w:pPr>
              <w:pStyle w:val="CeldaAPA"/>
              <w:jc w:val="left"/>
            </w:pPr>
            <w:r>
              <w:rPr/>
              <w:t xml:space="preserve">Preservar los materiales y el producto (acopio, protección, curado).</w:t>
            </w:r>
          </w:p>
        </w:tc>
        <w:tc>
          <w:tcPr>
            <w:tcW w:w="2707" w:type="dxa"/>
          </w:tcPr>
          <w:p>
            <w:pPr>
              <w:pStyle w:val="CeldaAPA"/>
              <w:jc w:val="left"/>
            </w:pPr>
            <w:r>
              <w:rPr/>
              <w:t xml:space="preserve">Plan de acopio limitado a «transportar el material y ubicarlo cerca de la obra» (PAO2, p. 10); material y restos dispersos en las fotografías (pp. 75–76); sin registro de curado.</w:t>
            </w:r>
          </w:p>
        </w:tc>
        <w:tc>
          <w:tcPr>
            <w:tcW w:w="916" w:type="dxa"/>
          </w:tcPr>
          <w:p>
            <w:pPr>
              <w:pStyle w:val="CeldaAPA"/>
              <w:jc w:val="center"/>
            </w:pPr>
            <w:r>
              <w:rPr/>
              <w:t xml:space="preserve">0</w:t>
            </w:r>
          </w:p>
        </w:tc>
        <w:tc>
          <w:tcPr>
            <w:tcW w:w="2282" w:type="dxa"/>
          </w:tcPr>
          <w:p>
            <w:pPr>
              <w:pStyle w:val="CeldaAPA"/>
              <w:jc w:val="left"/>
            </w:pPr>
            <w:r>
              <w:rPr/>
              <w:t xml:space="preserve">Cl. 26.9 (PAO2, p. 102).</w:t>
            </w:r>
          </w:p>
        </w:tc>
      </w:tr>
      <w:tr>
        <w:tc>
          <w:tcPr>
            <w:tcW w:w="1251" w:type="dxa"/>
          </w:tcPr>
          <w:p>
            <w:pPr>
              <w:pStyle w:val="CeldaAPA"/>
              <w:jc w:val="left"/>
            </w:pPr>
            <w:r>
              <w:rPr/>
              <w:t xml:space="preserve">8.5.6</w:t>
            </w:r>
          </w:p>
        </w:tc>
        <w:tc>
          <w:tcPr>
            <w:tcW w:w="2203" w:type="dxa"/>
          </w:tcPr>
          <w:p>
            <w:pPr>
              <w:pStyle w:val="CeldaAPA"/>
              <w:jc w:val="left"/>
            </w:pPr>
            <w:r>
              <w:rPr/>
              <w:t xml:space="preserve">Revisar y controlar los cambios no planificados en la ejecución.</w:t>
            </w:r>
          </w:p>
        </w:tc>
        <w:tc>
          <w:tcPr>
            <w:tcW w:w="2707" w:type="dxa"/>
          </w:tcPr>
          <w:p>
            <w:pPr>
              <w:pStyle w:val="CeldaAPA"/>
              <w:jc w:val="left"/>
            </w:pPr>
            <w:r>
              <w:rPr/>
              <w:t xml:space="preserve">Modificación estructural y cambio de complemento sin registro (PAO2, pp. 11, 81); vaciado «desde dos frentes» sin plan de juntas (p. 125).</w:t>
            </w:r>
          </w:p>
        </w:tc>
        <w:tc>
          <w:tcPr>
            <w:tcW w:w="916" w:type="dxa"/>
          </w:tcPr>
          <w:p>
            <w:pPr>
              <w:pStyle w:val="CeldaAPA"/>
              <w:jc w:val="center"/>
            </w:pPr>
            <w:r>
              <w:rPr/>
              <w:t xml:space="preserve">0</w:t>
            </w:r>
          </w:p>
        </w:tc>
        <w:tc>
          <w:tcPr>
            <w:tcW w:w="2282" w:type="dxa"/>
          </w:tcPr>
          <w:p>
            <w:pPr>
              <w:pStyle w:val="CeldaAPA"/>
              <w:jc w:val="left"/>
            </w:pPr>
            <w:r>
              <w:rPr/>
              <w:t xml:space="preserve">—</w:t>
            </w:r>
          </w:p>
        </w:tc>
      </w:tr>
      <w:tr>
        <w:tc>
          <w:tcPr>
            <w:tcW w:w="1251" w:type="dxa"/>
          </w:tcPr>
          <w:p>
            <w:pPr>
              <w:pStyle w:val="CeldaAPA"/>
              <w:jc w:val="left"/>
            </w:pPr>
            <w:r>
              <w:rPr/>
              <w:t xml:space="preserve">8.6</w:t>
            </w:r>
          </w:p>
        </w:tc>
        <w:tc>
          <w:tcPr>
            <w:tcW w:w="2203" w:type="dxa"/>
          </w:tcPr>
          <w:p>
            <w:pPr>
              <w:pStyle w:val="CeldaAPA"/>
              <w:jc w:val="left"/>
            </w:pPr>
            <w:r>
              <w:rPr/>
              <w:t xml:space="preserve">Liberar cada etapa solo después de verificar los requisitos, con registro de quién autoriza.</w:t>
            </w:r>
          </w:p>
        </w:tc>
        <w:tc>
          <w:tcPr>
            <w:tcW w:w="2707" w:type="dxa"/>
          </w:tcPr>
          <w:p>
            <w:pPr>
              <w:pStyle w:val="CeldaAPA"/>
              <w:jc w:val="left"/>
            </w:pPr>
            <w:r>
              <w:rPr/>
              <w:t xml:space="preserve">Ocho autorizaciones de vaciado firmadas por la Supervisión (PAO2, pp. 114–125); la losa se certificó para pago el 08/12/2025 (p. 16) antes de que pudiera existir un ensayo a 28 días (26/12/2025).</w:t>
            </w:r>
          </w:p>
        </w:tc>
        <w:tc>
          <w:tcPr>
            <w:tcW w:w="916" w:type="dxa"/>
          </w:tcPr>
          <w:p>
            <w:pPr>
              <w:pStyle w:val="CeldaAPA"/>
              <w:jc w:val="center"/>
            </w:pPr>
            <w:r>
              <w:rPr/>
              <w:t xml:space="preserve">0,5</w:t>
            </w:r>
          </w:p>
        </w:tc>
        <w:tc>
          <w:tcPr>
            <w:tcW w:w="2282" w:type="dxa"/>
          </w:tcPr>
          <w:p>
            <w:pPr>
              <w:pStyle w:val="CeldaAPA"/>
              <w:jc w:val="left"/>
            </w:pPr>
            <w:r>
              <w:rPr/>
              <w:t xml:space="preserve">—</w:t>
            </w:r>
          </w:p>
        </w:tc>
      </w:tr>
      <w:tr>
        <w:tc>
          <w:tcPr>
            <w:tcW w:w="1251" w:type="dxa"/>
          </w:tcPr>
          <w:p>
            <w:pPr>
              <w:pStyle w:val="CeldaAPA"/>
              <w:jc w:val="left"/>
            </w:pPr>
            <w:r>
              <w:rPr/>
              <w:t xml:space="preserve">8.7</w:t>
            </w:r>
          </w:p>
        </w:tc>
        <w:tc>
          <w:tcPr>
            <w:tcW w:w="2203" w:type="dxa"/>
          </w:tcPr>
          <w:p>
            <w:pPr>
              <w:pStyle w:val="CeldaAPA"/>
              <w:jc w:val="left"/>
            </w:pPr>
            <w:r>
              <w:rPr/>
              <w:t xml:space="preserve">Identificar y controlar las salidas no conformes y registrar su tratamiento.</w:t>
            </w:r>
          </w:p>
        </w:tc>
        <w:tc>
          <w:tcPr>
            <w:tcW w:w="2707" w:type="dxa"/>
          </w:tcPr>
          <w:p>
            <w:pPr>
              <w:pStyle w:val="CeldaAPA"/>
              <w:jc w:val="left"/>
            </w:pPr>
            <w:r>
              <w:rPr/>
              <w:t xml:space="preserve">Ningún rechazo, no conformidad ni retrabajo registrado en los 24 asientos (PAO2, pp. 114–125) ni en el informe de Supervisión (pp. 6–11).</w:t>
            </w:r>
          </w:p>
        </w:tc>
        <w:tc>
          <w:tcPr>
            <w:tcW w:w="916" w:type="dxa"/>
          </w:tcPr>
          <w:p>
            <w:pPr>
              <w:pStyle w:val="CeldaAPA"/>
              <w:jc w:val="center"/>
            </w:pPr>
            <w:r>
              <w:rPr/>
              <w:t xml:space="preserve">0</w:t>
            </w:r>
          </w:p>
        </w:tc>
        <w:tc>
          <w:tcPr>
            <w:tcW w:w="2282" w:type="dxa"/>
          </w:tcPr>
          <w:p>
            <w:pPr>
              <w:pStyle w:val="CeldaAPA"/>
              <w:jc w:val="left"/>
            </w:pPr>
            <w:r>
              <w:rPr/>
              <w:t xml:space="preserve">—</w:t>
            </w:r>
          </w:p>
        </w:tc>
      </w:tr>
      <w:tr>
        <w:tc>
          <w:tcPr>
            <w:tcW w:w="9359" w:type="dxa"/>
            <w:gridSpan w:val="5"/>
          </w:tcPr>
          <w:p>
            <w:pPr>
              <w:pStyle w:val="CeldaAPA"/>
              <w:jc w:val="left"/>
            </w:pPr>
            <w:r>
              <w:rPr>
                <w:bCs/>
                <w:b/>
              </w:rPr>
              <w:t xml:space="preserve">9. Evaluación del desempeño</w:t>
            </w:r>
          </w:p>
        </w:tc>
      </w:tr>
      <w:tr>
        <w:tc>
          <w:tcPr>
            <w:tcW w:w="1251" w:type="dxa"/>
          </w:tcPr>
          <w:p>
            <w:pPr>
              <w:pStyle w:val="CeldaAPA"/>
              <w:jc w:val="left"/>
            </w:pPr>
            <w:r>
              <w:rPr/>
              <w:t xml:space="preserve">9.1.1 a</w:t>
            </w:r>
          </w:p>
        </w:tc>
        <w:tc>
          <w:tcPr>
            <w:tcW w:w="2203" w:type="dxa"/>
          </w:tcPr>
          <w:p>
            <w:pPr>
              <w:pStyle w:val="CeldaAPA"/>
              <w:jc w:val="left"/>
            </w:pPr>
            <w:r>
              <w:rPr/>
              <w:t xml:space="preserve">Determinar qué se mide (calidad, desperdicio, costos), con qué métodos y cuándo se analizan los resultados.</w:t>
            </w:r>
          </w:p>
        </w:tc>
        <w:tc>
          <w:tcPr>
            <w:tcW w:w="2707" w:type="dxa"/>
          </w:tcPr>
          <w:p>
            <w:pPr>
              <w:pStyle w:val="CeldaAPA"/>
              <w:jc w:val="left"/>
            </w:pPr>
            <w:r>
              <w:rPr/>
              <w:t xml:space="preserve">Solo se mide el avance físico-financiero por planillas (PAO2, pp. 10, 16).</w:t>
            </w:r>
          </w:p>
        </w:tc>
        <w:tc>
          <w:tcPr>
            <w:tcW w:w="916" w:type="dxa"/>
          </w:tcPr>
          <w:p>
            <w:pPr>
              <w:pStyle w:val="CeldaAPA"/>
              <w:jc w:val="center"/>
            </w:pPr>
            <w:r>
              <w:rPr/>
              <w:t xml:space="preserve">0,5</w:t>
            </w:r>
          </w:p>
        </w:tc>
        <w:tc>
          <w:tcPr>
            <w:tcW w:w="2282" w:type="dxa"/>
          </w:tcPr>
          <w:p>
            <w:pPr>
              <w:pStyle w:val="CeldaAPA"/>
              <w:jc w:val="left"/>
            </w:pPr>
            <w:r>
              <w:rPr/>
              <w:t xml:space="preserve">Sin indicadores de calidad ni de desperdicio.</w:t>
            </w:r>
          </w:p>
        </w:tc>
      </w:tr>
      <w:tr>
        <w:tc>
          <w:tcPr>
            <w:tcW w:w="1251" w:type="dxa"/>
          </w:tcPr>
          <w:p>
            <w:pPr>
              <w:pStyle w:val="CeldaAPA"/>
              <w:jc w:val="left"/>
            </w:pPr>
            <w:r>
              <w:rPr/>
              <w:t xml:space="preserve">9.1.1 b</w:t>
            </w:r>
          </w:p>
        </w:tc>
        <w:tc>
          <w:tcPr>
            <w:tcW w:w="2203" w:type="dxa"/>
          </w:tcPr>
          <w:p>
            <w:pPr>
              <w:pStyle w:val="CeldaAPA"/>
              <w:jc w:val="left"/>
            </w:pPr>
            <w:r>
              <w:rPr/>
              <w:t xml:space="preserve">Medir y conciliar las cantidades ejecutadas (medición conjunta, neta y con respaldo) antes de cada planilla.</w:t>
            </w:r>
          </w:p>
        </w:tc>
        <w:tc>
          <w:tcPr>
            <w:tcW w:w="2707" w:type="dxa"/>
          </w:tcPr>
          <w:p>
            <w:pPr>
              <w:pStyle w:val="CeldaAPA"/>
              <w:jc w:val="left"/>
            </w:pPr>
            <w:r>
              <w:rPr/>
              <w:t xml:space="preserve">Cómputos firmados por contratista, Supervisión y Fiscal (PAO2, pp. 18–32), pero el acero de la losa sin planilla de armado (p. 20), correcciones posteriores (ítem 4:</w:t>
            </w:r>
            <w:r>
              <w:rPr/>
              <w:t xml:space="preserve"> </w:t>
            </w:r>
            <m:oMath>
              <m:r>
                <m:rPr>
                  <m:sty m:val="p"/>
                </m:rPr>
                <m:t>−</m:t>
              </m:r>
            </m:oMath>
            <w:r>
              <w:rPr/>
              <w:t xml:space="preserve">5,66 m</w:t>
            </w:r>
            <w:r>
              <w:rPr>
                <w:vertAlign w:val="superscript"/>
              </w:rPr>
              <w:t xml:space="preserve">3</w:t>
            </w:r>
            <w:r>
              <w:rPr/>
              <w:t xml:space="preserve">; acero:</w:t>
            </w:r>
            <w:r>
              <w:rPr/>
              <w:t xml:space="preserve"> </w:t>
            </w:r>
            <m:oMath>
              <m:r>
                <m:rPr>
                  <m:sty m:val="p"/>
                </m:rPr>
                <m:t>−</m:t>
              </m:r>
            </m:oMath>
            <w:r>
              <w:rPr/>
              <w:t xml:space="preserve">1.862,81 kg en la planilla de cierre firmada y</w:t>
            </w:r>
            <w:r>
              <w:rPr/>
              <w:t xml:space="preserve"> </w:t>
            </w:r>
            <m:oMath>
              <m:r>
                <m:rPr>
                  <m:sty m:val="p"/>
                </m:rPr>
                <m:t>−</m:t>
              </m:r>
            </m:oMath>
            <w:r>
              <w:rPr/>
              <w:t xml:space="preserve">1.915,16 kg en su versión digital) y tres cifras distintas del acero acumulado (p. 16; PAO3; Exp., pp. 2, 12).</w:t>
            </w:r>
          </w:p>
        </w:tc>
        <w:tc>
          <w:tcPr>
            <w:tcW w:w="916" w:type="dxa"/>
          </w:tcPr>
          <w:p>
            <w:pPr>
              <w:pStyle w:val="CeldaAPA"/>
              <w:jc w:val="center"/>
            </w:pPr>
            <w:r>
              <w:rPr/>
              <w:t xml:space="preserve">0,5</w:t>
            </w:r>
          </w:p>
        </w:tc>
        <w:tc>
          <w:tcPr>
            <w:tcW w:w="2282" w:type="dxa"/>
          </w:tcPr>
          <w:p>
            <w:pPr>
              <w:pStyle w:val="CeldaAPA"/>
              <w:jc w:val="left"/>
            </w:pPr>
            <w:r>
              <w:rPr/>
              <w:t xml:space="preserve">Cl. 27.ª (PAO2, p. 99).</w:t>
            </w:r>
          </w:p>
        </w:tc>
      </w:tr>
      <w:tr>
        <w:tc>
          <w:tcPr>
            <w:tcW w:w="1251" w:type="dxa"/>
          </w:tcPr>
          <w:p>
            <w:pPr>
              <w:pStyle w:val="CeldaAPA"/>
              <w:jc w:val="left"/>
            </w:pPr>
            <w:r>
              <w:rPr/>
              <w:t xml:space="preserve">9.1.2</w:t>
            </w:r>
          </w:p>
        </w:tc>
        <w:tc>
          <w:tcPr>
            <w:tcW w:w="2203" w:type="dxa"/>
          </w:tcPr>
          <w:p>
            <w:pPr>
              <w:pStyle w:val="CeldaAPA"/>
              <w:jc w:val="left"/>
            </w:pPr>
            <w:r>
              <w:rPr/>
              <w:t xml:space="preserve">Hacer seguimiento de la percepción del cliente sobre el cumplimiento de sus requisitos.</w:t>
            </w:r>
          </w:p>
        </w:tc>
        <w:tc>
          <w:tcPr>
            <w:tcW w:w="2707" w:type="dxa"/>
          </w:tcPr>
          <w:p>
            <w:pPr>
              <w:pStyle w:val="CeldaAPA"/>
              <w:jc w:val="left"/>
            </w:pPr>
            <w:r>
              <w:rPr/>
              <w:t xml:space="preserve">El informe de Supervisión califica los trabajos de «buena calidad» y evalúa al Director de Obra (PAO2, pp. 9, 11), sin evidencia objetiva que respalde la calificación.</w:t>
            </w:r>
          </w:p>
        </w:tc>
        <w:tc>
          <w:tcPr>
            <w:tcW w:w="916" w:type="dxa"/>
          </w:tcPr>
          <w:p>
            <w:pPr>
              <w:pStyle w:val="CeldaAPA"/>
              <w:jc w:val="center"/>
            </w:pPr>
            <w:r>
              <w:rPr/>
              <w:t xml:space="preserve">0,5</w:t>
            </w:r>
          </w:p>
        </w:tc>
        <w:tc>
          <w:tcPr>
            <w:tcW w:w="2282" w:type="dxa"/>
          </w:tcPr>
          <w:p>
            <w:pPr>
              <w:pStyle w:val="CeldaAPA"/>
              <w:jc w:val="left"/>
            </w:pPr>
            <w:r>
              <w:rPr/>
              <w:t xml:space="preserve">—</w:t>
            </w:r>
          </w:p>
        </w:tc>
      </w:tr>
      <w:tr>
        <w:tc>
          <w:tcPr>
            <w:tcW w:w="1251" w:type="dxa"/>
          </w:tcPr>
          <w:p>
            <w:pPr>
              <w:pStyle w:val="CeldaAPA"/>
              <w:jc w:val="left"/>
            </w:pPr>
            <w:r>
              <w:rPr/>
              <w:t xml:space="preserve">9.1.3</w:t>
            </w:r>
          </w:p>
        </w:tc>
        <w:tc>
          <w:tcPr>
            <w:tcW w:w="2203" w:type="dxa"/>
          </w:tcPr>
          <w:p>
            <w:pPr>
              <w:pStyle w:val="CeldaAPA"/>
              <w:jc w:val="left"/>
            </w:pPr>
            <w:r>
              <w:rPr/>
              <w:t xml:space="preserve">Analizar y evaluar los datos (conformidad, desempeño de proveedores, eficacia de las acciones).</w:t>
            </w:r>
          </w:p>
        </w:tc>
        <w:tc>
          <w:tcPr>
            <w:tcW w:w="2707" w:type="dxa"/>
          </w:tcPr>
          <w:p>
            <w:pPr>
              <w:pStyle w:val="CeldaAPA"/>
              <w:jc w:val="left"/>
            </w:pPr>
            <w:r>
              <w:rPr/>
              <w:t xml:space="preserve">Sin evidencia; el desfase del periodo se calculó mal: 3,03 % en lugar de 1,07 % (PAO2, p. 10).</w:t>
            </w:r>
          </w:p>
        </w:tc>
        <w:tc>
          <w:tcPr>
            <w:tcW w:w="916" w:type="dxa"/>
          </w:tcPr>
          <w:p>
            <w:pPr>
              <w:pStyle w:val="CeldaAPA"/>
              <w:jc w:val="center"/>
            </w:pPr>
            <w:r>
              <w:rPr/>
              <w:t xml:space="preserve">0</w:t>
            </w:r>
          </w:p>
        </w:tc>
        <w:tc>
          <w:tcPr>
            <w:tcW w:w="2282" w:type="dxa"/>
          </w:tcPr>
          <w:p>
            <w:pPr>
              <w:pStyle w:val="CeldaAPA"/>
              <w:jc w:val="left"/>
            </w:pPr>
            <w:r>
              <w:rPr/>
              <w:t xml:space="preserve">—</w:t>
            </w:r>
          </w:p>
        </w:tc>
      </w:tr>
      <w:tr>
        <w:tc>
          <w:tcPr>
            <w:tcW w:w="1251" w:type="dxa"/>
          </w:tcPr>
          <w:p>
            <w:pPr>
              <w:pStyle w:val="CeldaAPA"/>
              <w:jc w:val="left"/>
            </w:pPr>
            <w:r>
              <w:rPr/>
              <w:t xml:space="preserve">9.2</w:t>
            </w:r>
          </w:p>
        </w:tc>
        <w:tc>
          <w:tcPr>
            <w:tcW w:w="2203" w:type="dxa"/>
          </w:tcPr>
          <w:p>
            <w:pPr>
              <w:pStyle w:val="CeldaAPA"/>
              <w:jc w:val="left"/>
            </w:pPr>
            <w:r>
              <w:rPr/>
              <w:t xml:space="preserve">Realizar auditorías internas planificadas.</w:t>
            </w:r>
          </w:p>
        </w:tc>
        <w:tc>
          <w:tcPr>
            <w:tcW w:w="2707" w:type="dxa"/>
          </w:tcPr>
          <w:p>
            <w:pPr>
              <w:pStyle w:val="CeldaAPA"/>
              <w:jc w:val="left"/>
            </w:pPr>
            <w:r>
              <w:rPr/>
              <w:t xml:space="preserve">No se encontraron.</w:t>
            </w:r>
          </w:p>
        </w:tc>
        <w:tc>
          <w:tcPr>
            <w:tcW w:w="916" w:type="dxa"/>
          </w:tcPr>
          <w:p>
            <w:pPr>
              <w:pStyle w:val="CeldaAPA"/>
              <w:jc w:val="center"/>
            </w:pPr>
            <w:r>
              <w:rPr/>
              <w:t xml:space="preserve">0</w:t>
            </w:r>
          </w:p>
        </w:tc>
        <w:tc>
          <w:tcPr>
            <w:tcW w:w="2282" w:type="dxa"/>
          </w:tcPr>
          <w:p>
            <w:pPr>
              <w:pStyle w:val="CeldaAPA"/>
              <w:jc w:val="left"/>
            </w:pPr>
            <w:r>
              <w:rPr/>
              <w:t xml:space="preserve">—</w:t>
            </w:r>
          </w:p>
        </w:tc>
      </w:tr>
      <w:tr>
        <w:tc>
          <w:tcPr>
            <w:tcW w:w="1251" w:type="dxa"/>
          </w:tcPr>
          <w:p>
            <w:pPr>
              <w:pStyle w:val="CeldaAPA"/>
              <w:jc w:val="left"/>
            </w:pPr>
            <w:r>
              <w:rPr/>
              <w:t xml:space="preserve">9.3</w:t>
            </w:r>
          </w:p>
        </w:tc>
        <w:tc>
          <w:tcPr>
            <w:tcW w:w="2203" w:type="dxa"/>
          </w:tcPr>
          <w:p>
            <w:pPr>
              <w:pStyle w:val="CeldaAPA"/>
              <w:jc w:val="left"/>
            </w:pPr>
            <w:r>
              <w:rPr/>
              <w:t xml:space="preserve">Revisar el sistema por la dirección a intervalos planificados.</w:t>
            </w:r>
          </w:p>
        </w:tc>
        <w:tc>
          <w:tcPr>
            <w:tcW w:w="2707" w:type="dxa"/>
          </w:tcPr>
          <w:p>
            <w:pPr>
              <w:pStyle w:val="CeldaAPA"/>
              <w:jc w:val="left"/>
            </w:pPr>
            <w:r>
              <w:rPr/>
              <w:t xml:space="preserve">No se encontró.</w:t>
            </w:r>
          </w:p>
        </w:tc>
        <w:tc>
          <w:tcPr>
            <w:tcW w:w="916" w:type="dxa"/>
          </w:tcPr>
          <w:p>
            <w:pPr>
              <w:pStyle w:val="CeldaAPA"/>
              <w:jc w:val="center"/>
            </w:pPr>
            <w:r>
              <w:rPr/>
              <w:t xml:space="preserve">0</w:t>
            </w:r>
          </w:p>
        </w:tc>
        <w:tc>
          <w:tcPr>
            <w:tcW w:w="2282" w:type="dxa"/>
          </w:tcPr>
          <w:p>
            <w:pPr>
              <w:pStyle w:val="CeldaAPA"/>
              <w:jc w:val="left"/>
            </w:pPr>
            <w:r>
              <w:rPr/>
              <w:t xml:space="preserve">—</w:t>
            </w:r>
          </w:p>
        </w:tc>
      </w:tr>
      <w:tr>
        <w:tc>
          <w:tcPr>
            <w:tcW w:w="9359" w:type="dxa"/>
            <w:gridSpan w:val="5"/>
          </w:tcPr>
          <w:p>
            <w:pPr>
              <w:pStyle w:val="CeldaAPA"/>
              <w:jc w:val="left"/>
            </w:pPr>
            <w:r>
              <w:rPr>
                <w:bCs/>
                <w:b/>
              </w:rPr>
              <w:t xml:space="preserve">10. Mejora</w:t>
            </w:r>
          </w:p>
        </w:tc>
      </w:tr>
      <w:tr>
        <w:tc>
          <w:tcPr>
            <w:tcW w:w="1251" w:type="dxa"/>
          </w:tcPr>
          <w:p>
            <w:pPr>
              <w:pStyle w:val="CeldaAPA"/>
              <w:jc w:val="left"/>
            </w:pPr>
            <w:r>
              <w:rPr/>
              <w:t xml:space="preserve">10.1</w:t>
            </w:r>
          </w:p>
        </w:tc>
        <w:tc>
          <w:tcPr>
            <w:tcW w:w="2203" w:type="dxa"/>
          </w:tcPr>
          <w:p>
            <w:pPr>
              <w:pStyle w:val="CeldaAPA"/>
              <w:jc w:val="left"/>
            </w:pPr>
            <w:r>
              <w:rPr/>
              <w:t xml:space="preserve">Determinar y aplicar oportunidades de mejora.</w:t>
            </w:r>
          </w:p>
        </w:tc>
        <w:tc>
          <w:tcPr>
            <w:tcW w:w="2707" w:type="dxa"/>
          </w:tcPr>
          <w:p>
            <w:pPr>
              <w:pStyle w:val="CeldaAPA"/>
              <w:jc w:val="left"/>
            </w:pPr>
            <w:r>
              <w:rPr/>
              <w:t xml:space="preserve">La Supervisión recomendó presentar las garantías de los materiales, romper probetas y presentar dosificaciones (PAO2, p. 9); no consta que se atendieran en la losa (p. 78).</w:t>
            </w:r>
          </w:p>
        </w:tc>
        <w:tc>
          <w:tcPr>
            <w:tcW w:w="916" w:type="dxa"/>
          </w:tcPr>
          <w:p>
            <w:pPr>
              <w:pStyle w:val="CeldaAPA"/>
              <w:jc w:val="center"/>
            </w:pPr>
            <w:r>
              <w:rPr/>
              <w:t xml:space="preserve">0</w:t>
            </w:r>
          </w:p>
        </w:tc>
        <w:tc>
          <w:tcPr>
            <w:tcW w:w="2282" w:type="dxa"/>
          </w:tcPr>
          <w:p>
            <w:pPr>
              <w:pStyle w:val="CeldaAPA"/>
              <w:jc w:val="left"/>
            </w:pPr>
            <w:r>
              <w:rPr/>
              <w:t xml:space="preserve">—</w:t>
            </w:r>
          </w:p>
        </w:tc>
      </w:tr>
      <w:tr>
        <w:tc>
          <w:tcPr>
            <w:tcW w:w="1251" w:type="dxa"/>
          </w:tcPr>
          <w:p>
            <w:pPr>
              <w:pStyle w:val="CeldaAPA"/>
              <w:jc w:val="left"/>
            </w:pPr>
            <w:r>
              <w:rPr/>
              <w:t xml:space="preserve">10.2.1 a</w:t>
            </w:r>
          </w:p>
        </w:tc>
        <w:tc>
          <w:tcPr>
            <w:tcW w:w="2203" w:type="dxa"/>
          </w:tcPr>
          <w:p>
            <w:pPr>
              <w:pStyle w:val="CeldaAPA"/>
              <w:jc w:val="left"/>
            </w:pPr>
            <w:r>
              <w:rPr/>
              <w:t xml:space="preserve">Reaccionar ante las no conformidades: controlarlas, corregirlas y asumir sus consecuencias.</w:t>
            </w:r>
          </w:p>
        </w:tc>
        <w:tc>
          <w:tcPr>
            <w:tcW w:w="2707" w:type="dxa"/>
          </w:tcPr>
          <w:p>
            <w:pPr>
              <w:pStyle w:val="CeldaAPA"/>
              <w:jc w:val="left"/>
            </w:pPr>
            <w:r>
              <w:rPr/>
              <w:t xml:space="preserve">Se corrigieron cantidades después de pagadas: ítem 4,</w:t>
            </w:r>
            <w:r>
              <w:rPr/>
              <w:t xml:space="preserve"> </w:t>
            </w:r>
            <m:oMath>
              <m:r>
                <m:rPr>
                  <m:sty m:val="p"/>
                </m:rPr>
                <m:t>−</m:t>
              </m:r>
            </m:oMath>
            <w:r>
              <w:rPr/>
              <w:t xml:space="preserve">5,66 m</w:t>
            </w:r>
            <w:r>
              <w:rPr>
                <w:vertAlign w:val="superscript"/>
              </w:rPr>
              <w:t xml:space="preserve">3</w:t>
            </w:r>
            <w:r>
              <w:rPr/>
              <w:t xml:space="preserve"> </w:t>
            </w:r>
            <w:r>
              <w:rPr/>
              <w:t xml:space="preserve">(PAO2, pp. 16, 18); acero,</w:t>
            </w:r>
            <w:r>
              <w:rPr/>
              <w:t xml:space="preserve"> </w:t>
            </w:r>
            <m:oMath>
              <m:r>
                <m:rPr>
                  <m:sty m:val="p"/>
                </m:rPr>
                <m:t>−</m:t>
              </m:r>
            </m:oMath>
            <w:r>
              <w:rPr/>
              <w:t xml:space="preserve">1.862,81 kg en la planilla de cierre (Exp., p. 2).</w:t>
            </w:r>
          </w:p>
        </w:tc>
        <w:tc>
          <w:tcPr>
            <w:tcW w:w="916" w:type="dxa"/>
          </w:tcPr>
          <w:p>
            <w:pPr>
              <w:pStyle w:val="CeldaAPA"/>
              <w:jc w:val="center"/>
            </w:pPr>
            <w:r>
              <w:rPr/>
              <w:t xml:space="preserve">0,5</w:t>
            </w:r>
          </w:p>
        </w:tc>
        <w:tc>
          <w:tcPr>
            <w:tcW w:w="2282" w:type="dxa"/>
          </w:tcPr>
          <w:p>
            <w:pPr>
              <w:pStyle w:val="CeldaAPA"/>
              <w:jc w:val="left"/>
            </w:pPr>
            <w:r>
              <w:rPr/>
              <w:t xml:space="preserve">Correcciones de medición, sin análisis.</w:t>
            </w:r>
          </w:p>
        </w:tc>
      </w:tr>
      <w:tr>
        <w:tc>
          <w:tcPr>
            <w:tcW w:w="1251" w:type="dxa"/>
          </w:tcPr>
          <w:p>
            <w:pPr>
              <w:pStyle w:val="CeldaAPA"/>
              <w:jc w:val="left"/>
            </w:pPr>
            <w:r>
              <w:rPr/>
              <w:t xml:space="preserve">10.2.1 b</w:t>
            </w:r>
          </w:p>
        </w:tc>
        <w:tc>
          <w:tcPr>
            <w:tcW w:w="2203" w:type="dxa"/>
          </w:tcPr>
          <w:p>
            <w:pPr>
              <w:pStyle w:val="CeldaAPA"/>
              <w:jc w:val="left"/>
            </w:pPr>
            <w:r>
              <w:rPr/>
              <w:t xml:space="preserve">Analizar las causas, implementar acciones correctivas y verificar su eficacia.</w:t>
            </w:r>
          </w:p>
        </w:tc>
        <w:tc>
          <w:tcPr>
            <w:tcW w:w="2707" w:type="dxa"/>
          </w:tcPr>
          <w:p>
            <w:pPr>
              <w:pStyle w:val="CeldaAPA"/>
              <w:jc w:val="left"/>
            </w:pPr>
            <w:r>
              <w:rPr/>
              <w:t xml:space="preserve">Sin evidencia de análisis de causas ni de acciones correctivas.</w:t>
            </w:r>
          </w:p>
        </w:tc>
        <w:tc>
          <w:tcPr>
            <w:tcW w:w="916" w:type="dxa"/>
          </w:tcPr>
          <w:p>
            <w:pPr>
              <w:pStyle w:val="CeldaAPA"/>
              <w:jc w:val="center"/>
            </w:pPr>
            <w:r>
              <w:rPr/>
              <w:t xml:space="preserve">0</w:t>
            </w:r>
          </w:p>
        </w:tc>
        <w:tc>
          <w:tcPr>
            <w:tcW w:w="2282" w:type="dxa"/>
          </w:tcPr>
          <w:p>
            <w:pPr>
              <w:pStyle w:val="CeldaAPA"/>
              <w:jc w:val="left"/>
            </w:pPr>
            <w:r>
              <w:rPr/>
              <w:t xml:space="preserve">—</w:t>
            </w:r>
          </w:p>
        </w:tc>
      </w:tr>
      <w:tr>
        <w:tc>
          <w:tcPr>
            <w:tcW w:w="1251" w:type="dxa"/>
          </w:tcPr>
          <w:p>
            <w:pPr>
              <w:pStyle w:val="CeldaAPA"/>
              <w:jc w:val="left"/>
            </w:pPr>
            <w:r>
              <w:rPr/>
              <w:t xml:space="preserve">10.2.2</w:t>
            </w:r>
          </w:p>
        </w:tc>
        <w:tc>
          <w:tcPr>
            <w:tcW w:w="2203" w:type="dxa"/>
          </w:tcPr>
          <w:p>
            <w:pPr>
              <w:pStyle w:val="CeldaAPA"/>
              <w:jc w:val="left"/>
            </w:pPr>
            <w:r>
              <w:rPr/>
              <w:t xml:space="preserve">Conservar información documentada de las no conformidades y de las acciones tomadas.</w:t>
            </w:r>
          </w:p>
        </w:tc>
        <w:tc>
          <w:tcPr>
            <w:tcW w:w="2707" w:type="dxa"/>
          </w:tcPr>
          <w:p>
            <w:pPr>
              <w:pStyle w:val="CeldaAPA"/>
              <w:jc w:val="left"/>
            </w:pPr>
            <w:r>
              <w:rPr/>
              <w:t xml:space="preserve">No hay registro de no conformidades.</w:t>
            </w:r>
          </w:p>
        </w:tc>
        <w:tc>
          <w:tcPr>
            <w:tcW w:w="916" w:type="dxa"/>
          </w:tcPr>
          <w:p>
            <w:pPr>
              <w:pStyle w:val="CeldaAPA"/>
              <w:jc w:val="center"/>
            </w:pPr>
            <w:r>
              <w:rPr/>
              <w:t xml:space="preserve">0</w:t>
            </w:r>
          </w:p>
        </w:tc>
        <w:tc>
          <w:tcPr>
            <w:tcW w:w="2282" w:type="dxa"/>
          </w:tcPr>
          <w:p>
            <w:pPr>
              <w:pStyle w:val="CeldaAPA"/>
              <w:jc w:val="left"/>
            </w:pPr>
            <w:r>
              <w:rPr/>
              <w:t xml:space="preserve">—</w:t>
            </w:r>
          </w:p>
        </w:tc>
      </w:tr>
      <w:tr>
        <w:tc>
          <w:tcPr>
            <w:tcW w:w="1251" w:type="dxa"/>
            <w:tcBorders>
              <w:bottom w:val="single" w:sz="8" w:space="0" w:color="000000"/>
            </w:tcBorders>
          </w:tcPr>
          <w:p>
            <w:pPr>
              <w:pStyle w:val="CeldaAPA"/>
              <w:jc w:val="left"/>
            </w:pPr>
            <w:r>
              <w:rPr/>
              <w:t xml:space="preserve">10.3</w:t>
            </w:r>
          </w:p>
        </w:tc>
        <w:tc>
          <w:tcPr>
            <w:tcW w:w="2203" w:type="dxa"/>
            <w:tcBorders>
              <w:bottom w:val="single" w:sz="8" w:space="0" w:color="000000"/>
            </w:tcBorders>
          </w:tcPr>
          <w:p>
            <w:pPr>
              <w:pStyle w:val="CeldaAPA"/>
              <w:jc w:val="left"/>
            </w:pPr>
            <w:r>
              <w:rPr/>
              <w:t xml:space="preserve">Mejorar continuamente la conveniencia, adecuación y eficacia del sistema.</w:t>
            </w:r>
          </w:p>
        </w:tc>
        <w:tc>
          <w:tcPr>
            <w:tcW w:w="2707" w:type="dxa"/>
            <w:tcBorders>
              <w:bottom w:val="single" w:sz="8" w:space="0" w:color="000000"/>
            </w:tcBorders>
          </w:tcPr>
          <w:p>
            <w:pPr>
              <w:pStyle w:val="CeldaAPA"/>
              <w:jc w:val="left"/>
            </w:pPr>
            <w:r>
              <w:rPr/>
              <w:t xml:space="preserve">No se encontró.</w:t>
            </w:r>
          </w:p>
        </w:tc>
        <w:tc>
          <w:tcPr>
            <w:tcW w:w="916" w:type="dxa"/>
            <w:tcBorders>
              <w:bottom w:val="single" w:sz="8" w:space="0" w:color="000000"/>
            </w:tcBorders>
          </w:tcPr>
          <w:p>
            <w:pPr>
              <w:pStyle w:val="CeldaAPA"/>
              <w:jc w:val="center"/>
            </w:pPr>
            <w:r>
              <w:rPr/>
              <w:t xml:space="preserve">0</w:t>
            </w:r>
          </w:p>
        </w:tc>
        <w:tc>
          <w:tcPr>
            <w:tcW w:w="2282" w:type="dxa"/>
            <w:tcBorders>
              <w:bottom w:val="single" w:sz="8" w:space="0" w:color="000000"/>
            </w:tcBorders>
          </w:tcPr>
          <w:p>
            <w:pPr>
              <w:pStyle w:val="CeldaAPA"/>
              <w:jc w:val="left"/>
            </w:pPr>
            <w:r>
              <w:rPr/>
              <w:t xml:space="preserve">—</w:t>
            </w:r>
          </w:p>
        </w:tc>
      </w:tr>
    </w:tbl>
    <w:p>
      <w:pPr>
        <w:pStyle w:val="NotaAPA"/>
      </w:pPr>
      <w:r>
        <w:rPr>
          <w:iCs/>
          <w:i/>
        </w:rPr>
        <w:t xml:space="preserve">Nota.</w:t>
      </w:r>
      <w:r>
        <w:t xml:space="preserve"> </w:t>
      </w:r>
      <w:r>
        <w:t xml:space="preserve">Elaboración propia. Fuentes: PAO2 =</w:t>
      </w:r>
      <w:r>
        <w:t xml:space="preserve"> </w:t>
      </w:r>
      <w:r>
        <w:t xml:space="preserve">UATF (2025)</w:t>
      </w:r>
      <w:r>
        <w:t xml:space="preserve"> </w:t>
      </w:r>
      <w:r>
        <w:t xml:space="preserve">(página del archivo PDF; incluye el contrato, el Libro de Órdenes y los certificados); PAO3 =</w:t>
      </w:r>
      <w:r>
        <w:t xml:space="preserve"> </w:t>
      </w:r>
      <w:r>
        <w:t xml:space="preserve">UATF (s. f.-c)</w:t>
      </w:r>
      <w:r>
        <w:t xml:space="preserve"> </w:t>
      </w:r>
      <w:r>
        <w:t xml:space="preserve">(archivo de planilla y cómputos de cierre); Exp. =</w:t>
      </w:r>
      <w:r>
        <w:t xml:space="preserve"> </w:t>
      </w:r>
      <w:r>
        <w:t xml:space="preserve">UATF (s. f.-b)</w:t>
      </w:r>
      <w:r>
        <w:t xml:space="preserve"> </w:t>
      </w:r>
      <w:r>
        <w:t xml:space="preserve">(página del archivo PDF); ET =</w:t>
      </w:r>
      <w:r>
        <w:t xml:space="preserve"> </w:t>
      </w:r>
      <w:r>
        <w:t xml:space="preserve">UATF (s. f.-a)</w:t>
      </w:r>
      <w:r>
        <w:t xml:space="preserve">; Plano 02 = sección y detalles de la losa</w:t>
      </w:r>
      <w:r>
        <w:t xml:space="preserve"> </w:t>
      </w:r>
      <w:r>
        <w:t xml:space="preserve">(UATF, s. f.-d)</w:t>
      </w:r>
      <w:r>
        <w:t xml:space="preserve">. Calificación: 1 = cumple; 0,5 = cumple parcialmente; 0 = no cumple o sin evidencia; NA = no aplica. ACI 318-25 =</w:t>
      </w:r>
      <w:r>
        <w:t xml:space="preserve"> </w:t>
      </w:r>
      <w:r>
        <w:t xml:space="preserve">ACI Committee 318 (2025)</w:t>
      </w:r>
      <w:r>
        <w:t xml:space="preserve">.</w:t>
      </w:r>
    </w:p>
    <w:p>
      <w:pPr>
        <w:pStyle w:val="BodyText"/>
      </w:pPr>
      <w:r>
        <w:rPr>
          <w:bCs/>
          <w:b/>
        </w:rPr>
        <w:t xml:space="preserve">Resumen por cláusula.</w:t>
      </w:r>
      <w:r>
        <w:t xml:space="preserve"> </w:t>
      </w:r>
      <w:r>
        <w:t xml:space="preserve">La Tabla 57 resume la aplicación. Ningún requisito alcanzó la calificación de cumplimiento pleno: 19 se cumplieron parcialmente y 29 no se cumplieron, de un total de 48 requisitos aplicables.</w:t>
      </w:r>
    </w:p>
    <w:p>
      <w:pPr>
        <w:pStyle w:val="Caption"/>
      </w:pPr>
      <w:bookmarkStart w:id="1476" w:name="tab57"/>
      <w:r>
        <w:t xml:space="preserve"/>
      </w:r>
      <w:r>
        <w:rPr>
          <w:bCs/>
          <w:b/>
        </w:rPr>
        <w:t xml:space="preserve">Tabla 57</w:t>
      </w:r>
      <w:r>
        <w:br/>
      </w:r>
      <w:r>
        <w:rPr>
          <w:iCs/>
          <w:i/>
        </w:rPr>
        <w:t xml:space="preserve">Resumen de la lista de verificación C.1 por cláusula</w:t>
      </w:r>
      <w:bookmarkEnd w:id="1476"/>
    </w:p>
    <w:tbl>
      <w:tblPr>
        <w:tblStyle w:val="Table"/>
        <w:tblW w:w="10180" w:type="dxa"/>
        <w:jc w:val="left"/>
        <w:tblLayout w:type="fixed"/>
        <w:tblCellMar>
          <w:top w:w="0" w:type="dxa"/>
          <w:left w:w="85" w:type="dxa"/>
          <w:bottom w:w="0" w:type="dxa"/>
          <w:right w:w="85" w:type="dxa"/>
        </w:tblCellMar>
        <w:tblLook w:firstRow="1" w:lastRow="0" w:firstColumn="0" w:lastColumn="0" w:noHBand="0" w:noVBand="0" w:val="0020"/>
      </w:tblPr>
      <w:tblGrid>
        <w:gridCol w:w="1708"/>
        <w:gridCol w:w="1418"/>
        <w:gridCol w:w="650"/>
        <w:gridCol w:w="1151"/>
        <w:gridCol w:w="1116"/>
        <w:gridCol w:w="1097"/>
        <w:gridCol w:w="1167"/>
        <w:gridCol w:w="1873"/>
      </w:tblGrid>
      <w:tr>
        <w:trPr>
          <w:cantSplit/>
          <w:tblHeader w:val="true"/>
        </w:trPr>
        <w:tc>
          <w:tcPr>
            <w:tcW w:w="1708" w:type="dxa"/>
            <w:tcBorders>
              <w:top w:val="single" w:sz="8" w:space="0" w:color="000000"/>
              <w:bottom w:val="single" w:sz="4" w:space="0" w:color="000000"/>
            </w:tcBorders>
          </w:tcPr>
          <w:p>
            <w:pPr>
              <w:pStyle w:val="CeldaAPA"/>
              <w:jc w:val="center"/>
            </w:pPr>
            <w:r>
              <w:rPr>
                <w:bCs/>
                <w:b/>
              </w:rPr>
              <w:t xml:space="preserve">Cláusula</w:t>
            </w:r>
          </w:p>
        </w:tc>
        <w:tc>
          <w:tcPr>
            <w:tcW w:w="1418" w:type="dxa"/>
            <w:tcBorders>
              <w:top w:val="single" w:sz="8" w:space="0" w:color="000000"/>
              <w:bottom w:val="single" w:sz="4" w:space="0" w:color="000000"/>
            </w:tcBorders>
          </w:tcPr>
          <w:p>
            <w:pPr>
              <w:pStyle w:val="CeldaAPA"/>
              <w:jc w:val="center"/>
            </w:pPr>
            <w:r>
              <w:rPr>
                <w:bCs/>
                <w:b/>
              </w:rPr>
              <w:t xml:space="preserve">Requisitos aplicables</w:t>
            </w:r>
          </w:p>
        </w:tc>
        <w:tc>
          <w:tcPr>
            <w:tcW w:w="650" w:type="dxa"/>
            <w:tcBorders>
              <w:top w:val="single" w:sz="8" w:space="0" w:color="000000"/>
              <w:bottom w:val="single" w:sz="4" w:space="0" w:color="000000"/>
            </w:tcBorders>
          </w:tcPr>
          <w:p>
            <w:pPr>
              <w:pStyle w:val="CeldaAPA"/>
              <w:jc w:val="center"/>
            </w:pPr>
            <w:r>
              <w:rPr>
                <w:bCs/>
                <w:b/>
              </w:rPr>
              <w:t xml:space="preserve">NA</w:t>
            </w:r>
          </w:p>
        </w:tc>
        <w:tc>
          <w:tcPr>
            <w:tcW w:w="1151" w:type="dxa"/>
            <w:tcBorders>
              <w:top w:val="single" w:sz="8" w:space="0" w:color="000000"/>
              <w:bottom w:val="single" w:sz="4" w:space="0" w:color="000000"/>
            </w:tcBorders>
          </w:tcPr>
          <w:p>
            <w:pPr>
              <w:pStyle w:val="CeldaAPA"/>
              <w:jc w:val="center"/>
            </w:pPr>
            <w:r>
              <w:rPr>
                <w:bCs/>
                <w:b/>
              </w:rPr>
              <w:t xml:space="preserve">Cumple (1)</w:t>
            </w:r>
          </w:p>
        </w:tc>
        <w:tc>
          <w:tcPr>
            <w:tcW w:w="1116" w:type="dxa"/>
            <w:tcBorders>
              <w:top w:val="single" w:sz="8" w:space="0" w:color="000000"/>
              <w:bottom w:val="single" w:sz="4" w:space="0" w:color="000000"/>
            </w:tcBorders>
          </w:tcPr>
          <w:p>
            <w:pPr>
              <w:pStyle w:val="CeldaAPA"/>
              <w:jc w:val="center"/>
            </w:pPr>
            <w:r>
              <w:rPr>
                <w:bCs/>
                <w:b/>
              </w:rPr>
              <w:t xml:space="preserve">Parcial (0,5)</w:t>
            </w:r>
          </w:p>
        </w:tc>
        <w:tc>
          <w:tcPr>
            <w:tcW w:w="1097" w:type="dxa"/>
            <w:tcBorders>
              <w:top w:val="single" w:sz="8" w:space="0" w:color="000000"/>
              <w:bottom w:val="single" w:sz="4" w:space="0" w:color="000000"/>
            </w:tcBorders>
          </w:tcPr>
          <w:p>
            <w:pPr>
              <w:pStyle w:val="CeldaAPA"/>
              <w:jc w:val="center"/>
            </w:pPr>
            <w:r>
              <w:rPr>
                <w:bCs/>
                <w:b/>
              </w:rPr>
              <w:t xml:space="preserve">No cumple (0)</w:t>
            </w:r>
          </w:p>
        </w:tc>
        <w:tc>
          <w:tcPr>
            <w:tcW w:w="1167" w:type="dxa"/>
            <w:tcBorders>
              <w:top w:val="single" w:sz="8" w:space="0" w:color="000000"/>
              <w:bottom w:val="single" w:sz="4" w:space="0" w:color="000000"/>
            </w:tcBorders>
          </w:tcPr>
          <w:p>
            <w:pPr>
              <w:pStyle w:val="CeldaAPA"/>
              <w:jc w:val="center"/>
            </w:pPr>
            <w:r>
              <w:rPr>
                <w:bCs/>
                <w:b/>
              </w:rPr>
              <w:t xml:space="preserve">Puntaje</w:t>
            </w:r>
          </w:p>
        </w:tc>
        <w:tc>
          <w:tcPr>
            <w:tcW w:w="1873" w:type="dxa"/>
            <w:tcBorders>
              <w:top w:val="single" w:sz="8" w:space="0" w:color="000000"/>
              <w:bottom w:val="single" w:sz="4" w:space="0" w:color="000000"/>
            </w:tcBorders>
          </w:tcPr>
          <w:p>
            <w:pPr>
              <w:pStyle w:val="CeldaAPA"/>
              <w:jc w:val="center"/>
            </w:pPr>
            <w:r>
              <w:rPr>
                <w:bCs/>
                <w:b/>
              </w:rPr>
              <w:t xml:space="preserve">Cumplimiento</w:t>
            </w:r>
          </w:p>
        </w:tc>
      </w:tr>
      <w:tr>
        <w:tc>
          <w:tcPr>
            <w:tcW w:w="1708" w:type="dxa"/>
          </w:tcPr>
          <w:p>
            <w:pPr>
              <w:pStyle w:val="CeldaAPA"/>
              <w:jc w:val="left"/>
            </w:pPr>
            <w:r>
              <w:rPr/>
              <w:t xml:space="preserve">4. Contexto de la organización</w:t>
            </w:r>
          </w:p>
        </w:tc>
        <w:tc>
          <w:tcPr>
            <w:tcW w:w="1418" w:type="dxa"/>
          </w:tcPr>
          <w:p>
            <w:pPr>
              <w:pStyle w:val="CeldaAPA"/>
              <w:jc w:val="center"/>
            </w:pPr>
            <w:r>
              <w:rPr/>
              <w:t xml:space="preserve">4</w:t>
            </w:r>
          </w:p>
        </w:tc>
        <w:tc>
          <w:tcPr>
            <w:tcW w:w="650" w:type="dxa"/>
          </w:tcPr>
          <w:p>
            <w:pPr>
              <w:pStyle w:val="CeldaAPA"/>
              <w:jc w:val="center"/>
            </w:pPr>
            <w:r>
              <w:rPr/>
              <w:t xml:space="preserve">0</w:t>
            </w:r>
          </w:p>
        </w:tc>
        <w:tc>
          <w:tcPr>
            <w:tcW w:w="1151" w:type="dxa"/>
          </w:tcPr>
          <w:p>
            <w:pPr>
              <w:pStyle w:val="CeldaAPA"/>
              <w:jc w:val="center"/>
            </w:pPr>
            <w:r>
              <w:rPr/>
              <w:t xml:space="preserve">0</w:t>
            </w:r>
          </w:p>
        </w:tc>
        <w:tc>
          <w:tcPr>
            <w:tcW w:w="1116" w:type="dxa"/>
          </w:tcPr>
          <w:p>
            <w:pPr>
              <w:pStyle w:val="CeldaAPA"/>
              <w:jc w:val="center"/>
            </w:pPr>
            <w:r>
              <w:rPr/>
              <w:t xml:space="preserve">2</w:t>
            </w:r>
          </w:p>
        </w:tc>
        <w:tc>
          <w:tcPr>
            <w:tcW w:w="1097" w:type="dxa"/>
          </w:tcPr>
          <w:p>
            <w:pPr>
              <w:pStyle w:val="CeldaAPA"/>
              <w:jc w:val="center"/>
            </w:pPr>
            <w:r>
              <w:rPr/>
              <w:t xml:space="preserve">2</w:t>
            </w:r>
          </w:p>
        </w:tc>
        <w:tc>
          <w:tcPr>
            <w:tcW w:w="1167" w:type="dxa"/>
          </w:tcPr>
          <w:p>
            <w:pPr>
              <w:pStyle w:val="CeldaAPA"/>
              <w:jc w:val="center"/>
            </w:pPr>
            <w:r>
              <w:rPr/>
              <w:t xml:space="preserve">1,0</w:t>
            </w:r>
          </w:p>
        </w:tc>
        <w:tc>
          <w:tcPr>
            <w:tcW w:w="1873" w:type="dxa"/>
          </w:tcPr>
          <w:p>
            <w:pPr>
              <w:pStyle w:val="CeldaAPA"/>
              <w:jc w:val="center"/>
            </w:pPr>
            <w:r>
              <w:rPr/>
              <w:t xml:space="preserve">25,0 %</w:t>
            </w:r>
          </w:p>
        </w:tc>
      </w:tr>
      <w:tr>
        <w:tc>
          <w:tcPr>
            <w:tcW w:w="1708" w:type="dxa"/>
          </w:tcPr>
          <w:p>
            <w:pPr>
              <w:pStyle w:val="CeldaAPA"/>
              <w:jc w:val="left"/>
            </w:pPr>
            <w:r>
              <w:rPr/>
              <w:t xml:space="preserve">5. Liderazgo</w:t>
            </w:r>
          </w:p>
        </w:tc>
        <w:tc>
          <w:tcPr>
            <w:tcW w:w="1418" w:type="dxa"/>
          </w:tcPr>
          <w:p>
            <w:pPr>
              <w:pStyle w:val="CeldaAPA"/>
              <w:jc w:val="center"/>
            </w:pPr>
            <w:r>
              <w:rPr/>
              <w:t xml:space="preserve">5</w:t>
            </w:r>
          </w:p>
        </w:tc>
        <w:tc>
          <w:tcPr>
            <w:tcW w:w="650" w:type="dxa"/>
          </w:tcPr>
          <w:p>
            <w:pPr>
              <w:pStyle w:val="CeldaAPA"/>
              <w:jc w:val="center"/>
            </w:pPr>
            <w:r>
              <w:rPr/>
              <w:t xml:space="preserve">0</w:t>
            </w:r>
          </w:p>
        </w:tc>
        <w:tc>
          <w:tcPr>
            <w:tcW w:w="1151" w:type="dxa"/>
          </w:tcPr>
          <w:p>
            <w:pPr>
              <w:pStyle w:val="CeldaAPA"/>
              <w:jc w:val="center"/>
            </w:pPr>
            <w:r>
              <w:rPr/>
              <w:t xml:space="preserve">0</w:t>
            </w:r>
          </w:p>
        </w:tc>
        <w:tc>
          <w:tcPr>
            <w:tcW w:w="1116" w:type="dxa"/>
          </w:tcPr>
          <w:p>
            <w:pPr>
              <w:pStyle w:val="CeldaAPA"/>
              <w:jc w:val="center"/>
            </w:pPr>
            <w:r>
              <w:rPr/>
              <w:t xml:space="preserve">2</w:t>
            </w:r>
          </w:p>
        </w:tc>
        <w:tc>
          <w:tcPr>
            <w:tcW w:w="1097" w:type="dxa"/>
          </w:tcPr>
          <w:p>
            <w:pPr>
              <w:pStyle w:val="CeldaAPA"/>
              <w:jc w:val="center"/>
            </w:pPr>
            <w:r>
              <w:rPr/>
              <w:t xml:space="preserve">3</w:t>
            </w:r>
          </w:p>
        </w:tc>
        <w:tc>
          <w:tcPr>
            <w:tcW w:w="1167" w:type="dxa"/>
          </w:tcPr>
          <w:p>
            <w:pPr>
              <w:pStyle w:val="CeldaAPA"/>
              <w:jc w:val="center"/>
            </w:pPr>
            <w:r>
              <w:rPr/>
              <w:t xml:space="preserve">1,0</w:t>
            </w:r>
          </w:p>
        </w:tc>
        <w:tc>
          <w:tcPr>
            <w:tcW w:w="1873" w:type="dxa"/>
          </w:tcPr>
          <w:p>
            <w:pPr>
              <w:pStyle w:val="CeldaAPA"/>
              <w:jc w:val="center"/>
            </w:pPr>
            <w:r>
              <w:rPr/>
              <w:t xml:space="preserve">20,0 %</w:t>
            </w:r>
          </w:p>
        </w:tc>
      </w:tr>
      <w:tr>
        <w:tc>
          <w:tcPr>
            <w:tcW w:w="1708" w:type="dxa"/>
          </w:tcPr>
          <w:p>
            <w:pPr>
              <w:pStyle w:val="CeldaAPA"/>
              <w:jc w:val="left"/>
            </w:pPr>
            <w:r>
              <w:rPr/>
              <w:t xml:space="preserve">6. Planificación</w:t>
            </w:r>
          </w:p>
        </w:tc>
        <w:tc>
          <w:tcPr>
            <w:tcW w:w="1418" w:type="dxa"/>
          </w:tcPr>
          <w:p>
            <w:pPr>
              <w:pStyle w:val="CeldaAPA"/>
              <w:jc w:val="center"/>
            </w:pPr>
            <w:r>
              <w:rPr/>
              <w:t xml:space="preserve">4</w:t>
            </w:r>
          </w:p>
        </w:tc>
        <w:tc>
          <w:tcPr>
            <w:tcW w:w="650" w:type="dxa"/>
          </w:tcPr>
          <w:p>
            <w:pPr>
              <w:pStyle w:val="CeldaAPA"/>
              <w:jc w:val="center"/>
            </w:pPr>
            <w:r>
              <w:rPr/>
              <w:t xml:space="preserve">0</w:t>
            </w:r>
          </w:p>
        </w:tc>
        <w:tc>
          <w:tcPr>
            <w:tcW w:w="1151" w:type="dxa"/>
          </w:tcPr>
          <w:p>
            <w:pPr>
              <w:pStyle w:val="CeldaAPA"/>
              <w:jc w:val="center"/>
            </w:pPr>
            <w:r>
              <w:rPr/>
              <w:t xml:space="preserve">0</w:t>
            </w:r>
          </w:p>
        </w:tc>
        <w:tc>
          <w:tcPr>
            <w:tcW w:w="1116" w:type="dxa"/>
          </w:tcPr>
          <w:p>
            <w:pPr>
              <w:pStyle w:val="CeldaAPA"/>
              <w:jc w:val="center"/>
            </w:pPr>
            <w:r>
              <w:rPr/>
              <w:t xml:space="preserve">1</w:t>
            </w:r>
          </w:p>
        </w:tc>
        <w:tc>
          <w:tcPr>
            <w:tcW w:w="1097" w:type="dxa"/>
          </w:tcPr>
          <w:p>
            <w:pPr>
              <w:pStyle w:val="CeldaAPA"/>
              <w:jc w:val="center"/>
            </w:pPr>
            <w:r>
              <w:rPr/>
              <w:t xml:space="preserve">3</w:t>
            </w:r>
          </w:p>
        </w:tc>
        <w:tc>
          <w:tcPr>
            <w:tcW w:w="1167" w:type="dxa"/>
          </w:tcPr>
          <w:p>
            <w:pPr>
              <w:pStyle w:val="CeldaAPA"/>
              <w:jc w:val="center"/>
            </w:pPr>
            <w:r>
              <w:rPr/>
              <w:t xml:space="preserve">0,5</w:t>
            </w:r>
          </w:p>
        </w:tc>
        <w:tc>
          <w:tcPr>
            <w:tcW w:w="1873" w:type="dxa"/>
          </w:tcPr>
          <w:p>
            <w:pPr>
              <w:pStyle w:val="CeldaAPA"/>
              <w:jc w:val="center"/>
            </w:pPr>
            <w:r>
              <w:rPr/>
              <w:t xml:space="preserve">12,5 %</w:t>
            </w:r>
          </w:p>
        </w:tc>
      </w:tr>
      <w:tr>
        <w:tc>
          <w:tcPr>
            <w:tcW w:w="1708" w:type="dxa"/>
          </w:tcPr>
          <w:p>
            <w:pPr>
              <w:pStyle w:val="CeldaAPA"/>
              <w:jc w:val="left"/>
            </w:pPr>
            <w:r>
              <w:rPr/>
              <w:t xml:space="preserve">7. Apoyo</w:t>
            </w:r>
          </w:p>
        </w:tc>
        <w:tc>
          <w:tcPr>
            <w:tcW w:w="1418" w:type="dxa"/>
          </w:tcPr>
          <w:p>
            <w:pPr>
              <w:pStyle w:val="CeldaAPA"/>
              <w:jc w:val="center"/>
            </w:pPr>
            <w:r>
              <w:rPr/>
              <w:t xml:space="preserve">10</w:t>
            </w:r>
          </w:p>
        </w:tc>
        <w:tc>
          <w:tcPr>
            <w:tcW w:w="650" w:type="dxa"/>
          </w:tcPr>
          <w:p>
            <w:pPr>
              <w:pStyle w:val="CeldaAPA"/>
              <w:jc w:val="center"/>
            </w:pPr>
            <w:r>
              <w:rPr/>
              <w:t xml:space="preserve">0</w:t>
            </w:r>
          </w:p>
        </w:tc>
        <w:tc>
          <w:tcPr>
            <w:tcW w:w="1151" w:type="dxa"/>
          </w:tcPr>
          <w:p>
            <w:pPr>
              <w:pStyle w:val="CeldaAPA"/>
              <w:jc w:val="center"/>
            </w:pPr>
            <w:r>
              <w:rPr/>
              <w:t xml:space="preserve">0</w:t>
            </w:r>
          </w:p>
        </w:tc>
        <w:tc>
          <w:tcPr>
            <w:tcW w:w="1116" w:type="dxa"/>
          </w:tcPr>
          <w:p>
            <w:pPr>
              <w:pStyle w:val="CeldaAPA"/>
              <w:jc w:val="center"/>
            </w:pPr>
            <w:r>
              <w:rPr/>
              <w:t xml:space="preserve">5</w:t>
            </w:r>
          </w:p>
        </w:tc>
        <w:tc>
          <w:tcPr>
            <w:tcW w:w="1097" w:type="dxa"/>
          </w:tcPr>
          <w:p>
            <w:pPr>
              <w:pStyle w:val="CeldaAPA"/>
              <w:jc w:val="center"/>
            </w:pPr>
            <w:r>
              <w:rPr/>
              <w:t xml:space="preserve">5</w:t>
            </w:r>
          </w:p>
        </w:tc>
        <w:tc>
          <w:tcPr>
            <w:tcW w:w="1167" w:type="dxa"/>
          </w:tcPr>
          <w:p>
            <w:pPr>
              <w:pStyle w:val="CeldaAPA"/>
              <w:jc w:val="center"/>
            </w:pPr>
            <w:r>
              <w:rPr/>
              <w:t xml:space="preserve">2,5</w:t>
            </w:r>
          </w:p>
        </w:tc>
        <w:tc>
          <w:tcPr>
            <w:tcW w:w="1873" w:type="dxa"/>
          </w:tcPr>
          <w:p>
            <w:pPr>
              <w:pStyle w:val="CeldaAPA"/>
              <w:jc w:val="center"/>
            </w:pPr>
            <w:r>
              <w:rPr/>
              <w:t xml:space="preserve">25,0 %</w:t>
            </w:r>
          </w:p>
        </w:tc>
      </w:tr>
      <w:tr>
        <w:tc>
          <w:tcPr>
            <w:tcW w:w="1708" w:type="dxa"/>
          </w:tcPr>
          <w:p>
            <w:pPr>
              <w:pStyle w:val="CeldaAPA"/>
              <w:jc w:val="left"/>
            </w:pPr>
            <w:r>
              <w:rPr/>
              <w:t xml:space="preserve">8. Operación</w:t>
            </w:r>
          </w:p>
        </w:tc>
        <w:tc>
          <w:tcPr>
            <w:tcW w:w="1418" w:type="dxa"/>
          </w:tcPr>
          <w:p>
            <w:pPr>
              <w:pStyle w:val="CeldaAPA"/>
              <w:jc w:val="center"/>
            </w:pPr>
            <w:r>
              <w:rPr/>
              <w:t xml:space="preserve">14</w:t>
            </w:r>
          </w:p>
        </w:tc>
        <w:tc>
          <w:tcPr>
            <w:tcW w:w="650" w:type="dxa"/>
          </w:tcPr>
          <w:p>
            <w:pPr>
              <w:pStyle w:val="CeldaAPA"/>
              <w:jc w:val="center"/>
            </w:pPr>
            <w:r>
              <w:rPr/>
              <w:t xml:space="preserve">2</w:t>
            </w:r>
          </w:p>
        </w:tc>
        <w:tc>
          <w:tcPr>
            <w:tcW w:w="1151" w:type="dxa"/>
          </w:tcPr>
          <w:p>
            <w:pPr>
              <w:pStyle w:val="CeldaAPA"/>
              <w:jc w:val="center"/>
            </w:pPr>
            <w:r>
              <w:rPr/>
              <w:t xml:space="preserve">0</w:t>
            </w:r>
          </w:p>
        </w:tc>
        <w:tc>
          <w:tcPr>
            <w:tcW w:w="1116" w:type="dxa"/>
          </w:tcPr>
          <w:p>
            <w:pPr>
              <w:pStyle w:val="CeldaAPA"/>
              <w:jc w:val="center"/>
            </w:pPr>
            <w:r>
              <w:rPr/>
              <w:t xml:space="preserve">5</w:t>
            </w:r>
          </w:p>
        </w:tc>
        <w:tc>
          <w:tcPr>
            <w:tcW w:w="1097" w:type="dxa"/>
          </w:tcPr>
          <w:p>
            <w:pPr>
              <w:pStyle w:val="CeldaAPA"/>
              <w:jc w:val="center"/>
            </w:pPr>
            <w:r>
              <w:rPr/>
              <w:t xml:space="preserve">9</w:t>
            </w:r>
          </w:p>
        </w:tc>
        <w:tc>
          <w:tcPr>
            <w:tcW w:w="1167" w:type="dxa"/>
          </w:tcPr>
          <w:p>
            <w:pPr>
              <w:pStyle w:val="CeldaAPA"/>
              <w:jc w:val="center"/>
            </w:pPr>
            <w:r>
              <w:rPr/>
              <w:t xml:space="preserve">2,5</w:t>
            </w:r>
          </w:p>
        </w:tc>
        <w:tc>
          <w:tcPr>
            <w:tcW w:w="1873" w:type="dxa"/>
          </w:tcPr>
          <w:p>
            <w:pPr>
              <w:pStyle w:val="CeldaAPA"/>
              <w:jc w:val="center"/>
            </w:pPr>
            <w:r>
              <w:rPr/>
              <w:t xml:space="preserve">17,9 %</w:t>
            </w:r>
          </w:p>
        </w:tc>
      </w:tr>
      <w:tr>
        <w:tc>
          <w:tcPr>
            <w:tcW w:w="1708" w:type="dxa"/>
          </w:tcPr>
          <w:p>
            <w:pPr>
              <w:pStyle w:val="CeldaAPA"/>
              <w:jc w:val="left"/>
            </w:pPr>
            <w:r>
              <w:rPr/>
              <w:t xml:space="preserve">9. Evaluación del desempeño</w:t>
            </w:r>
          </w:p>
        </w:tc>
        <w:tc>
          <w:tcPr>
            <w:tcW w:w="1418" w:type="dxa"/>
          </w:tcPr>
          <w:p>
            <w:pPr>
              <w:pStyle w:val="CeldaAPA"/>
              <w:jc w:val="center"/>
            </w:pPr>
            <w:r>
              <w:rPr/>
              <w:t xml:space="preserve">6</w:t>
            </w:r>
          </w:p>
        </w:tc>
        <w:tc>
          <w:tcPr>
            <w:tcW w:w="650" w:type="dxa"/>
          </w:tcPr>
          <w:p>
            <w:pPr>
              <w:pStyle w:val="CeldaAPA"/>
              <w:jc w:val="center"/>
            </w:pPr>
            <w:r>
              <w:rPr/>
              <w:t xml:space="preserve">0</w:t>
            </w:r>
          </w:p>
        </w:tc>
        <w:tc>
          <w:tcPr>
            <w:tcW w:w="1151" w:type="dxa"/>
          </w:tcPr>
          <w:p>
            <w:pPr>
              <w:pStyle w:val="CeldaAPA"/>
              <w:jc w:val="center"/>
            </w:pPr>
            <w:r>
              <w:rPr/>
              <w:t xml:space="preserve">0</w:t>
            </w:r>
          </w:p>
        </w:tc>
        <w:tc>
          <w:tcPr>
            <w:tcW w:w="1116" w:type="dxa"/>
          </w:tcPr>
          <w:p>
            <w:pPr>
              <w:pStyle w:val="CeldaAPA"/>
              <w:jc w:val="center"/>
            </w:pPr>
            <w:r>
              <w:rPr/>
              <w:t xml:space="preserve">3</w:t>
            </w:r>
          </w:p>
        </w:tc>
        <w:tc>
          <w:tcPr>
            <w:tcW w:w="1097" w:type="dxa"/>
          </w:tcPr>
          <w:p>
            <w:pPr>
              <w:pStyle w:val="CeldaAPA"/>
              <w:jc w:val="center"/>
            </w:pPr>
            <w:r>
              <w:rPr/>
              <w:t xml:space="preserve">3</w:t>
            </w:r>
          </w:p>
        </w:tc>
        <w:tc>
          <w:tcPr>
            <w:tcW w:w="1167" w:type="dxa"/>
          </w:tcPr>
          <w:p>
            <w:pPr>
              <w:pStyle w:val="CeldaAPA"/>
              <w:jc w:val="center"/>
            </w:pPr>
            <w:r>
              <w:rPr/>
              <w:t xml:space="preserve">1,5</w:t>
            </w:r>
          </w:p>
        </w:tc>
        <w:tc>
          <w:tcPr>
            <w:tcW w:w="1873" w:type="dxa"/>
          </w:tcPr>
          <w:p>
            <w:pPr>
              <w:pStyle w:val="CeldaAPA"/>
              <w:jc w:val="center"/>
            </w:pPr>
            <w:r>
              <w:rPr/>
              <w:t xml:space="preserve">25,0 %</w:t>
            </w:r>
          </w:p>
        </w:tc>
      </w:tr>
      <w:tr>
        <w:tc>
          <w:tcPr>
            <w:tcW w:w="1708" w:type="dxa"/>
          </w:tcPr>
          <w:p>
            <w:pPr>
              <w:pStyle w:val="CeldaAPA"/>
              <w:jc w:val="left"/>
            </w:pPr>
            <w:r>
              <w:rPr/>
              <w:t xml:space="preserve">10. Mejora</w:t>
            </w:r>
          </w:p>
        </w:tc>
        <w:tc>
          <w:tcPr>
            <w:tcW w:w="1418" w:type="dxa"/>
          </w:tcPr>
          <w:p>
            <w:pPr>
              <w:pStyle w:val="CeldaAPA"/>
              <w:jc w:val="center"/>
            </w:pPr>
            <w:r>
              <w:rPr/>
              <w:t xml:space="preserve">5</w:t>
            </w:r>
          </w:p>
        </w:tc>
        <w:tc>
          <w:tcPr>
            <w:tcW w:w="650" w:type="dxa"/>
          </w:tcPr>
          <w:p>
            <w:pPr>
              <w:pStyle w:val="CeldaAPA"/>
              <w:jc w:val="center"/>
            </w:pPr>
            <w:r>
              <w:rPr/>
              <w:t xml:space="preserve">0</w:t>
            </w:r>
          </w:p>
        </w:tc>
        <w:tc>
          <w:tcPr>
            <w:tcW w:w="1151" w:type="dxa"/>
          </w:tcPr>
          <w:p>
            <w:pPr>
              <w:pStyle w:val="CeldaAPA"/>
              <w:jc w:val="center"/>
            </w:pPr>
            <w:r>
              <w:rPr/>
              <w:t xml:space="preserve">0</w:t>
            </w:r>
          </w:p>
        </w:tc>
        <w:tc>
          <w:tcPr>
            <w:tcW w:w="1116" w:type="dxa"/>
          </w:tcPr>
          <w:p>
            <w:pPr>
              <w:pStyle w:val="CeldaAPA"/>
              <w:jc w:val="center"/>
            </w:pPr>
            <w:r>
              <w:rPr/>
              <w:t xml:space="preserve">1</w:t>
            </w:r>
          </w:p>
        </w:tc>
        <w:tc>
          <w:tcPr>
            <w:tcW w:w="1097" w:type="dxa"/>
          </w:tcPr>
          <w:p>
            <w:pPr>
              <w:pStyle w:val="CeldaAPA"/>
              <w:jc w:val="center"/>
            </w:pPr>
            <w:r>
              <w:rPr/>
              <w:t xml:space="preserve">4</w:t>
            </w:r>
          </w:p>
        </w:tc>
        <w:tc>
          <w:tcPr>
            <w:tcW w:w="1167" w:type="dxa"/>
          </w:tcPr>
          <w:p>
            <w:pPr>
              <w:pStyle w:val="CeldaAPA"/>
              <w:jc w:val="center"/>
            </w:pPr>
            <w:r>
              <w:rPr/>
              <w:t xml:space="preserve">0,5</w:t>
            </w:r>
          </w:p>
        </w:tc>
        <w:tc>
          <w:tcPr>
            <w:tcW w:w="1873" w:type="dxa"/>
          </w:tcPr>
          <w:p>
            <w:pPr>
              <w:pStyle w:val="CeldaAPA"/>
              <w:jc w:val="center"/>
            </w:pPr>
            <w:r>
              <w:rPr/>
              <w:t xml:space="preserve">10,0 %</w:t>
            </w:r>
          </w:p>
        </w:tc>
      </w:tr>
      <w:tr>
        <w:tc>
          <w:tcPr>
            <w:tcW w:w="1708" w:type="dxa"/>
            <w:tcBorders>
              <w:top w:val="single" w:sz="4" w:space="0" w:color="000000"/>
              <w:bottom w:val="single" w:sz="8" w:space="0" w:color="000000"/>
            </w:tcBorders>
          </w:tcPr>
          <w:p>
            <w:pPr>
              <w:pStyle w:val="CeldaAPA"/>
              <w:jc w:val="left"/>
            </w:pPr>
            <w:r>
              <w:rPr>
                <w:bCs/>
                <w:b/>
              </w:rPr>
              <w:t xml:space="preserve">Global</w:t>
            </w:r>
          </w:p>
        </w:tc>
        <w:tc>
          <w:tcPr>
            <w:tcW w:w="1418" w:type="dxa"/>
            <w:tcBorders>
              <w:top w:val="single" w:sz="4" w:space="0" w:color="000000"/>
              <w:bottom w:val="single" w:sz="8" w:space="0" w:color="000000"/>
            </w:tcBorders>
          </w:tcPr>
          <w:p>
            <w:pPr>
              <w:pStyle w:val="CeldaAPA"/>
              <w:jc w:val="center"/>
            </w:pPr>
            <w:r>
              <w:rPr>
                <w:bCs/>
                <w:b/>
              </w:rPr>
              <w:t xml:space="preserve">48</w:t>
            </w:r>
          </w:p>
        </w:tc>
        <w:tc>
          <w:tcPr>
            <w:tcW w:w="650" w:type="dxa"/>
            <w:tcBorders>
              <w:top w:val="single" w:sz="4" w:space="0" w:color="000000"/>
              <w:bottom w:val="single" w:sz="8" w:space="0" w:color="000000"/>
            </w:tcBorders>
          </w:tcPr>
          <w:p>
            <w:pPr>
              <w:pStyle w:val="CeldaAPA"/>
              <w:jc w:val="center"/>
            </w:pPr>
            <w:r>
              <w:rPr>
                <w:bCs/>
                <w:b/>
              </w:rPr>
              <w:t xml:space="preserve">2</w:t>
            </w:r>
          </w:p>
        </w:tc>
        <w:tc>
          <w:tcPr>
            <w:tcW w:w="1151" w:type="dxa"/>
            <w:tcBorders>
              <w:top w:val="single" w:sz="4" w:space="0" w:color="000000"/>
              <w:bottom w:val="single" w:sz="8" w:space="0" w:color="000000"/>
            </w:tcBorders>
          </w:tcPr>
          <w:p>
            <w:pPr>
              <w:pStyle w:val="CeldaAPA"/>
              <w:jc w:val="center"/>
            </w:pPr>
            <w:r>
              <w:rPr>
                <w:bCs/>
                <w:b/>
              </w:rPr>
              <w:t xml:space="preserve">0</w:t>
            </w:r>
          </w:p>
        </w:tc>
        <w:tc>
          <w:tcPr>
            <w:tcW w:w="1116" w:type="dxa"/>
            <w:tcBorders>
              <w:top w:val="single" w:sz="4" w:space="0" w:color="000000"/>
              <w:bottom w:val="single" w:sz="8" w:space="0" w:color="000000"/>
            </w:tcBorders>
          </w:tcPr>
          <w:p>
            <w:pPr>
              <w:pStyle w:val="CeldaAPA"/>
              <w:jc w:val="center"/>
            </w:pPr>
            <w:r>
              <w:rPr>
                <w:bCs/>
                <w:b/>
              </w:rPr>
              <w:t xml:space="preserve">19</w:t>
            </w:r>
          </w:p>
        </w:tc>
        <w:tc>
          <w:tcPr>
            <w:tcW w:w="1097" w:type="dxa"/>
            <w:tcBorders>
              <w:top w:val="single" w:sz="4" w:space="0" w:color="000000"/>
              <w:bottom w:val="single" w:sz="8" w:space="0" w:color="000000"/>
            </w:tcBorders>
          </w:tcPr>
          <w:p>
            <w:pPr>
              <w:pStyle w:val="CeldaAPA"/>
              <w:jc w:val="center"/>
            </w:pPr>
            <w:r>
              <w:rPr>
                <w:bCs/>
                <w:b/>
              </w:rPr>
              <w:t xml:space="preserve">29</w:t>
            </w:r>
          </w:p>
        </w:tc>
        <w:tc>
          <w:tcPr>
            <w:tcW w:w="1167" w:type="dxa"/>
            <w:tcBorders>
              <w:top w:val="single" w:sz="4" w:space="0" w:color="000000"/>
              <w:bottom w:val="single" w:sz="8" w:space="0" w:color="000000"/>
            </w:tcBorders>
          </w:tcPr>
          <w:p>
            <w:pPr>
              <w:pStyle w:val="CeldaAPA"/>
              <w:jc w:val="center"/>
            </w:pPr>
            <w:r>
              <w:rPr>
                <w:bCs/>
                <w:b/>
              </w:rPr>
              <w:t xml:space="preserve">9,5</w:t>
            </w:r>
          </w:p>
        </w:tc>
        <w:tc>
          <w:tcPr>
            <w:tcW w:w="1873" w:type="dxa"/>
            <w:tcBorders>
              <w:top w:val="single" w:sz="4" w:space="0" w:color="000000"/>
              <w:bottom w:val="single" w:sz="8" w:space="0" w:color="000000"/>
            </w:tcBorders>
          </w:tcPr>
          <w:p>
            <w:pPr>
              <w:pStyle w:val="CeldaAPA"/>
              <w:jc w:val="center"/>
            </w:pPr>
            <w:r>
              <w:rPr>
                <w:bCs/>
                <w:b/>
              </w:rPr>
              <w:t xml:space="preserve">19,8 %</w:t>
            </w:r>
          </w:p>
        </w:tc>
      </w:tr>
    </w:tbl>
    <w:p>
      <w:pPr>
        <w:pStyle w:val="NotaAPA"/>
      </w:pPr>
      <w:r>
        <w:rPr>
          <w:iCs/>
          <w:i/>
        </w:rPr>
        <w:t xml:space="preserve">Nota.</w:t>
      </w:r>
      <w:r>
        <w:t xml:space="preserve"> </w:t>
      </w:r>
      <w:r>
        <w:t xml:space="preserve">Elaboración propia. Cumplimiento = puntaje / requisitos aplicables</w:t>
      </w:r>
      <w:r>
        <w:t xml:space="preserve"> </w:t>
      </w:r>
      <m:oMath>
        <m:r>
          <m:rPr>
            <m:sty m:val="p"/>
          </m:rPr>
          <m:t>×</m:t>
        </m:r>
      </m:oMath>
      <w:r>
        <w:t xml:space="preserve"> </w:t>
      </w:r>
      <w:r>
        <w:t xml:space="preserve">100. El cumplimiento global se calcula con el total de requisitos (9,5/48); el promedio simple de las siete cláusulas es 19,3 %. Según la escala de</w:t>
      </w:r>
      <w:r>
        <w:t xml:space="preserve"> </w:t>
      </w:r>
      <w:r>
        <w:t xml:space="preserve">Mamani Calsina (2025, p. 42)</w:t>
      </w:r>
      <w:r>
        <w:t xml:space="preserve">, todas las cláusulas y el resultado global se ubican en el rango «deficiente o no implementado» (0–25 %).</w:t>
      </w:r>
    </w:p>
    <w:p>
      <w:pPr>
        <w:pStyle w:val="Heading2"/>
      </w:pPr>
      <w:bookmarkStart w:id="352" w:name="tit164"/>
      <w:r>
        <w:t xml:space="preserve">C.2. Fichas PPI de liberación por paño</w:t>
      </w:r>
      <w:bookmarkEnd w:id="352"/>
    </w:p>
    <w:p>
      <w:pPr>
        <w:pStyle w:val="FirstParagraph"/>
      </w:pPr>
      <w:r>
        <w:rPr>
          <w:bCs/>
          <w:b/>
        </w:rPr>
        <w:t xml:space="preserve">Uso.</w:t>
      </w:r>
      <w:r>
        <w:t xml:space="preserve"> </w:t>
      </w:r>
      <w:r>
        <w:t xml:space="preserve">Una ficha por paño. Marque C (conforme), NC (no conforme) o NA (no aplica). Los puntos de espera (H) no se superan sin la firma del Supervisor; los de aviso (W) se notifican a la Supervisión. Toda NC se registra en el formato C.5 con su número. Criterios: Tabla 36 del plan de la calidad.</w:t>
      </w:r>
    </w:p>
    <w:tbl>
      <w:tblPr>
        <w:tblStyle w:val="Table"/>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0" w:lastRow="0" w:firstColumn="0" w:lastColumn="0" w:noHBand="0" w:noVBand="0" w:val="0000"/>
      </w:tblPr>
      <w:tblGrid>
        <w:gridCol w:w="2930"/>
        <w:gridCol w:w="4240"/>
        <w:gridCol w:w="1900"/>
      </w:tblGrid>
      <w:tr>
        <w:tc>
          <w:tcPr>
            <w:tcW w:w="2930" w:type="dxa"/>
          </w:tcPr>
          <w:p>
            <w:pPr>
              <w:pStyle w:val="CeldaAPA"/>
              <w:jc w:val="left"/>
            </w:pPr>
            <w:r>
              <w:rPr>
                <w:bCs/>
                <w:b/>
                <w:sz w:val="20"/>
                <w:szCs w:val="20"/>
              </w:rPr>
              <w:t xml:space="preserve">UATF – Edificio de Posgrado</w:t>
            </w:r>
          </w:p>
        </w:tc>
        <w:tc>
          <w:tcPr>
            <w:tcW w:w="4240" w:type="dxa"/>
            <w:vMerge w:val="restart"/>
          </w:tcPr>
          <w:p>
            <w:pPr>
              <w:pStyle w:val="CeldaAPA"/>
              <w:jc w:val="left"/>
            </w:pPr>
            <w:r>
              <w:rPr>
                <w:bCs/>
                <w:b/>
                <w:sz w:val="20"/>
                <w:szCs w:val="20"/>
              </w:rPr>
              <w:t xml:space="preserve">Ficha PPI de liberación del paño</w:t>
            </w:r>
          </w:p>
        </w:tc>
        <w:tc>
          <w:tcPr>
            <w:tcW w:w="1900" w:type="dxa"/>
          </w:tcPr>
          <w:p>
            <w:pPr>
              <w:pStyle w:val="CeldaAPA"/>
              <w:jc w:val="left"/>
            </w:pPr>
            <w:r>
              <w:rPr>
                <w:bCs/>
                <w:b/>
                <w:sz w:val="20"/>
                <w:szCs w:val="20"/>
              </w:rPr>
              <w:t xml:space="preserve">Código:</w:t>
            </w:r>
            <w:r>
              <w:rPr>
                <w:sz w:val="20"/>
                <w:szCs w:val="20"/>
              </w:rPr>
              <w:t xml:space="preserve"> </w:t>
            </w:r>
            <w:r>
              <w:rPr>
                <w:sz w:val="20"/>
                <w:szCs w:val="20"/>
              </w:rPr>
              <w:t xml:space="preserve">C.2</w:t>
            </w:r>
          </w:p>
        </w:tc>
      </w:tr>
      <w:tr>
        <w:tc>
          <w:tcPr>
            <w:tcW w:w="2930" w:type="dxa"/>
          </w:tcPr>
          <w:p>
            <w:pPr>
              <w:pStyle w:val="CeldaAPA"/>
              <w:jc w:val="left"/>
            </w:pPr>
            <w:r>
              <w:rPr>
                <w:sz w:val="20"/>
                <w:szCs w:val="20"/>
              </w:rPr>
              <w:t xml:space="preserve">Ítem 13: losa alivianada h = 25 cm</w:t>
            </w:r>
          </w:p>
        </w:tc>
        <w:tc>
          <w:tcPr>
            <w:tcW w:w="4240" w:type="dxa"/>
            <w:gridSpan w:val="1"/>
            <w:vMerge w:val="continue"/>
          </w:tcPr>
          <w:p>
            <w:pPr>
              <w:pStyle w:val="CeldaAPA"/>
            </w:pPr>
          </w:p>
        </w:tc>
        <w:tc>
          <w:tcPr>
            <w:tcW w:w="1900" w:type="dxa"/>
          </w:tcPr>
          <w:p>
            <w:pPr>
              <w:pStyle w:val="CeldaAPA"/>
              <w:jc w:val="left"/>
            </w:pPr>
            <w:r>
              <w:rPr>
                <w:sz w:val="20"/>
                <w:szCs w:val="20"/>
              </w:rPr>
              <w:t xml:space="preserve">Versión 0</w:t>
            </w:r>
          </w:p>
        </w:tc>
      </w:tr>
    </w:tbl>
    <w:tbl>
      <w:tblPr>
        <w:tblStyle w:val="Table"/>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0" w:lastRow="0" w:firstColumn="0" w:lastColumn="0" w:noHBand="0" w:noVBand="0" w:val="0000"/>
      </w:tblPr>
      <w:tblGrid>
        <w:gridCol w:w="2340"/>
        <w:gridCol w:w="2340"/>
        <w:gridCol w:w="2340"/>
        <w:gridCol w:w="2340"/>
      </w:tblGrid>
      <w:tr>
        <w:tc>
          <w:tcPr>
            <w:tcW w:w="2340" w:type="dxa"/>
          </w:tcPr>
          <w:p>
            <w:pPr>
              <w:pStyle w:val="CeldaAPA"/>
              <w:jc w:val="left"/>
            </w:pPr>
            <w:r>
              <w:rPr>
                <w:sz w:val="20"/>
                <w:szCs w:val="20"/>
              </w:rPr>
              <w:t xml:space="preserve">Losa N.</w:t>
            </w:r>
            <w:r>
              <w:rPr>
                <w:vertAlign w:val="superscript"/>
                <w:sz w:val="20"/>
                <w:szCs w:val="20"/>
              </w:rPr>
              <w:t xml:space="preserve">o</w:t>
            </w:r>
            <w:r>
              <w:rPr>
                <w:sz w:val="20"/>
                <w:szCs w:val="20"/>
              </w:rPr>
              <w:t xml:space="preserve"> ______________</w:t>
            </w:r>
          </w:p>
        </w:tc>
        <w:tc>
          <w:tcPr>
            <w:tcW w:w="2340" w:type="dxa"/>
          </w:tcPr>
          <w:p>
            <w:pPr>
              <w:pStyle w:val="CeldaAPA"/>
              <w:jc w:val="left"/>
            </w:pPr>
            <w:r>
              <w:rPr>
                <w:sz w:val="20"/>
                <w:szCs w:val="20"/>
              </w:rPr>
              <w:t xml:space="preserve">Paño N.</w:t>
            </w:r>
            <w:r>
              <w:rPr>
                <w:vertAlign w:val="superscript"/>
                <w:sz w:val="20"/>
                <w:szCs w:val="20"/>
              </w:rPr>
              <w:t xml:space="preserve">o</w:t>
            </w:r>
            <w:r>
              <w:rPr>
                <w:sz w:val="20"/>
                <w:szCs w:val="20"/>
              </w:rPr>
              <w:t xml:space="preserve"> ______________</w:t>
            </w:r>
          </w:p>
        </w:tc>
        <w:tc>
          <w:tcPr>
            <w:tcW w:w="2340" w:type="dxa"/>
          </w:tcPr>
          <w:p>
            <w:pPr>
              <w:pStyle w:val="CeldaAPA"/>
              <w:jc w:val="left"/>
            </w:pPr>
            <w:r>
              <w:rPr>
                <w:sz w:val="20"/>
                <w:szCs w:val="20"/>
              </w:rPr>
              <w:t xml:space="preserve">Ejes ______________</w:t>
            </w:r>
          </w:p>
        </w:tc>
        <w:tc>
          <w:tcPr>
            <w:tcW w:w="2340" w:type="dxa"/>
          </w:tcPr>
          <w:p>
            <w:pPr>
              <w:pStyle w:val="CeldaAPA"/>
              <w:jc w:val="left"/>
            </w:pPr>
            <w:r>
              <w:rPr>
                <w:sz w:val="20"/>
                <w:szCs w:val="20"/>
              </w:rPr>
              <w:t xml:space="preserve">Área (m</w:t>
            </w:r>
            <w:r>
              <w:rPr>
                <w:vertAlign w:val="superscript"/>
                <w:sz w:val="20"/>
                <w:szCs w:val="20"/>
              </w:rPr>
              <w:t xml:space="preserve">2</w:t>
            </w:r>
            <w:r>
              <w:rPr>
                <w:sz w:val="20"/>
                <w:szCs w:val="20"/>
              </w:rPr>
              <w:t xml:space="preserve">) ______________</w:t>
            </w:r>
          </w:p>
        </w:tc>
      </w:tr>
      <w:tr>
        <w:tc>
          <w:tcPr>
            <w:tcW w:w="2340" w:type="dxa"/>
          </w:tcPr>
          <w:p>
            <w:pPr>
              <w:pStyle w:val="CeldaAPA"/>
              <w:jc w:val="left"/>
            </w:pPr>
            <w:r>
              <w:rPr>
                <w:sz w:val="20"/>
                <w:szCs w:val="20"/>
              </w:rPr>
              <w:t xml:space="preserve">Viguetas (Plano 03): n.</w:t>
            </w:r>
            <w:r>
              <w:rPr>
                <w:vertAlign w:val="superscript"/>
                <w:sz w:val="20"/>
                <w:szCs w:val="20"/>
              </w:rPr>
              <w:t xml:space="preserve">o</w:t>
            </w:r>
            <w:r>
              <w:rPr>
                <w:sz w:val="20"/>
                <w:szCs w:val="20"/>
              </w:rPr>
              <w:t xml:space="preserve"> ______________</w:t>
            </w:r>
          </w:p>
        </w:tc>
        <w:tc>
          <w:tcPr>
            <w:tcW w:w="2340" w:type="dxa"/>
          </w:tcPr>
          <w:p>
            <w:pPr>
              <w:pStyle w:val="CeldaAPA"/>
              <w:jc w:val="left"/>
            </w:pPr>
            <w:r>
              <w:rPr>
                <w:sz w:val="20"/>
                <w:szCs w:val="20"/>
              </w:rPr>
              <w:t xml:space="preserve">Tipo y longitud ______________</w:t>
            </w:r>
          </w:p>
        </w:tc>
        <w:tc>
          <w:tcPr>
            <w:tcW w:w="2340" w:type="dxa"/>
          </w:tcPr>
          <w:p>
            <w:pPr>
              <w:pStyle w:val="CeldaAPA"/>
              <w:jc w:val="left"/>
            </w:pPr>
            <w:r>
              <w:rPr>
                <w:sz w:val="20"/>
                <w:szCs w:val="20"/>
              </w:rPr>
              <w:t xml:space="preserve">Luz libre (m) ______________</w:t>
            </w:r>
          </w:p>
        </w:tc>
        <w:tc>
          <w:tcPr>
            <w:tcW w:w="2340" w:type="dxa"/>
          </w:tcPr>
          <w:p>
            <w:pPr>
              <w:pStyle w:val="CeldaAPA"/>
              <w:jc w:val="left"/>
            </w:pPr>
            <w:r>
              <w:rPr>
                <w:sz w:val="20"/>
                <w:szCs w:val="20"/>
              </w:rPr>
              <w:t xml:space="preserve">Fecha de inicio ______________</w:t>
            </w:r>
          </w:p>
        </w:tc>
      </w:tr>
    </w:tbl>
    <w:tbl>
      <w:tblPr>
        <w:tblStyle w:val="Table"/>
        <w:tblW w:w="9362"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1" w:lastRow="0" w:firstColumn="0" w:lastColumn="0" w:noHBand="0" w:noVBand="0" w:val="0020"/>
      </w:tblPr>
      <w:tblGrid>
        <w:gridCol w:w="666"/>
        <w:gridCol w:w="1955"/>
        <w:gridCol w:w="2779"/>
        <w:gridCol w:w="461"/>
        <w:gridCol w:w="650"/>
        <w:gridCol w:w="650"/>
        <w:gridCol w:w="2201"/>
      </w:tblGrid>
      <w:tr>
        <w:trPr>
          <w:cantSplit/>
          <w:tblHeader w:val="true"/>
        </w:trPr>
        <w:tc>
          <w:tcPr>
            <w:tcW w:w="9362" w:type="dxa"/>
            <w:gridSpan w:val="7"/>
          </w:tcPr>
          <w:p>
            <w:pPr>
              <w:pStyle w:val="CeldaAPA"/>
              <w:jc w:val="left"/>
            </w:pPr>
            <w:r>
              <w:rPr>
                <w:bCs/>
                <w:b/>
                <w:sz w:val="20"/>
                <w:szCs w:val="20"/>
              </w:rPr>
              <w:t xml:space="preserve">A. Apuntalamiento y encofrado — punto de espera (H)</w:t>
            </w:r>
          </w:p>
        </w:tc>
      </w:tr>
      <w:tr>
        <w:tc>
          <w:tcPr>
            <w:tcW w:w="666" w:type="dxa"/>
          </w:tcPr>
          <w:p>
            <w:pPr>
              <w:pStyle w:val="CeldaAPA"/>
              <w:jc w:val="left"/>
            </w:pPr>
            <w:r>
              <w:rPr>
                <w:bCs/>
                <w:b/>
                <w:sz w:val="20"/>
                <w:szCs w:val="20"/>
              </w:rPr>
              <w:t xml:space="preserve">N.</w:t>
            </w:r>
            <w:r>
              <w:rPr>
                <w:vertAlign w:val="superscript"/>
                <w:bCs/>
                <w:b/>
                <w:sz w:val="20"/>
                <w:szCs w:val="20"/>
              </w:rPr>
              <w:t xml:space="preserve">o</w:t>
            </w:r>
          </w:p>
        </w:tc>
        <w:tc>
          <w:tcPr>
            <w:tcW w:w="1955" w:type="dxa"/>
          </w:tcPr>
          <w:p>
            <w:pPr>
              <w:pStyle w:val="CeldaAPA"/>
              <w:jc w:val="left"/>
            </w:pPr>
            <w:r>
              <w:rPr>
                <w:bCs/>
                <w:b/>
                <w:sz w:val="20"/>
                <w:szCs w:val="20"/>
              </w:rPr>
              <w:t xml:space="preserve">Punto de control</w:t>
            </w:r>
          </w:p>
        </w:tc>
        <w:tc>
          <w:tcPr>
            <w:tcW w:w="2779" w:type="dxa"/>
          </w:tcPr>
          <w:p>
            <w:pPr>
              <w:pStyle w:val="CeldaAPA"/>
              <w:jc w:val="left"/>
            </w:pPr>
            <w:r>
              <w:rPr>
                <w:bCs/>
                <w:b/>
                <w:sz w:val="20"/>
                <w:szCs w:val="20"/>
              </w:rPr>
              <w:t xml:space="preserve">Criterio de aceptación</w:t>
            </w:r>
          </w:p>
        </w:tc>
        <w:tc>
          <w:tcPr>
            <w:tcW w:w="461" w:type="dxa"/>
          </w:tcPr>
          <w:p>
            <w:pPr>
              <w:pStyle w:val="CeldaAPA"/>
              <w:jc w:val="center"/>
            </w:pPr>
            <w:r>
              <w:rPr>
                <w:bCs/>
                <w:b/>
                <w:sz w:val="20"/>
                <w:szCs w:val="20"/>
              </w:rPr>
              <w:t xml:space="preserve">C</w:t>
            </w:r>
          </w:p>
        </w:tc>
        <w:tc>
          <w:tcPr>
            <w:tcW w:w="650" w:type="dxa"/>
          </w:tcPr>
          <w:p>
            <w:pPr>
              <w:pStyle w:val="CeldaAPA"/>
              <w:jc w:val="center"/>
            </w:pPr>
            <w:r>
              <w:rPr>
                <w:bCs/>
                <w:b/>
                <w:sz w:val="20"/>
                <w:szCs w:val="20"/>
              </w:rPr>
              <w:t xml:space="preserve">NC</w:t>
            </w:r>
          </w:p>
        </w:tc>
        <w:tc>
          <w:tcPr>
            <w:tcW w:w="650" w:type="dxa"/>
          </w:tcPr>
          <w:p>
            <w:pPr>
              <w:pStyle w:val="CeldaAPA"/>
              <w:jc w:val="center"/>
            </w:pPr>
            <w:r>
              <w:rPr>
                <w:bCs/>
                <w:b/>
                <w:sz w:val="20"/>
                <w:szCs w:val="20"/>
              </w:rPr>
              <w:t xml:space="preserve">NA</w:t>
            </w:r>
          </w:p>
        </w:tc>
        <w:tc>
          <w:tcPr>
            <w:tcW w:w="2201" w:type="dxa"/>
          </w:tcPr>
          <w:p>
            <w:pPr>
              <w:pStyle w:val="CeldaAPA"/>
              <w:jc w:val="left"/>
            </w:pPr>
            <w:r>
              <w:rPr>
                <w:bCs/>
                <w:b/>
                <w:sz w:val="20"/>
                <w:szCs w:val="20"/>
              </w:rPr>
              <w:t xml:space="preserve">Observación o valor medido</w:t>
            </w:r>
          </w:p>
        </w:tc>
      </w:tr>
      <w:tr>
        <w:tc>
          <w:tcPr>
            <w:tcW w:w="666" w:type="dxa"/>
          </w:tcPr>
          <w:p>
            <w:pPr>
              <w:pStyle w:val="CeldaAPA"/>
              <w:jc w:val="left"/>
            </w:pPr>
            <w:r>
              <w:rPr>
                <w:sz w:val="20"/>
                <w:szCs w:val="20"/>
              </w:rPr>
              <w:t xml:space="preserve">A1</w:t>
            </w:r>
          </w:p>
        </w:tc>
        <w:tc>
          <w:tcPr>
            <w:tcW w:w="1955" w:type="dxa"/>
          </w:tcPr>
          <w:p>
            <w:pPr>
              <w:pStyle w:val="CeldaAPA"/>
              <w:jc w:val="left"/>
            </w:pPr>
            <w:r>
              <w:rPr>
                <w:sz w:val="20"/>
                <w:szCs w:val="20"/>
              </w:rPr>
              <w:t xml:space="preserve">Ejes y niveles</w:t>
            </w:r>
          </w:p>
        </w:tc>
        <w:tc>
          <w:tcPr>
            <w:tcW w:w="2779" w:type="dxa"/>
          </w:tcPr>
          <w:p>
            <w:pPr>
              <w:pStyle w:val="CeldaAPA"/>
              <w:jc w:val="left"/>
            </w:pPr>
            <w:r>
              <w:rPr>
                <w:sz w:val="20"/>
                <w:szCs w:val="20"/>
              </w:rPr>
              <w:t xml:space="preserve">Según el Plano 01; niveles de fondo de viga verificados</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pPr>
          </w:p>
        </w:tc>
      </w:tr>
      <w:tr>
        <w:tc>
          <w:tcPr>
            <w:tcW w:w="666" w:type="dxa"/>
          </w:tcPr>
          <w:p>
            <w:pPr>
              <w:pStyle w:val="CeldaAPA"/>
              <w:jc w:val="left"/>
            </w:pPr>
            <w:r>
              <w:rPr>
                <w:sz w:val="20"/>
                <w:szCs w:val="20"/>
              </w:rPr>
              <w:t xml:space="preserve">A2</w:t>
            </w:r>
          </w:p>
        </w:tc>
        <w:tc>
          <w:tcPr>
            <w:tcW w:w="1955" w:type="dxa"/>
          </w:tcPr>
          <w:p>
            <w:pPr>
              <w:pStyle w:val="CeldaAPA"/>
              <w:jc w:val="left"/>
            </w:pPr>
            <w:r>
              <w:rPr>
                <w:sz w:val="20"/>
                <w:szCs w:val="20"/>
              </w:rPr>
              <w:t xml:space="preserve">Encofrado de vigas</w:t>
            </w:r>
          </w:p>
        </w:tc>
        <w:tc>
          <w:tcPr>
            <w:tcW w:w="2779" w:type="dxa"/>
          </w:tcPr>
          <w:p>
            <w:pPr>
              <w:pStyle w:val="CeldaAPA"/>
              <w:jc w:val="left"/>
            </w:pPr>
            <w:r>
              <w:rPr>
                <w:sz w:val="20"/>
                <w:szCs w:val="20"/>
              </w:rPr>
              <w:t xml:space="preserve">Estanco, arriostrado y limpio; alero</w:t>
            </w:r>
            <w:r>
              <w:rPr>
                <w:sz w:val="20"/>
                <w:szCs w:val="20"/>
              </w:rPr>
              <w:t xml:space="preserve"> </w:t>
            </w:r>
            <m:oMath>
              <m:r>
                <m:rPr>
                  <m:sty m:val="p"/>
                </m:rPr>
                <m:t>≥</m:t>
              </m:r>
              <m:r>
                <m:t>20</m:t>
              </m:r>
            </m:oMath>
            <w:r>
              <w:rPr>
                <w:sz w:val="20"/>
                <w:szCs w:val="20"/>
              </w:rPr>
              <w:t xml:space="preserve"> cm donde la vigueta corre paralela a la viga</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pPr>
          </w:p>
        </w:tc>
      </w:tr>
      <w:tr>
        <w:tc>
          <w:tcPr>
            <w:tcW w:w="666" w:type="dxa"/>
          </w:tcPr>
          <w:p>
            <w:pPr>
              <w:pStyle w:val="CeldaAPA"/>
              <w:jc w:val="left"/>
            </w:pPr>
            <w:r>
              <w:rPr>
                <w:sz w:val="20"/>
                <w:szCs w:val="20"/>
              </w:rPr>
              <w:t xml:space="preserve">A3</w:t>
            </w:r>
          </w:p>
        </w:tc>
        <w:tc>
          <w:tcPr>
            <w:tcW w:w="1955" w:type="dxa"/>
          </w:tcPr>
          <w:p>
            <w:pPr>
              <w:pStyle w:val="CeldaAPA"/>
              <w:jc w:val="left"/>
            </w:pPr>
            <w:r>
              <w:rPr>
                <w:sz w:val="20"/>
                <w:szCs w:val="20"/>
              </w:rPr>
              <w:t xml:space="preserve">Soleras</w:t>
            </w:r>
          </w:p>
        </w:tc>
        <w:tc>
          <w:tcPr>
            <w:tcW w:w="2779" w:type="dxa"/>
          </w:tcPr>
          <w:p>
            <w:pPr>
              <w:pStyle w:val="CeldaAPA"/>
              <w:jc w:val="left"/>
            </w:pPr>
            <w:r>
              <w:rPr>
                <w:sz w:val="20"/>
                <w:szCs w:val="20"/>
              </w:rPr>
              <w:t xml:space="preserve">Sección</w:t>
            </w:r>
            <w:r>
              <w:rPr>
                <w:sz w:val="20"/>
                <w:szCs w:val="20"/>
              </w:rPr>
              <w:t xml:space="preserve"> </w:t>
            </w:r>
            <m:oMath>
              <m:r>
                <m:rPr>
                  <m:sty m:val="p"/>
                </m:rPr>
                <m:t>≥</m:t>
              </m:r>
              <m:r>
                <m:t>2</m:t>
              </m:r>
              <m:r>
                <m:rPr>
                  <m:sty m:val="p"/>
                </m:rPr>
                <m:t>″</m:t>
              </m:r>
              <m:r>
                <m:rPr>
                  <m:sty m:val="p"/>
                </m:rPr>
                <m:t>×</m:t>
              </m:r>
              <m:r>
                <m:t>4</m:t>
              </m:r>
              <m:r>
                <m:rPr>
                  <m:sty m:val="p"/>
                </m:rPr>
                <m:t>″</m:t>
              </m:r>
            </m:oMath>
            <w:r>
              <w:rPr>
                <w:sz w:val="20"/>
                <w:szCs w:val="20"/>
              </w:rPr>
              <w:t xml:space="preserve">; una (luz de 2 a 4 m), dos (4,5 a 6 m) o tres (6,5 a 7,5 m), transversales a las viguetas</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jc w:val="left"/>
            </w:pPr>
            <w:r>
              <w:rPr>
                <w:sz w:val="20"/>
                <w:szCs w:val="20"/>
              </w:rPr>
              <w:t xml:space="preserve">N.</w:t>
            </w:r>
            <w:r>
              <w:rPr>
                <w:vertAlign w:val="superscript"/>
                <w:sz w:val="20"/>
                <w:szCs w:val="20"/>
              </w:rPr>
              <w:t xml:space="preserve">o</w:t>
            </w:r>
            <w:r>
              <w:rPr>
                <w:sz w:val="20"/>
                <w:szCs w:val="20"/>
              </w:rPr>
              <w:t xml:space="preserve"> </w:t>
            </w:r>
            <w:r>
              <w:rPr>
                <w:sz w:val="20"/>
                <w:szCs w:val="20"/>
              </w:rPr>
              <w:t xml:space="preserve">de soleras:</w:t>
            </w:r>
          </w:p>
        </w:tc>
      </w:tr>
      <w:tr>
        <w:tc>
          <w:tcPr>
            <w:tcW w:w="666" w:type="dxa"/>
          </w:tcPr>
          <w:p>
            <w:pPr>
              <w:pStyle w:val="CeldaAPA"/>
              <w:jc w:val="left"/>
            </w:pPr>
            <w:r>
              <w:rPr>
                <w:sz w:val="20"/>
                <w:szCs w:val="20"/>
              </w:rPr>
              <w:t xml:space="preserve">A4</w:t>
            </w:r>
          </w:p>
        </w:tc>
        <w:tc>
          <w:tcPr>
            <w:tcW w:w="1955" w:type="dxa"/>
          </w:tcPr>
          <w:p>
            <w:pPr>
              <w:pStyle w:val="CeldaAPA"/>
              <w:jc w:val="left"/>
            </w:pPr>
            <w:r>
              <w:rPr>
                <w:sz w:val="20"/>
                <w:szCs w:val="20"/>
              </w:rPr>
              <w:t xml:space="preserve">Puntales</w:t>
            </w:r>
          </w:p>
        </w:tc>
        <w:tc>
          <w:tcPr>
            <w:tcW w:w="2779" w:type="dxa"/>
          </w:tcPr>
          <w:p>
            <w:pPr>
              <w:pStyle w:val="CeldaAPA"/>
              <w:jc w:val="left"/>
            </w:pPr>
            <w:r>
              <w:rPr>
                <w:sz w:val="20"/>
                <w:szCs w:val="20"/>
              </w:rPr>
              <w:t xml:space="preserve">Diámetro</w:t>
            </w:r>
            <w:r>
              <w:rPr>
                <w:sz w:val="20"/>
                <w:szCs w:val="20"/>
              </w:rPr>
              <w:t xml:space="preserve"> </w:t>
            </w:r>
            <m:oMath>
              <m:r>
                <m:rPr>
                  <m:sty m:val="p"/>
                </m:rPr>
                <m:t>≥</m:t>
              </m:r>
              <m:r>
                <m:t>4</m:t>
              </m:r>
              <m:r>
                <m:rPr>
                  <m:sty m:val="p"/>
                </m:rPr>
                <m:t>″</m:t>
              </m:r>
            </m:oMath>
            <w:r>
              <w:rPr>
                <w:sz w:val="20"/>
                <w:szCs w:val="20"/>
              </w:rPr>
              <w:t xml:space="preserve">; separación de 0,80 a 1,00 m; sobre tabla o cuña; arriostrados en cruz</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jc w:val="left"/>
            </w:pPr>
            <w:r>
              <w:rPr>
                <w:sz w:val="20"/>
                <w:szCs w:val="20"/>
              </w:rPr>
              <w:t xml:space="preserve">Separación medida (m):</w:t>
            </w:r>
          </w:p>
        </w:tc>
      </w:tr>
      <w:tr>
        <w:tc>
          <w:tcPr>
            <w:tcW w:w="666" w:type="dxa"/>
          </w:tcPr>
          <w:p>
            <w:pPr>
              <w:pStyle w:val="CeldaAPA"/>
              <w:jc w:val="left"/>
            </w:pPr>
            <w:r>
              <w:rPr>
                <w:sz w:val="20"/>
                <w:szCs w:val="20"/>
              </w:rPr>
              <w:t xml:space="preserve">A5</w:t>
            </w:r>
          </w:p>
        </w:tc>
        <w:tc>
          <w:tcPr>
            <w:tcW w:w="1955" w:type="dxa"/>
          </w:tcPr>
          <w:p>
            <w:pPr>
              <w:pStyle w:val="CeldaAPA"/>
              <w:jc w:val="left"/>
            </w:pPr>
            <w:r>
              <w:rPr>
                <w:sz w:val="20"/>
                <w:szCs w:val="20"/>
              </w:rPr>
              <w:t xml:space="preserve">Contraflecha</w:t>
            </w:r>
          </w:p>
        </w:tc>
        <w:tc>
          <w:tcPr>
            <w:tcW w:w="2779" w:type="dxa"/>
          </w:tcPr>
          <w:p>
            <w:pPr>
              <w:pStyle w:val="CeldaAPA"/>
              <w:jc w:val="left"/>
            </w:pPr>
            <w:r>
              <w:rPr>
                <w:sz w:val="20"/>
                <w:szCs w:val="20"/>
              </w:rPr>
              <w:t xml:space="preserve">Según las instrucciones del fabricante</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jc w:val="left"/>
            </w:pPr>
            <w:r>
              <w:rPr>
                <w:sz w:val="20"/>
                <w:szCs w:val="20"/>
              </w:rPr>
              <w:t xml:space="preserve">Medida (mm):</w:t>
            </w:r>
          </w:p>
        </w:tc>
      </w:tr>
      <w:tr>
        <w:tc>
          <w:tcPr>
            <w:tcW w:w="9362" w:type="dxa"/>
            <w:gridSpan w:val="7"/>
          </w:tcPr>
          <w:p>
            <w:pPr>
              <w:pStyle w:val="CeldaAPA"/>
              <w:jc w:val="left"/>
            </w:pPr>
            <w:r>
              <w:rPr>
                <w:bCs/>
                <w:b/>
                <w:sz w:val="20"/>
                <w:szCs w:val="20"/>
              </w:rPr>
              <w:t xml:space="preserve">Liberación A</w:t>
            </w:r>
            <w:r>
              <w:rPr>
                <w:sz w:val="20"/>
                <w:szCs w:val="20"/>
              </w:rPr>
              <w:t xml:space="preserve"> </w:t>
            </w:r>
            <w:r>
              <w:rPr>
                <w:sz w:val="20"/>
                <w:szCs w:val="20"/>
              </w:rPr>
              <w:t xml:space="preserve">_________________ _________________ _________________ _________________</w:t>
            </w:r>
          </w:p>
        </w:tc>
      </w:tr>
      <w:tr>
        <w:tc>
          <w:tcPr>
            <w:tcW w:w="9362" w:type="dxa"/>
            <w:gridSpan w:val="7"/>
          </w:tcPr>
          <w:p>
            <w:pPr>
              <w:pStyle w:val="CeldaAPA"/>
              <w:jc w:val="left"/>
            </w:pPr>
            <w:r>
              <w:rPr>
                <w:bCs/>
                <w:b/>
                <w:sz w:val="20"/>
                <w:szCs w:val="20"/>
              </w:rPr>
              <w:t xml:space="preserve">B. Viguetas y complementos EPS — punto de aviso (W)</w:t>
            </w:r>
          </w:p>
        </w:tc>
      </w:tr>
      <w:tr>
        <w:tc>
          <w:tcPr>
            <w:tcW w:w="666" w:type="dxa"/>
          </w:tcPr>
          <w:p>
            <w:pPr>
              <w:pStyle w:val="CeldaAPA"/>
              <w:jc w:val="left"/>
            </w:pPr>
            <w:r>
              <w:rPr>
                <w:bCs/>
                <w:b/>
                <w:sz w:val="20"/>
                <w:szCs w:val="20"/>
              </w:rPr>
              <w:t xml:space="preserve">N.</w:t>
            </w:r>
            <w:r>
              <w:rPr>
                <w:vertAlign w:val="superscript"/>
                <w:bCs/>
                <w:b/>
                <w:sz w:val="20"/>
                <w:szCs w:val="20"/>
              </w:rPr>
              <w:t xml:space="preserve">o</w:t>
            </w:r>
          </w:p>
        </w:tc>
        <w:tc>
          <w:tcPr>
            <w:tcW w:w="1955" w:type="dxa"/>
          </w:tcPr>
          <w:p>
            <w:pPr>
              <w:pStyle w:val="CeldaAPA"/>
              <w:jc w:val="left"/>
            </w:pPr>
            <w:r>
              <w:rPr>
                <w:bCs/>
                <w:b/>
                <w:sz w:val="20"/>
                <w:szCs w:val="20"/>
              </w:rPr>
              <w:t xml:space="preserve">Punto de control</w:t>
            </w:r>
          </w:p>
        </w:tc>
        <w:tc>
          <w:tcPr>
            <w:tcW w:w="2779" w:type="dxa"/>
          </w:tcPr>
          <w:p>
            <w:pPr>
              <w:pStyle w:val="CeldaAPA"/>
              <w:jc w:val="left"/>
            </w:pPr>
            <w:r>
              <w:rPr>
                <w:bCs/>
                <w:b/>
                <w:sz w:val="20"/>
                <w:szCs w:val="20"/>
              </w:rPr>
              <w:t xml:space="preserve">Criterio de aceptación</w:t>
            </w:r>
          </w:p>
        </w:tc>
        <w:tc>
          <w:tcPr>
            <w:tcW w:w="461" w:type="dxa"/>
          </w:tcPr>
          <w:p>
            <w:pPr>
              <w:pStyle w:val="CeldaAPA"/>
              <w:jc w:val="center"/>
            </w:pPr>
            <w:r>
              <w:rPr>
                <w:bCs/>
                <w:b/>
                <w:sz w:val="20"/>
                <w:szCs w:val="20"/>
              </w:rPr>
              <w:t xml:space="preserve">C</w:t>
            </w:r>
          </w:p>
        </w:tc>
        <w:tc>
          <w:tcPr>
            <w:tcW w:w="650" w:type="dxa"/>
          </w:tcPr>
          <w:p>
            <w:pPr>
              <w:pStyle w:val="CeldaAPA"/>
              <w:jc w:val="center"/>
            </w:pPr>
            <w:r>
              <w:rPr>
                <w:bCs/>
                <w:b/>
                <w:sz w:val="20"/>
                <w:szCs w:val="20"/>
              </w:rPr>
              <w:t xml:space="preserve">NC</w:t>
            </w:r>
          </w:p>
        </w:tc>
        <w:tc>
          <w:tcPr>
            <w:tcW w:w="650" w:type="dxa"/>
          </w:tcPr>
          <w:p>
            <w:pPr>
              <w:pStyle w:val="CeldaAPA"/>
              <w:jc w:val="center"/>
            </w:pPr>
            <w:r>
              <w:rPr>
                <w:bCs/>
                <w:b/>
                <w:sz w:val="20"/>
                <w:szCs w:val="20"/>
              </w:rPr>
              <w:t xml:space="preserve">NA</w:t>
            </w:r>
          </w:p>
        </w:tc>
        <w:tc>
          <w:tcPr>
            <w:tcW w:w="2201" w:type="dxa"/>
          </w:tcPr>
          <w:p>
            <w:pPr>
              <w:pStyle w:val="CeldaAPA"/>
              <w:jc w:val="left"/>
            </w:pPr>
            <w:r>
              <w:rPr>
                <w:bCs/>
                <w:b/>
                <w:sz w:val="20"/>
                <w:szCs w:val="20"/>
              </w:rPr>
              <w:t xml:space="preserve">Observación o valor medido</w:t>
            </w:r>
          </w:p>
        </w:tc>
      </w:tr>
      <w:tr>
        <w:tc>
          <w:tcPr>
            <w:tcW w:w="666" w:type="dxa"/>
          </w:tcPr>
          <w:p>
            <w:pPr>
              <w:pStyle w:val="CeldaAPA"/>
              <w:jc w:val="left"/>
            </w:pPr>
            <w:r>
              <w:rPr>
                <w:sz w:val="20"/>
                <w:szCs w:val="20"/>
              </w:rPr>
              <w:t xml:space="preserve">B1</w:t>
            </w:r>
          </w:p>
        </w:tc>
        <w:tc>
          <w:tcPr>
            <w:tcW w:w="1955" w:type="dxa"/>
          </w:tcPr>
          <w:p>
            <w:pPr>
              <w:pStyle w:val="CeldaAPA"/>
              <w:jc w:val="left"/>
            </w:pPr>
            <w:r>
              <w:rPr>
                <w:sz w:val="20"/>
                <w:szCs w:val="20"/>
              </w:rPr>
              <w:t xml:space="preserve">Viguetas</w:t>
            </w:r>
          </w:p>
        </w:tc>
        <w:tc>
          <w:tcPr>
            <w:tcW w:w="2779" w:type="dxa"/>
          </w:tcPr>
          <w:p>
            <w:pPr>
              <w:pStyle w:val="CeldaAPA"/>
              <w:jc w:val="left"/>
            </w:pPr>
            <w:r>
              <w:rPr>
                <w:sz w:val="20"/>
                <w:szCs w:val="20"/>
              </w:rPr>
              <w:t xml:space="preserve">Número, tipo y longitud según el Plano 03; lote aceptado (ficha C.3)</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jc w:val="left"/>
            </w:pPr>
            <w:r>
              <w:rPr>
                <w:sz w:val="20"/>
                <w:szCs w:val="20"/>
              </w:rPr>
              <w:t xml:space="preserve">C.3 N.</w:t>
            </w:r>
            <w:r>
              <w:rPr>
                <w:vertAlign w:val="superscript"/>
                <w:sz w:val="20"/>
                <w:szCs w:val="20"/>
              </w:rPr>
              <w:t xml:space="preserve">o</w:t>
            </w:r>
            <w:r>
              <w:rPr>
                <w:sz w:val="20"/>
                <w:szCs w:val="20"/>
              </w:rPr>
              <w:t xml:space="preserve">:</w:t>
            </w:r>
          </w:p>
        </w:tc>
      </w:tr>
      <w:tr>
        <w:tc>
          <w:tcPr>
            <w:tcW w:w="666" w:type="dxa"/>
          </w:tcPr>
          <w:p>
            <w:pPr>
              <w:pStyle w:val="CeldaAPA"/>
              <w:jc w:val="left"/>
            </w:pPr>
            <w:r>
              <w:rPr>
                <w:sz w:val="20"/>
                <w:szCs w:val="20"/>
              </w:rPr>
              <w:t xml:space="preserve">B2</w:t>
            </w:r>
          </w:p>
        </w:tc>
        <w:tc>
          <w:tcPr>
            <w:tcW w:w="1955" w:type="dxa"/>
          </w:tcPr>
          <w:p>
            <w:pPr>
              <w:pStyle w:val="CeldaAPA"/>
              <w:jc w:val="left"/>
            </w:pPr>
            <w:r>
              <w:rPr>
                <w:sz w:val="20"/>
                <w:szCs w:val="20"/>
              </w:rPr>
              <w:t xml:space="preserve">Separación</w:t>
            </w:r>
          </w:p>
        </w:tc>
        <w:tc>
          <w:tcPr>
            <w:tcW w:w="2779" w:type="dxa"/>
          </w:tcPr>
          <w:p>
            <w:pPr>
              <w:pStyle w:val="CeldaAPA"/>
              <w:jc w:val="left"/>
            </w:pPr>
            <w:r>
              <w:rPr>
                <w:sz w:val="20"/>
                <w:szCs w:val="20"/>
              </w:rPr>
              <w:t xml:space="preserve">50 cm entre ejes</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pPr>
          </w:p>
        </w:tc>
      </w:tr>
      <w:tr>
        <w:tc>
          <w:tcPr>
            <w:tcW w:w="666" w:type="dxa"/>
          </w:tcPr>
          <w:p>
            <w:pPr>
              <w:pStyle w:val="CeldaAPA"/>
              <w:jc w:val="left"/>
            </w:pPr>
            <w:r>
              <w:rPr>
                <w:sz w:val="20"/>
                <w:szCs w:val="20"/>
              </w:rPr>
              <w:t xml:space="preserve">B3</w:t>
            </w:r>
          </w:p>
        </w:tc>
        <w:tc>
          <w:tcPr>
            <w:tcW w:w="1955" w:type="dxa"/>
          </w:tcPr>
          <w:p>
            <w:pPr>
              <w:pStyle w:val="CeldaAPA"/>
              <w:jc w:val="left"/>
            </w:pPr>
            <w:r>
              <w:rPr>
                <w:sz w:val="20"/>
                <w:szCs w:val="20"/>
              </w:rPr>
              <w:t xml:space="preserve">Apoyos</w:t>
            </w:r>
          </w:p>
        </w:tc>
        <w:tc>
          <w:tcPr>
            <w:tcW w:w="2779" w:type="dxa"/>
          </w:tcPr>
          <w:p>
            <w:pPr>
              <w:pStyle w:val="CeldaAPA"/>
              <w:jc w:val="left"/>
            </w:pPr>
            <m:oMath>
              <m:r>
                <m:rPr>
                  <m:sty m:val="p"/>
                </m:rPr>
                <m:t>≥</m:t>
              </m:r>
              <m:r>
                <m:t>5</m:t>
              </m:r>
            </m:oMath>
            <w:r>
              <w:rPr>
                <w:sz w:val="20"/>
                <w:szCs w:val="20"/>
              </w:rPr>
              <w:t xml:space="preserve"> cm si se vacía con la viga;</w:t>
            </w:r>
            <w:r>
              <w:rPr>
                <w:sz w:val="20"/>
                <w:szCs w:val="20"/>
              </w:rPr>
              <w:t xml:space="preserve"> </w:t>
            </w:r>
            <m:oMath>
              <m:r>
                <m:rPr>
                  <m:sty m:val="p"/>
                </m:rPr>
                <m:t>≥</m:t>
              </m:r>
              <m:r>
                <m:t>10</m:t>
              </m:r>
            </m:oMath>
            <w:r>
              <w:rPr>
                <w:sz w:val="20"/>
                <w:szCs w:val="20"/>
              </w:rPr>
              <w:t xml:space="preserve"> cm sobre viga ya vaciada</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jc w:val="left"/>
            </w:pPr>
            <w:r>
              <w:rPr>
                <w:sz w:val="20"/>
                <w:szCs w:val="20"/>
              </w:rPr>
              <w:t xml:space="preserve">Mínimo medido (cm):</w:t>
            </w:r>
          </w:p>
        </w:tc>
      </w:tr>
      <w:tr>
        <w:tc>
          <w:tcPr>
            <w:tcW w:w="666" w:type="dxa"/>
          </w:tcPr>
          <w:p>
            <w:pPr>
              <w:pStyle w:val="CeldaAPA"/>
              <w:jc w:val="left"/>
            </w:pPr>
            <w:r>
              <w:rPr>
                <w:sz w:val="20"/>
                <w:szCs w:val="20"/>
              </w:rPr>
              <w:t xml:space="preserve">B4</w:t>
            </w:r>
          </w:p>
        </w:tc>
        <w:tc>
          <w:tcPr>
            <w:tcW w:w="1955" w:type="dxa"/>
          </w:tcPr>
          <w:p>
            <w:pPr>
              <w:pStyle w:val="CeldaAPA"/>
              <w:jc w:val="left"/>
            </w:pPr>
            <w:r>
              <w:rPr>
                <w:sz w:val="20"/>
                <w:szCs w:val="20"/>
              </w:rPr>
              <w:t xml:space="preserve">Estado</w:t>
            </w:r>
          </w:p>
        </w:tc>
        <w:tc>
          <w:tcPr>
            <w:tcW w:w="2779" w:type="dxa"/>
          </w:tcPr>
          <w:p>
            <w:pPr>
              <w:pStyle w:val="CeldaAPA"/>
              <w:jc w:val="left"/>
            </w:pPr>
            <w:r>
              <w:rPr>
                <w:sz w:val="20"/>
                <w:szCs w:val="20"/>
              </w:rPr>
              <w:t xml:space="preserve">Sin fisuras, golpes ni flecha</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pPr>
          </w:p>
        </w:tc>
      </w:tr>
      <w:tr>
        <w:tc>
          <w:tcPr>
            <w:tcW w:w="666" w:type="dxa"/>
          </w:tcPr>
          <w:p>
            <w:pPr>
              <w:pStyle w:val="CeldaAPA"/>
              <w:jc w:val="left"/>
            </w:pPr>
            <w:r>
              <w:rPr>
                <w:sz w:val="20"/>
                <w:szCs w:val="20"/>
              </w:rPr>
              <w:t xml:space="preserve">B5</w:t>
            </w:r>
          </w:p>
        </w:tc>
        <w:tc>
          <w:tcPr>
            <w:tcW w:w="1955" w:type="dxa"/>
          </w:tcPr>
          <w:p>
            <w:pPr>
              <w:pStyle w:val="CeldaAPA"/>
              <w:jc w:val="left"/>
            </w:pPr>
            <w:r>
              <w:rPr>
                <w:sz w:val="20"/>
                <w:szCs w:val="20"/>
              </w:rPr>
              <w:t xml:space="preserve">Complementos EPS</w:t>
            </w:r>
          </w:p>
        </w:tc>
        <w:tc>
          <w:tcPr>
            <w:tcW w:w="2779" w:type="dxa"/>
          </w:tcPr>
          <w:p>
            <w:pPr>
              <w:pStyle w:val="CeldaAPA"/>
              <w:jc w:val="left"/>
            </w:pPr>
            <w:r>
              <w:rPr>
                <w:sz w:val="20"/>
                <w:szCs w:val="20"/>
              </w:rPr>
              <w:t xml:space="preserve">Geometría aprobada; piezas enteras y ajustadas; sin huecos; cortes solo en bordes y nervios</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jc w:val="left"/>
            </w:pPr>
            <w:r>
              <w:rPr>
                <w:sz w:val="20"/>
                <w:szCs w:val="20"/>
              </w:rPr>
              <w:t xml:space="preserve">Piezas colocadas:</w:t>
            </w:r>
          </w:p>
        </w:tc>
      </w:tr>
      <w:tr>
        <w:tc>
          <w:tcPr>
            <w:tcW w:w="666" w:type="dxa"/>
          </w:tcPr>
          <w:p>
            <w:pPr>
              <w:pStyle w:val="CeldaAPA"/>
              <w:jc w:val="left"/>
            </w:pPr>
            <w:r>
              <w:rPr>
                <w:sz w:val="20"/>
                <w:szCs w:val="20"/>
              </w:rPr>
              <w:t xml:space="preserve">B6</w:t>
            </w:r>
          </w:p>
        </w:tc>
        <w:tc>
          <w:tcPr>
            <w:tcW w:w="1955" w:type="dxa"/>
          </w:tcPr>
          <w:p>
            <w:pPr>
              <w:pStyle w:val="CeldaAPA"/>
              <w:jc w:val="left"/>
            </w:pPr>
            <w:r>
              <w:rPr>
                <w:sz w:val="20"/>
                <w:szCs w:val="20"/>
              </w:rPr>
              <w:t xml:space="preserve">Tránsito</w:t>
            </w:r>
          </w:p>
        </w:tc>
        <w:tc>
          <w:tcPr>
            <w:tcW w:w="2779" w:type="dxa"/>
          </w:tcPr>
          <w:p>
            <w:pPr>
              <w:pStyle w:val="CeldaAPA"/>
              <w:jc w:val="left"/>
            </w:pPr>
            <w:r>
              <w:rPr>
                <w:sz w:val="20"/>
                <w:szCs w:val="20"/>
              </w:rPr>
              <w:t xml:space="preserve">Tablones o pasarelas colocados; no se pisan las piezas</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pPr>
          </w:p>
        </w:tc>
      </w:tr>
      <w:tr>
        <w:tc>
          <w:tcPr>
            <w:tcW w:w="9362" w:type="dxa"/>
            <w:gridSpan w:val="7"/>
          </w:tcPr>
          <w:p>
            <w:pPr>
              <w:pStyle w:val="CeldaAPA"/>
              <w:jc w:val="left"/>
            </w:pPr>
            <w:r>
              <w:rPr>
                <w:bCs/>
                <w:b/>
                <w:sz w:val="20"/>
                <w:szCs w:val="20"/>
              </w:rPr>
              <w:t xml:space="preserve">Conformidad B</w:t>
            </w:r>
            <w:r>
              <w:rPr>
                <w:sz w:val="20"/>
                <w:szCs w:val="20"/>
              </w:rPr>
              <w:t xml:space="preserve"> </w:t>
            </w:r>
            <w:r>
              <w:rPr>
                <w:sz w:val="20"/>
                <w:szCs w:val="20"/>
              </w:rPr>
              <w:t xml:space="preserve">_________________ _________________ _________________</w:t>
            </w:r>
          </w:p>
        </w:tc>
      </w:tr>
      <w:tr>
        <w:tc>
          <w:tcPr>
            <w:tcW w:w="9362" w:type="dxa"/>
            <w:gridSpan w:val="7"/>
          </w:tcPr>
          <w:p>
            <w:pPr>
              <w:pStyle w:val="CeldaAPA"/>
              <w:jc w:val="left"/>
            </w:pPr>
            <w:r>
              <w:rPr>
                <w:bCs/>
                <w:b/>
                <w:sz w:val="20"/>
                <w:szCs w:val="20"/>
              </w:rPr>
              <w:t xml:space="preserve">C. Nervios, armadura de distribución, negativos y continuidad — punto de espera (H)</w:t>
            </w:r>
          </w:p>
        </w:tc>
      </w:tr>
      <w:tr>
        <w:tc>
          <w:tcPr>
            <w:tcW w:w="666" w:type="dxa"/>
          </w:tcPr>
          <w:p>
            <w:pPr>
              <w:pStyle w:val="CeldaAPA"/>
              <w:jc w:val="left"/>
            </w:pPr>
            <w:r>
              <w:rPr>
                <w:bCs/>
                <w:b/>
                <w:sz w:val="20"/>
                <w:szCs w:val="20"/>
              </w:rPr>
              <w:t xml:space="preserve">N.</w:t>
            </w:r>
            <w:r>
              <w:rPr>
                <w:vertAlign w:val="superscript"/>
                <w:bCs/>
                <w:b/>
                <w:sz w:val="20"/>
                <w:szCs w:val="20"/>
              </w:rPr>
              <w:t xml:space="preserve">o</w:t>
            </w:r>
          </w:p>
        </w:tc>
        <w:tc>
          <w:tcPr>
            <w:tcW w:w="1955" w:type="dxa"/>
          </w:tcPr>
          <w:p>
            <w:pPr>
              <w:pStyle w:val="CeldaAPA"/>
              <w:jc w:val="left"/>
            </w:pPr>
            <w:r>
              <w:rPr>
                <w:bCs/>
                <w:b/>
                <w:sz w:val="20"/>
                <w:szCs w:val="20"/>
              </w:rPr>
              <w:t xml:space="preserve">Punto de control</w:t>
            </w:r>
          </w:p>
        </w:tc>
        <w:tc>
          <w:tcPr>
            <w:tcW w:w="2779" w:type="dxa"/>
          </w:tcPr>
          <w:p>
            <w:pPr>
              <w:pStyle w:val="CeldaAPA"/>
              <w:jc w:val="left"/>
            </w:pPr>
            <w:r>
              <w:rPr>
                <w:bCs/>
                <w:b/>
                <w:sz w:val="20"/>
                <w:szCs w:val="20"/>
              </w:rPr>
              <w:t xml:space="preserve">Criterio de aceptación</w:t>
            </w:r>
          </w:p>
        </w:tc>
        <w:tc>
          <w:tcPr>
            <w:tcW w:w="461" w:type="dxa"/>
          </w:tcPr>
          <w:p>
            <w:pPr>
              <w:pStyle w:val="CeldaAPA"/>
              <w:jc w:val="center"/>
            </w:pPr>
            <w:r>
              <w:rPr>
                <w:bCs/>
                <w:b/>
                <w:sz w:val="20"/>
                <w:szCs w:val="20"/>
              </w:rPr>
              <w:t xml:space="preserve">C</w:t>
            </w:r>
          </w:p>
        </w:tc>
        <w:tc>
          <w:tcPr>
            <w:tcW w:w="650" w:type="dxa"/>
          </w:tcPr>
          <w:p>
            <w:pPr>
              <w:pStyle w:val="CeldaAPA"/>
              <w:jc w:val="center"/>
            </w:pPr>
            <w:r>
              <w:rPr>
                <w:bCs/>
                <w:b/>
                <w:sz w:val="20"/>
                <w:szCs w:val="20"/>
              </w:rPr>
              <w:t xml:space="preserve">NC</w:t>
            </w:r>
          </w:p>
        </w:tc>
        <w:tc>
          <w:tcPr>
            <w:tcW w:w="650" w:type="dxa"/>
          </w:tcPr>
          <w:p>
            <w:pPr>
              <w:pStyle w:val="CeldaAPA"/>
              <w:jc w:val="center"/>
            </w:pPr>
            <w:r>
              <w:rPr>
                <w:bCs/>
                <w:b/>
                <w:sz w:val="20"/>
                <w:szCs w:val="20"/>
              </w:rPr>
              <w:t xml:space="preserve">NA</w:t>
            </w:r>
          </w:p>
        </w:tc>
        <w:tc>
          <w:tcPr>
            <w:tcW w:w="2201" w:type="dxa"/>
          </w:tcPr>
          <w:p>
            <w:pPr>
              <w:pStyle w:val="CeldaAPA"/>
              <w:jc w:val="left"/>
            </w:pPr>
            <w:r>
              <w:rPr>
                <w:bCs/>
                <w:b/>
                <w:sz w:val="20"/>
                <w:szCs w:val="20"/>
              </w:rPr>
              <w:t xml:space="preserve">Observación o valor medido</w:t>
            </w:r>
          </w:p>
        </w:tc>
      </w:tr>
      <w:tr>
        <w:tc>
          <w:tcPr>
            <w:tcW w:w="666" w:type="dxa"/>
          </w:tcPr>
          <w:p>
            <w:pPr>
              <w:pStyle w:val="CeldaAPA"/>
              <w:jc w:val="left"/>
            </w:pPr>
            <w:r>
              <w:rPr>
                <w:sz w:val="20"/>
                <w:szCs w:val="20"/>
              </w:rPr>
              <w:t xml:space="preserve">C1</w:t>
            </w:r>
          </w:p>
        </w:tc>
        <w:tc>
          <w:tcPr>
            <w:tcW w:w="1955" w:type="dxa"/>
          </w:tcPr>
          <w:p>
            <w:pPr>
              <w:pStyle w:val="CeldaAPA"/>
              <w:jc w:val="left"/>
            </w:pPr>
            <w:r>
              <w:rPr>
                <w:sz w:val="20"/>
                <w:szCs w:val="20"/>
              </w:rPr>
              <w:t xml:space="preserve">Nervios transversales</w:t>
            </w:r>
          </w:p>
        </w:tc>
        <w:tc>
          <w:tcPr>
            <w:tcW w:w="2779" w:type="dxa"/>
          </w:tcPr>
          <w:p>
            <w:pPr>
              <w:pStyle w:val="CeldaAPA"/>
              <w:jc w:val="left"/>
            </w:pPr>
            <w:r>
              <w:rPr>
                <w:sz w:val="20"/>
                <w:szCs w:val="20"/>
              </w:rPr>
              <w:t xml:space="preserve">Ubicación y dimensiones según el Plano 02</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pPr>
          </w:p>
        </w:tc>
      </w:tr>
      <w:tr>
        <w:tc>
          <w:tcPr>
            <w:tcW w:w="666" w:type="dxa"/>
          </w:tcPr>
          <w:p>
            <w:pPr>
              <w:pStyle w:val="CeldaAPA"/>
              <w:jc w:val="left"/>
            </w:pPr>
            <w:r>
              <w:rPr>
                <w:sz w:val="20"/>
                <w:szCs w:val="20"/>
              </w:rPr>
              <w:t xml:space="preserve">C2</w:t>
            </w:r>
          </w:p>
        </w:tc>
        <w:tc>
          <w:tcPr>
            <w:tcW w:w="1955" w:type="dxa"/>
          </w:tcPr>
          <w:p>
            <w:pPr>
              <w:pStyle w:val="CeldaAPA"/>
              <w:jc w:val="left"/>
            </w:pPr>
            <w:r>
              <w:rPr>
                <w:sz w:val="20"/>
                <w:szCs w:val="20"/>
              </w:rPr>
              <w:t xml:space="preserve">Armadura de nervios</w:t>
            </w:r>
          </w:p>
        </w:tc>
        <w:tc>
          <w:tcPr>
            <w:tcW w:w="2779" w:type="dxa"/>
          </w:tcPr>
          <w:p>
            <w:pPr>
              <w:pStyle w:val="CeldaAPA"/>
              <w:jc w:val="left"/>
            </w:pPr>
            <w:r>
              <w:rPr>
                <w:sz w:val="20"/>
                <w:szCs w:val="20"/>
              </w:rPr>
              <w:t xml:space="preserve">Según planos: número, diámetro y longitud</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pPr>
          </w:p>
        </w:tc>
      </w:tr>
      <w:tr>
        <w:tc>
          <w:tcPr>
            <w:tcW w:w="666" w:type="dxa"/>
          </w:tcPr>
          <w:p>
            <w:pPr>
              <w:pStyle w:val="CeldaAPA"/>
              <w:jc w:val="left"/>
            </w:pPr>
            <w:r>
              <w:rPr>
                <w:sz w:val="20"/>
                <w:szCs w:val="20"/>
              </w:rPr>
              <w:t xml:space="preserve">C3</w:t>
            </w:r>
          </w:p>
        </w:tc>
        <w:tc>
          <w:tcPr>
            <w:tcW w:w="1955" w:type="dxa"/>
          </w:tcPr>
          <w:p>
            <w:pPr>
              <w:pStyle w:val="CeldaAPA"/>
              <w:jc w:val="left"/>
            </w:pPr>
            <w:r>
              <w:rPr>
                <w:sz w:val="20"/>
                <w:szCs w:val="20"/>
              </w:rPr>
              <w:t xml:space="preserve">Parrilla</w:t>
            </w:r>
          </w:p>
        </w:tc>
        <w:tc>
          <w:tcPr>
            <w:tcW w:w="2779" w:type="dxa"/>
          </w:tcPr>
          <w:p>
            <w:pPr>
              <w:pStyle w:val="CeldaAPA"/>
              <w:jc w:val="left"/>
            </w:pPr>
            <m:oMath>
              <m:r>
                <m:t>ϕ</m:t>
              </m:r>
            </m:oMath>
            <w:r>
              <w:rPr>
                <w:sz w:val="20"/>
                <w:szCs w:val="20"/>
              </w:rPr>
              <w:t xml:space="preserve">6 c/20 cm en ambas direcciones (Plano 02)</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jc w:val="left"/>
            </w:pPr>
            <w:r>
              <w:rPr>
                <w:sz w:val="20"/>
                <w:szCs w:val="20"/>
              </w:rPr>
              <w:t xml:space="preserve">Separación medida (cm):</w:t>
            </w:r>
          </w:p>
        </w:tc>
      </w:tr>
      <w:tr>
        <w:tc>
          <w:tcPr>
            <w:tcW w:w="666" w:type="dxa"/>
          </w:tcPr>
          <w:p>
            <w:pPr>
              <w:pStyle w:val="CeldaAPA"/>
              <w:jc w:val="left"/>
            </w:pPr>
            <w:r>
              <w:rPr>
                <w:sz w:val="20"/>
                <w:szCs w:val="20"/>
              </w:rPr>
              <w:t xml:space="preserve">C4</w:t>
            </w:r>
          </w:p>
        </w:tc>
        <w:tc>
          <w:tcPr>
            <w:tcW w:w="1955" w:type="dxa"/>
          </w:tcPr>
          <w:p>
            <w:pPr>
              <w:pStyle w:val="CeldaAPA"/>
              <w:jc w:val="left"/>
            </w:pPr>
            <w:r>
              <w:rPr>
                <w:sz w:val="20"/>
                <w:szCs w:val="20"/>
              </w:rPr>
              <w:t xml:space="preserve">Negativos y continuidad</w:t>
            </w:r>
          </w:p>
        </w:tc>
        <w:tc>
          <w:tcPr>
            <w:tcW w:w="2779" w:type="dxa"/>
          </w:tcPr>
          <w:p>
            <w:pPr>
              <w:pStyle w:val="CeldaAPA"/>
              <w:jc w:val="left"/>
            </w:pPr>
            <w:r>
              <w:rPr>
                <w:sz w:val="20"/>
                <w:szCs w:val="20"/>
              </w:rPr>
              <w:t xml:space="preserve">Según planos y lo exigido por el fabricante de viguetas</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pPr>
          </w:p>
        </w:tc>
      </w:tr>
      <w:tr>
        <w:tc>
          <w:tcPr>
            <w:tcW w:w="666" w:type="dxa"/>
          </w:tcPr>
          <w:p>
            <w:pPr>
              <w:pStyle w:val="CeldaAPA"/>
              <w:jc w:val="left"/>
            </w:pPr>
            <w:r>
              <w:rPr>
                <w:sz w:val="20"/>
                <w:szCs w:val="20"/>
              </w:rPr>
              <w:t xml:space="preserve">C5</w:t>
            </w:r>
          </w:p>
        </w:tc>
        <w:tc>
          <w:tcPr>
            <w:tcW w:w="1955" w:type="dxa"/>
          </w:tcPr>
          <w:p>
            <w:pPr>
              <w:pStyle w:val="CeldaAPA"/>
              <w:jc w:val="left"/>
            </w:pPr>
            <w:r>
              <w:rPr>
                <w:sz w:val="20"/>
                <w:szCs w:val="20"/>
              </w:rPr>
              <w:t xml:space="preserve">Separadores y recubrimiento</w:t>
            </w:r>
          </w:p>
        </w:tc>
        <w:tc>
          <w:tcPr>
            <w:tcW w:w="2779" w:type="dxa"/>
          </w:tcPr>
          <w:p>
            <w:pPr>
              <w:pStyle w:val="CeldaAPA"/>
              <w:jc w:val="left"/>
            </w:pPr>
            <w:r>
              <w:rPr>
                <w:sz w:val="20"/>
                <w:szCs w:val="20"/>
              </w:rPr>
              <w:t xml:space="preserve">Parrilla separada del EPS; separadores suficientes; recubrimiento según planos</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jc w:val="left"/>
            </w:pPr>
            <w:r>
              <w:rPr>
                <w:sz w:val="20"/>
                <w:szCs w:val="20"/>
              </w:rPr>
              <w:t xml:space="preserve">Recubrimiento (cm):</w:t>
            </w:r>
          </w:p>
        </w:tc>
      </w:tr>
      <w:tr>
        <w:tc>
          <w:tcPr>
            <w:tcW w:w="666" w:type="dxa"/>
          </w:tcPr>
          <w:p>
            <w:pPr>
              <w:pStyle w:val="CeldaAPA"/>
              <w:jc w:val="left"/>
            </w:pPr>
            <w:r>
              <w:rPr>
                <w:sz w:val="20"/>
                <w:szCs w:val="20"/>
              </w:rPr>
              <w:t xml:space="preserve">C6</w:t>
            </w:r>
          </w:p>
        </w:tc>
        <w:tc>
          <w:tcPr>
            <w:tcW w:w="1955" w:type="dxa"/>
          </w:tcPr>
          <w:p>
            <w:pPr>
              <w:pStyle w:val="CeldaAPA"/>
              <w:jc w:val="left"/>
            </w:pPr>
            <w:r>
              <w:rPr>
                <w:sz w:val="20"/>
                <w:szCs w:val="20"/>
              </w:rPr>
              <w:t xml:space="preserve">Amarres y limpieza</w:t>
            </w:r>
          </w:p>
        </w:tc>
        <w:tc>
          <w:tcPr>
            <w:tcW w:w="2779" w:type="dxa"/>
          </w:tcPr>
          <w:p>
            <w:pPr>
              <w:pStyle w:val="CeldaAPA"/>
              <w:jc w:val="left"/>
            </w:pPr>
            <w:r>
              <w:rPr>
                <w:sz w:val="20"/>
                <w:szCs w:val="20"/>
              </w:rPr>
              <w:t xml:space="preserve">Empalmes y amarres completos; barras sin barro, aceite ni óxido suelto</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pPr>
          </w:p>
        </w:tc>
      </w:tr>
      <w:tr>
        <w:tc>
          <w:tcPr>
            <w:tcW w:w="666" w:type="dxa"/>
          </w:tcPr>
          <w:p>
            <w:pPr>
              <w:pStyle w:val="CeldaAPA"/>
              <w:jc w:val="left"/>
            </w:pPr>
            <w:r>
              <w:rPr>
                <w:sz w:val="20"/>
                <w:szCs w:val="20"/>
              </w:rPr>
              <w:t xml:space="preserve">C7</w:t>
            </w:r>
          </w:p>
        </w:tc>
        <w:tc>
          <w:tcPr>
            <w:tcW w:w="1955" w:type="dxa"/>
          </w:tcPr>
          <w:p>
            <w:pPr>
              <w:pStyle w:val="CeldaAPA"/>
              <w:jc w:val="left"/>
            </w:pPr>
            <w:r>
              <w:rPr>
                <w:sz w:val="20"/>
                <w:szCs w:val="20"/>
              </w:rPr>
              <w:t xml:space="preserve">Trazabilidad del acero</w:t>
            </w:r>
          </w:p>
        </w:tc>
        <w:tc>
          <w:tcPr>
            <w:tcW w:w="2779" w:type="dxa"/>
          </w:tcPr>
          <w:p>
            <w:pPr>
              <w:pStyle w:val="CeldaAPA"/>
              <w:jc w:val="left"/>
            </w:pPr>
            <w:r>
              <w:rPr>
                <w:sz w:val="20"/>
                <w:szCs w:val="20"/>
              </w:rPr>
              <w:t xml:space="preserve">Certificado por colada y diámetro aceptado (ficha C.3)</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jc w:val="left"/>
            </w:pPr>
            <w:r>
              <w:rPr>
                <w:sz w:val="20"/>
                <w:szCs w:val="20"/>
              </w:rPr>
              <w:t xml:space="preserve">C.3 N.</w:t>
            </w:r>
            <w:r>
              <w:rPr>
                <w:vertAlign w:val="superscript"/>
                <w:sz w:val="20"/>
                <w:szCs w:val="20"/>
              </w:rPr>
              <w:t xml:space="preserve">o</w:t>
            </w:r>
            <w:r>
              <w:rPr>
                <w:sz w:val="20"/>
                <w:szCs w:val="20"/>
              </w:rPr>
              <w:t xml:space="preserve">:</w:t>
            </w:r>
          </w:p>
        </w:tc>
      </w:tr>
      <w:tr>
        <w:tc>
          <w:tcPr>
            <w:tcW w:w="9362" w:type="dxa"/>
            <w:gridSpan w:val="7"/>
          </w:tcPr>
          <w:p>
            <w:pPr>
              <w:pStyle w:val="CeldaAPA"/>
              <w:jc w:val="left"/>
            </w:pPr>
            <w:r>
              <w:rPr>
                <w:bCs/>
                <w:b/>
                <w:sz w:val="20"/>
                <w:szCs w:val="20"/>
              </w:rPr>
              <w:t xml:space="preserve">Liberación C</w:t>
            </w:r>
            <w:r>
              <w:rPr>
                <w:sz w:val="20"/>
                <w:szCs w:val="20"/>
              </w:rPr>
              <w:t xml:space="preserve"> </w:t>
            </w:r>
            <w:r>
              <w:rPr>
                <w:sz w:val="20"/>
                <w:szCs w:val="20"/>
              </w:rPr>
              <w:t xml:space="preserve">_________________ _________________ _________________ _________________</w:t>
            </w:r>
          </w:p>
        </w:tc>
      </w:tr>
      <w:tr>
        <w:tc>
          <w:tcPr>
            <w:tcW w:w="9362" w:type="dxa"/>
            <w:gridSpan w:val="7"/>
          </w:tcPr>
          <w:p>
            <w:pPr>
              <w:pStyle w:val="CeldaAPA"/>
              <w:jc w:val="left"/>
            </w:pPr>
            <w:r>
              <w:rPr>
                <w:bCs/>
                <w:b/>
                <w:sz w:val="20"/>
                <w:szCs w:val="20"/>
              </w:rPr>
              <w:t xml:space="preserve">D. Instalaciones embebidas — punto de aviso (W)</w:t>
            </w:r>
          </w:p>
        </w:tc>
      </w:tr>
      <w:tr>
        <w:tc>
          <w:tcPr>
            <w:tcW w:w="666" w:type="dxa"/>
          </w:tcPr>
          <w:p>
            <w:pPr>
              <w:pStyle w:val="CeldaAPA"/>
              <w:jc w:val="left"/>
            </w:pPr>
            <w:r>
              <w:rPr>
                <w:bCs/>
                <w:b/>
                <w:sz w:val="20"/>
                <w:szCs w:val="20"/>
              </w:rPr>
              <w:t xml:space="preserve">N.</w:t>
            </w:r>
            <w:r>
              <w:rPr>
                <w:vertAlign w:val="superscript"/>
                <w:bCs/>
                <w:b/>
                <w:sz w:val="20"/>
                <w:szCs w:val="20"/>
              </w:rPr>
              <w:t xml:space="preserve">o</w:t>
            </w:r>
          </w:p>
        </w:tc>
        <w:tc>
          <w:tcPr>
            <w:tcW w:w="1955" w:type="dxa"/>
          </w:tcPr>
          <w:p>
            <w:pPr>
              <w:pStyle w:val="CeldaAPA"/>
              <w:jc w:val="left"/>
            </w:pPr>
            <w:r>
              <w:rPr>
                <w:bCs/>
                <w:b/>
                <w:sz w:val="20"/>
                <w:szCs w:val="20"/>
              </w:rPr>
              <w:t xml:space="preserve">Punto de control</w:t>
            </w:r>
          </w:p>
        </w:tc>
        <w:tc>
          <w:tcPr>
            <w:tcW w:w="2779" w:type="dxa"/>
          </w:tcPr>
          <w:p>
            <w:pPr>
              <w:pStyle w:val="CeldaAPA"/>
              <w:jc w:val="left"/>
            </w:pPr>
            <w:r>
              <w:rPr>
                <w:bCs/>
                <w:b/>
                <w:sz w:val="20"/>
                <w:szCs w:val="20"/>
              </w:rPr>
              <w:t xml:space="preserve">Criterio de aceptación</w:t>
            </w:r>
          </w:p>
        </w:tc>
        <w:tc>
          <w:tcPr>
            <w:tcW w:w="461" w:type="dxa"/>
          </w:tcPr>
          <w:p>
            <w:pPr>
              <w:pStyle w:val="CeldaAPA"/>
              <w:jc w:val="center"/>
            </w:pPr>
            <w:r>
              <w:rPr>
                <w:bCs/>
                <w:b/>
                <w:sz w:val="20"/>
                <w:szCs w:val="20"/>
              </w:rPr>
              <w:t xml:space="preserve">C</w:t>
            </w:r>
          </w:p>
        </w:tc>
        <w:tc>
          <w:tcPr>
            <w:tcW w:w="650" w:type="dxa"/>
          </w:tcPr>
          <w:p>
            <w:pPr>
              <w:pStyle w:val="CeldaAPA"/>
              <w:jc w:val="center"/>
            </w:pPr>
            <w:r>
              <w:rPr>
                <w:bCs/>
                <w:b/>
                <w:sz w:val="20"/>
                <w:szCs w:val="20"/>
              </w:rPr>
              <w:t xml:space="preserve">NC</w:t>
            </w:r>
          </w:p>
        </w:tc>
        <w:tc>
          <w:tcPr>
            <w:tcW w:w="650" w:type="dxa"/>
          </w:tcPr>
          <w:p>
            <w:pPr>
              <w:pStyle w:val="CeldaAPA"/>
              <w:jc w:val="center"/>
            </w:pPr>
            <w:r>
              <w:rPr>
                <w:bCs/>
                <w:b/>
                <w:sz w:val="20"/>
                <w:szCs w:val="20"/>
              </w:rPr>
              <w:t xml:space="preserve">NA</w:t>
            </w:r>
          </w:p>
        </w:tc>
        <w:tc>
          <w:tcPr>
            <w:tcW w:w="2201" w:type="dxa"/>
          </w:tcPr>
          <w:p>
            <w:pPr>
              <w:pStyle w:val="CeldaAPA"/>
              <w:jc w:val="left"/>
            </w:pPr>
            <w:r>
              <w:rPr>
                <w:bCs/>
                <w:b/>
                <w:sz w:val="20"/>
                <w:szCs w:val="20"/>
              </w:rPr>
              <w:t xml:space="preserve">Observación o valor medido</w:t>
            </w:r>
          </w:p>
        </w:tc>
      </w:tr>
      <w:tr>
        <w:tc>
          <w:tcPr>
            <w:tcW w:w="666" w:type="dxa"/>
          </w:tcPr>
          <w:p>
            <w:pPr>
              <w:pStyle w:val="CeldaAPA"/>
              <w:jc w:val="left"/>
            </w:pPr>
            <w:r>
              <w:rPr>
                <w:sz w:val="20"/>
                <w:szCs w:val="20"/>
              </w:rPr>
              <w:t xml:space="preserve">D1</w:t>
            </w:r>
          </w:p>
        </w:tc>
        <w:tc>
          <w:tcPr>
            <w:tcW w:w="1955" w:type="dxa"/>
          </w:tcPr>
          <w:p>
            <w:pPr>
              <w:pStyle w:val="CeldaAPA"/>
              <w:jc w:val="left"/>
            </w:pPr>
            <w:r>
              <w:rPr>
                <w:sz w:val="20"/>
                <w:szCs w:val="20"/>
              </w:rPr>
              <w:t xml:space="preserve">Eléctricas</w:t>
            </w:r>
          </w:p>
        </w:tc>
        <w:tc>
          <w:tcPr>
            <w:tcW w:w="2779" w:type="dxa"/>
          </w:tcPr>
          <w:p>
            <w:pPr>
              <w:pStyle w:val="CeldaAPA"/>
              <w:jc w:val="left"/>
            </w:pPr>
            <w:r>
              <w:rPr>
                <w:sz w:val="20"/>
                <w:szCs w:val="20"/>
              </w:rPr>
              <w:t xml:space="preserve">Ductos y cajas según planos de instalaciones</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pPr>
          </w:p>
        </w:tc>
      </w:tr>
      <w:tr>
        <w:tc>
          <w:tcPr>
            <w:tcW w:w="666" w:type="dxa"/>
          </w:tcPr>
          <w:p>
            <w:pPr>
              <w:pStyle w:val="CeldaAPA"/>
              <w:jc w:val="left"/>
            </w:pPr>
            <w:r>
              <w:rPr>
                <w:sz w:val="20"/>
                <w:szCs w:val="20"/>
              </w:rPr>
              <w:t xml:space="preserve">D2</w:t>
            </w:r>
          </w:p>
        </w:tc>
        <w:tc>
          <w:tcPr>
            <w:tcW w:w="1955" w:type="dxa"/>
          </w:tcPr>
          <w:p>
            <w:pPr>
              <w:pStyle w:val="CeldaAPA"/>
              <w:jc w:val="left"/>
            </w:pPr>
            <w:r>
              <w:rPr>
                <w:sz w:val="20"/>
                <w:szCs w:val="20"/>
              </w:rPr>
              <w:t xml:space="preserve">Sanitarias y pases</w:t>
            </w:r>
          </w:p>
        </w:tc>
        <w:tc>
          <w:tcPr>
            <w:tcW w:w="2779" w:type="dxa"/>
          </w:tcPr>
          <w:p>
            <w:pPr>
              <w:pStyle w:val="CeldaAPA"/>
              <w:jc w:val="left"/>
            </w:pPr>
            <w:r>
              <w:rPr>
                <w:sz w:val="20"/>
                <w:szCs w:val="20"/>
              </w:rPr>
              <w:t xml:space="preserve">Según planos; pases sellados</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pPr>
          </w:p>
        </w:tc>
      </w:tr>
      <w:tr>
        <w:tc>
          <w:tcPr>
            <w:tcW w:w="666" w:type="dxa"/>
          </w:tcPr>
          <w:p>
            <w:pPr>
              <w:pStyle w:val="CeldaAPA"/>
              <w:jc w:val="left"/>
            </w:pPr>
            <w:r>
              <w:rPr>
                <w:sz w:val="20"/>
                <w:szCs w:val="20"/>
              </w:rPr>
              <w:t xml:space="preserve">D3</w:t>
            </w:r>
          </w:p>
        </w:tc>
        <w:tc>
          <w:tcPr>
            <w:tcW w:w="1955" w:type="dxa"/>
          </w:tcPr>
          <w:p>
            <w:pPr>
              <w:pStyle w:val="CeldaAPA"/>
              <w:jc w:val="left"/>
            </w:pPr>
            <w:r>
              <w:rPr>
                <w:sz w:val="20"/>
                <w:szCs w:val="20"/>
              </w:rPr>
              <w:t xml:space="preserve">Integridad</w:t>
            </w:r>
          </w:p>
        </w:tc>
        <w:tc>
          <w:tcPr>
            <w:tcW w:w="2779" w:type="dxa"/>
          </w:tcPr>
          <w:p>
            <w:pPr>
              <w:pStyle w:val="CeldaAPA"/>
              <w:jc w:val="left"/>
            </w:pPr>
            <w:r>
              <w:rPr>
                <w:sz w:val="20"/>
                <w:szCs w:val="20"/>
              </w:rPr>
              <w:t xml:space="preserve">Sin cortes en viguetas ni en nervios</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pPr>
          </w:p>
        </w:tc>
      </w:tr>
      <w:tr>
        <w:tc>
          <w:tcPr>
            <w:tcW w:w="9362" w:type="dxa"/>
            <w:gridSpan w:val="7"/>
          </w:tcPr>
          <w:p>
            <w:pPr>
              <w:pStyle w:val="CeldaAPA"/>
              <w:jc w:val="left"/>
            </w:pPr>
            <w:r>
              <w:rPr>
                <w:bCs/>
                <w:b/>
                <w:sz w:val="20"/>
                <w:szCs w:val="20"/>
              </w:rPr>
              <w:t xml:space="preserve">Conformidad D</w:t>
            </w:r>
            <w:r>
              <w:rPr>
                <w:sz w:val="20"/>
                <w:szCs w:val="20"/>
              </w:rPr>
              <w:t xml:space="preserve"> </w:t>
            </w:r>
            <w:r>
              <w:rPr>
                <w:sz w:val="20"/>
                <w:szCs w:val="20"/>
              </w:rPr>
              <w:t xml:space="preserve">_________________ _________________ _________________</w:t>
            </w:r>
          </w:p>
        </w:tc>
      </w:tr>
      <w:tr>
        <w:tc>
          <w:tcPr>
            <w:tcW w:w="9362" w:type="dxa"/>
            <w:gridSpan w:val="7"/>
          </w:tcPr>
          <w:p>
            <w:pPr>
              <w:pStyle w:val="CeldaAPA"/>
              <w:jc w:val="left"/>
            </w:pPr>
            <w:r>
              <w:rPr>
                <w:bCs/>
                <w:b/>
                <w:sz w:val="20"/>
                <w:szCs w:val="20"/>
              </w:rPr>
              <w:t xml:space="preserve">E. Liberación para el vaciado y control del vaciado — punto de espera (H)</w:t>
            </w:r>
          </w:p>
        </w:tc>
      </w:tr>
      <w:tr>
        <w:tc>
          <w:tcPr>
            <w:tcW w:w="666" w:type="dxa"/>
          </w:tcPr>
          <w:p>
            <w:pPr>
              <w:pStyle w:val="CeldaAPA"/>
              <w:jc w:val="left"/>
            </w:pPr>
            <w:r>
              <w:rPr>
                <w:bCs/>
                <w:b/>
                <w:sz w:val="20"/>
                <w:szCs w:val="20"/>
              </w:rPr>
              <w:t xml:space="preserve">N.</w:t>
            </w:r>
            <w:r>
              <w:rPr>
                <w:vertAlign w:val="superscript"/>
                <w:bCs/>
                <w:b/>
                <w:sz w:val="20"/>
                <w:szCs w:val="20"/>
              </w:rPr>
              <w:t xml:space="preserve">o</w:t>
            </w:r>
          </w:p>
        </w:tc>
        <w:tc>
          <w:tcPr>
            <w:tcW w:w="1955" w:type="dxa"/>
          </w:tcPr>
          <w:p>
            <w:pPr>
              <w:pStyle w:val="CeldaAPA"/>
              <w:jc w:val="left"/>
            </w:pPr>
            <w:r>
              <w:rPr>
                <w:bCs/>
                <w:b/>
                <w:sz w:val="20"/>
                <w:szCs w:val="20"/>
              </w:rPr>
              <w:t xml:space="preserve">Punto de control</w:t>
            </w:r>
          </w:p>
        </w:tc>
        <w:tc>
          <w:tcPr>
            <w:tcW w:w="2779" w:type="dxa"/>
          </w:tcPr>
          <w:p>
            <w:pPr>
              <w:pStyle w:val="CeldaAPA"/>
              <w:jc w:val="left"/>
            </w:pPr>
            <w:r>
              <w:rPr>
                <w:bCs/>
                <w:b/>
                <w:sz w:val="20"/>
                <w:szCs w:val="20"/>
              </w:rPr>
              <w:t xml:space="preserve">Criterio de aceptación</w:t>
            </w:r>
          </w:p>
        </w:tc>
        <w:tc>
          <w:tcPr>
            <w:tcW w:w="461" w:type="dxa"/>
          </w:tcPr>
          <w:p>
            <w:pPr>
              <w:pStyle w:val="CeldaAPA"/>
              <w:jc w:val="center"/>
            </w:pPr>
            <w:r>
              <w:rPr>
                <w:bCs/>
                <w:b/>
                <w:sz w:val="20"/>
                <w:szCs w:val="20"/>
              </w:rPr>
              <w:t xml:space="preserve">C</w:t>
            </w:r>
          </w:p>
        </w:tc>
        <w:tc>
          <w:tcPr>
            <w:tcW w:w="650" w:type="dxa"/>
          </w:tcPr>
          <w:p>
            <w:pPr>
              <w:pStyle w:val="CeldaAPA"/>
              <w:jc w:val="center"/>
            </w:pPr>
            <w:r>
              <w:rPr>
                <w:bCs/>
                <w:b/>
                <w:sz w:val="20"/>
                <w:szCs w:val="20"/>
              </w:rPr>
              <w:t xml:space="preserve">NC</w:t>
            </w:r>
          </w:p>
        </w:tc>
        <w:tc>
          <w:tcPr>
            <w:tcW w:w="650" w:type="dxa"/>
          </w:tcPr>
          <w:p>
            <w:pPr>
              <w:pStyle w:val="CeldaAPA"/>
              <w:jc w:val="center"/>
            </w:pPr>
            <w:r>
              <w:rPr>
                <w:bCs/>
                <w:b/>
                <w:sz w:val="20"/>
                <w:szCs w:val="20"/>
              </w:rPr>
              <w:t xml:space="preserve">NA</w:t>
            </w:r>
          </w:p>
        </w:tc>
        <w:tc>
          <w:tcPr>
            <w:tcW w:w="2201" w:type="dxa"/>
          </w:tcPr>
          <w:p>
            <w:pPr>
              <w:pStyle w:val="CeldaAPA"/>
              <w:jc w:val="left"/>
            </w:pPr>
            <w:r>
              <w:rPr>
                <w:bCs/>
                <w:b/>
                <w:sz w:val="20"/>
                <w:szCs w:val="20"/>
              </w:rPr>
              <w:t xml:space="preserve">Observación o valor medido</w:t>
            </w:r>
          </w:p>
        </w:tc>
      </w:tr>
      <w:tr>
        <w:tc>
          <w:tcPr>
            <w:tcW w:w="666" w:type="dxa"/>
          </w:tcPr>
          <w:p>
            <w:pPr>
              <w:pStyle w:val="CeldaAPA"/>
              <w:jc w:val="left"/>
            </w:pPr>
            <w:r>
              <w:rPr>
                <w:sz w:val="20"/>
                <w:szCs w:val="20"/>
              </w:rPr>
              <w:t xml:space="preserve">E1</w:t>
            </w:r>
          </w:p>
        </w:tc>
        <w:tc>
          <w:tcPr>
            <w:tcW w:w="1955" w:type="dxa"/>
          </w:tcPr>
          <w:p>
            <w:pPr>
              <w:pStyle w:val="CeldaAPA"/>
              <w:jc w:val="left"/>
            </w:pPr>
            <w:r>
              <w:rPr>
                <w:sz w:val="20"/>
                <w:szCs w:val="20"/>
              </w:rPr>
              <w:t xml:space="preserve">Etapas previas</w:t>
            </w:r>
          </w:p>
        </w:tc>
        <w:tc>
          <w:tcPr>
            <w:tcW w:w="2779" w:type="dxa"/>
          </w:tcPr>
          <w:p>
            <w:pPr>
              <w:pStyle w:val="CeldaAPA"/>
              <w:jc w:val="left"/>
            </w:pPr>
            <w:r>
              <w:rPr>
                <w:sz w:val="20"/>
                <w:szCs w:val="20"/>
              </w:rPr>
              <w:t xml:space="preserve">A, B, C y D conformes; ninguna NC abierta en el paño</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pPr>
          </w:p>
        </w:tc>
      </w:tr>
      <w:tr>
        <w:tc>
          <w:tcPr>
            <w:tcW w:w="666" w:type="dxa"/>
          </w:tcPr>
          <w:p>
            <w:pPr>
              <w:pStyle w:val="CeldaAPA"/>
              <w:jc w:val="left"/>
            </w:pPr>
            <w:r>
              <w:rPr>
                <w:sz w:val="20"/>
                <w:szCs w:val="20"/>
              </w:rPr>
              <w:t xml:space="preserve">E2</w:t>
            </w:r>
          </w:p>
        </w:tc>
        <w:tc>
          <w:tcPr>
            <w:tcW w:w="1955" w:type="dxa"/>
          </w:tcPr>
          <w:p>
            <w:pPr>
              <w:pStyle w:val="CeldaAPA"/>
              <w:jc w:val="left"/>
            </w:pPr>
            <w:r>
              <w:rPr>
                <w:sz w:val="20"/>
                <w:szCs w:val="20"/>
              </w:rPr>
              <w:t xml:space="preserve">Superficie</w:t>
            </w:r>
          </w:p>
        </w:tc>
        <w:tc>
          <w:tcPr>
            <w:tcW w:w="2779" w:type="dxa"/>
          </w:tcPr>
          <w:p>
            <w:pPr>
              <w:pStyle w:val="CeldaAPA"/>
              <w:jc w:val="left"/>
            </w:pPr>
            <w:r>
              <w:rPr>
                <w:sz w:val="20"/>
                <w:szCs w:val="20"/>
              </w:rPr>
              <w:t xml:space="preserve">Limpia, sin escombros, hielo ni agua estancada; humedecida</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pPr>
          </w:p>
        </w:tc>
      </w:tr>
      <w:tr>
        <w:tc>
          <w:tcPr>
            <w:tcW w:w="666" w:type="dxa"/>
          </w:tcPr>
          <w:p>
            <w:pPr>
              <w:pStyle w:val="CeldaAPA"/>
              <w:jc w:val="left"/>
            </w:pPr>
            <w:r>
              <w:rPr>
                <w:sz w:val="20"/>
                <w:szCs w:val="20"/>
              </w:rPr>
              <w:t xml:space="preserve">E3</w:t>
            </w:r>
          </w:p>
        </w:tc>
        <w:tc>
          <w:tcPr>
            <w:tcW w:w="1955" w:type="dxa"/>
          </w:tcPr>
          <w:p>
            <w:pPr>
              <w:pStyle w:val="CeldaAPA"/>
              <w:jc w:val="left"/>
            </w:pPr>
            <w:r>
              <w:rPr>
                <w:sz w:val="20"/>
                <w:szCs w:val="20"/>
              </w:rPr>
              <w:t xml:space="preserve">Dosificación y existencias</w:t>
            </w:r>
          </w:p>
        </w:tc>
        <w:tc>
          <w:tcPr>
            <w:tcW w:w="2779" w:type="dxa"/>
          </w:tcPr>
          <w:p>
            <w:pPr>
              <w:pStyle w:val="CeldaAPA"/>
              <w:jc w:val="left"/>
            </w:pPr>
            <w:r>
              <w:rPr>
                <w:sz w:val="20"/>
                <w:szCs w:val="20"/>
              </w:rPr>
              <w:t xml:space="preserve">Dosificación aprobada; cemento y áridos para el vaciado completo</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jc w:val="left"/>
            </w:pPr>
            <w:r>
              <w:rPr>
                <w:sz w:val="20"/>
                <w:szCs w:val="20"/>
              </w:rPr>
              <w:t xml:space="preserve">Bolsas disponibles / requeridas:</w:t>
            </w:r>
          </w:p>
        </w:tc>
      </w:tr>
      <w:tr>
        <w:tc>
          <w:tcPr>
            <w:tcW w:w="666" w:type="dxa"/>
          </w:tcPr>
          <w:p>
            <w:pPr>
              <w:pStyle w:val="CeldaAPA"/>
              <w:jc w:val="left"/>
            </w:pPr>
            <w:r>
              <w:rPr>
                <w:sz w:val="20"/>
                <w:szCs w:val="20"/>
              </w:rPr>
              <w:t xml:space="preserve">E4</w:t>
            </w:r>
          </w:p>
        </w:tc>
        <w:tc>
          <w:tcPr>
            <w:tcW w:w="1955" w:type="dxa"/>
          </w:tcPr>
          <w:p>
            <w:pPr>
              <w:pStyle w:val="CeldaAPA"/>
              <w:jc w:val="left"/>
            </w:pPr>
            <w:r>
              <w:rPr>
                <w:sz w:val="20"/>
                <w:szCs w:val="20"/>
              </w:rPr>
              <w:t xml:space="preserve">Equipos y personal</w:t>
            </w:r>
          </w:p>
        </w:tc>
        <w:tc>
          <w:tcPr>
            <w:tcW w:w="2779" w:type="dxa"/>
          </w:tcPr>
          <w:p>
            <w:pPr>
              <w:pStyle w:val="CeldaAPA"/>
              <w:jc w:val="left"/>
            </w:pPr>
            <w:r>
              <w:rPr>
                <w:sz w:val="20"/>
                <w:szCs w:val="20"/>
              </w:rPr>
              <w:t xml:space="preserve">Mezcladora, vibrador y vibrador de reserva; técnico de muestreo y moldes</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jc w:val="left"/>
            </w:pPr>
            <w:r>
              <w:rPr>
                <w:sz w:val="20"/>
                <w:szCs w:val="20"/>
              </w:rPr>
              <w:t xml:space="preserve">N.</w:t>
            </w:r>
            <w:r>
              <w:rPr>
                <w:vertAlign w:val="superscript"/>
                <w:sz w:val="20"/>
                <w:szCs w:val="20"/>
              </w:rPr>
              <w:t xml:space="preserve">o</w:t>
            </w:r>
            <w:r>
              <w:rPr>
                <w:sz w:val="20"/>
                <w:szCs w:val="20"/>
              </w:rPr>
              <w:t xml:space="preserve"> </w:t>
            </w:r>
            <w:r>
              <w:rPr>
                <w:sz w:val="20"/>
                <w:szCs w:val="20"/>
              </w:rPr>
              <w:t xml:space="preserve">de muestras previstas:</w:t>
            </w:r>
          </w:p>
        </w:tc>
      </w:tr>
      <w:tr>
        <w:tc>
          <w:tcPr>
            <w:tcW w:w="666" w:type="dxa"/>
          </w:tcPr>
          <w:p>
            <w:pPr>
              <w:pStyle w:val="CeldaAPA"/>
              <w:jc w:val="left"/>
            </w:pPr>
            <w:r>
              <w:rPr>
                <w:sz w:val="20"/>
                <w:szCs w:val="20"/>
              </w:rPr>
              <w:t xml:space="preserve">E5</w:t>
            </w:r>
          </w:p>
        </w:tc>
        <w:tc>
          <w:tcPr>
            <w:tcW w:w="1955" w:type="dxa"/>
          </w:tcPr>
          <w:p>
            <w:pPr>
              <w:pStyle w:val="CeldaAPA"/>
              <w:jc w:val="left"/>
            </w:pPr>
            <w:r>
              <w:rPr>
                <w:sz w:val="20"/>
                <w:szCs w:val="20"/>
              </w:rPr>
              <w:t xml:space="preserve">Clima</w:t>
            </w:r>
          </w:p>
        </w:tc>
        <w:tc>
          <w:tcPr>
            <w:tcW w:w="2779" w:type="dxa"/>
          </w:tcPr>
          <w:p>
            <w:pPr>
              <w:pStyle w:val="CeldaAPA"/>
              <w:jc w:val="left"/>
            </w:pPr>
            <w:r>
              <w:rPr>
                <w:sz w:val="20"/>
                <w:szCs w:val="20"/>
              </w:rPr>
              <w:t xml:space="preserve">Pronóstico sin lluvia; si la temperatura mínima prevista es menor de 4,4 </w:t>
            </w:r>
            <m:oMath>
              <m:sSup>
                <m:e>
                  <m:r>
                    <m:t>​</m:t>
                  </m:r>
                </m:e>
                <m:sup>
                  <m:r>
                    <m:rPr>
                      <m:sty m:val="p"/>
                    </m:rPr>
                    <m:t>∘</m:t>
                  </m:r>
                </m:sup>
              </m:sSup>
            </m:oMath>
            <w:r>
              <w:rPr>
                <w:sz w:val="20"/>
                <w:szCs w:val="20"/>
              </w:rPr>
              <w:t xml:space="preserve">C, plan de tiempo frío activo</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jc w:val="left"/>
            </w:pPr>
            <w:r>
              <w:rPr>
                <w:sz w:val="20"/>
                <w:szCs w:val="20"/>
              </w:rPr>
              <w:t xml:space="preserve">T mín. prevista (</w:t>
            </w:r>
            <m:oMath>
              <m:sSup>
                <m:e>
                  <m:r>
                    <m:t>​</m:t>
                  </m:r>
                </m:e>
                <m:sup>
                  <m:r>
                    <m:rPr>
                      <m:sty m:val="p"/>
                    </m:rPr>
                    <m:t>∘</m:t>
                  </m:r>
                </m:sup>
              </m:sSup>
            </m:oMath>
            <w:r>
              <w:rPr>
                <w:sz w:val="20"/>
                <w:szCs w:val="20"/>
              </w:rPr>
              <w:t xml:space="preserve">C):</w:t>
            </w:r>
          </w:p>
        </w:tc>
      </w:tr>
      <w:tr>
        <w:tc>
          <w:tcPr>
            <w:tcW w:w="666" w:type="dxa"/>
          </w:tcPr>
          <w:p>
            <w:pPr>
              <w:pStyle w:val="CeldaAPA"/>
              <w:jc w:val="left"/>
            </w:pPr>
            <w:r>
              <w:rPr>
                <w:sz w:val="20"/>
                <w:szCs w:val="20"/>
              </w:rPr>
              <w:t xml:space="preserve">E6</w:t>
            </w:r>
          </w:p>
        </w:tc>
        <w:tc>
          <w:tcPr>
            <w:tcW w:w="1955" w:type="dxa"/>
          </w:tcPr>
          <w:p>
            <w:pPr>
              <w:pStyle w:val="CeldaAPA"/>
              <w:jc w:val="left"/>
            </w:pPr>
            <w:r>
              <w:rPr>
                <w:sz w:val="20"/>
                <w:szCs w:val="20"/>
              </w:rPr>
              <w:t xml:space="preserve">Asentamiento</w:t>
            </w:r>
          </w:p>
        </w:tc>
        <w:tc>
          <w:tcPr>
            <w:tcW w:w="2779" w:type="dxa"/>
          </w:tcPr>
          <w:p>
            <w:pPr>
              <w:pStyle w:val="CeldaAPA"/>
              <w:jc w:val="left"/>
            </w:pPr>
            <w:r>
              <w:rPr>
                <w:sz w:val="20"/>
                <w:szCs w:val="20"/>
              </w:rPr>
              <w:t xml:space="preserve">Dentro del rango de la dosificación (ASTM C143)</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jc w:val="left"/>
            </w:pPr>
            <w:r>
              <w:rPr>
                <w:sz w:val="20"/>
                <w:szCs w:val="20"/>
              </w:rPr>
              <w:t xml:space="preserve">Valores (cm):</w:t>
            </w:r>
          </w:p>
        </w:tc>
      </w:tr>
      <w:tr>
        <w:tc>
          <w:tcPr>
            <w:tcW w:w="666" w:type="dxa"/>
          </w:tcPr>
          <w:p>
            <w:pPr>
              <w:pStyle w:val="CeldaAPA"/>
              <w:jc w:val="left"/>
            </w:pPr>
            <w:r>
              <w:rPr>
                <w:sz w:val="20"/>
                <w:szCs w:val="20"/>
              </w:rPr>
              <w:t xml:space="preserve">E7</w:t>
            </w:r>
          </w:p>
        </w:tc>
        <w:tc>
          <w:tcPr>
            <w:tcW w:w="1955" w:type="dxa"/>
          </w:tcPr>
          <w:p>
            <w:pPr>
              <w:pStyle w:val="CeldaAPA"/>
              <w:jc w:val="left"/>
            </w:pPr>
            <w:r>
              <w:rPr>
                <w:sz w:val="20"/>
                <w:szCs w:val="20"/>
              </w:rPr>
              <w:t xml:space="preserve">Temperaturas</w:t>
            </w:r>
          </w:p>
        </w:tc>
        <w:tc>
          <w:tcPr>
            <w:tcW w:w="2779" w:type="dxa"/>
          </w:tcPr>
          <w:p>
            <w:pPr>
              <w:pStyle w:val="CeldaAPA"/>
              <w:jc w:val="left"/>
            </w:pPr>
            <w:r>
              <w:rPr>
                <w:sz w:val="20"/>
                <w:szCs w:val="20"/>
              </w:rPr>
              <w:t xml:space="preserve">Hormigón registrada al muestrear; agua de amasado</w:t>
            </w:r>
            <w:r>
              <w:rPr>
                <w:sz w:val="20"/>
                <w:szCs w:val="20"/>
              </w:rPr>
              <w:t xml:space="preserve"> </w:t>
            </w:r>
            <m:oMath>
              <m:r>
                <m:rPr>
                  <m:sty m:val="p"/>
                </m:rPr>
                <m:t>&gt;</m:t>
              </m:r>
              <m:r>
                <m:t>5</m:t>
              </m:r>
            </m:oMath>
            <w:r>
              <w:rPr>
                <w:sz w:val="20"/>
                <w:szCs w:val="20"/>
              </w:rPr>
              <w:t xml:space="preserve"> </w:t>
            </w:r>
            <m:oMath>
              <m:sSup>
                <m:e>
                  <m:r>
                    <m:t>​</m:t>
                  </m:r>
                </m:e>
                <m:sup>
                  <m:r>
                    <m:rPr>
                      <m:sty m:val="p"/>
                    </m:rPr>
                    <m:t>∘</m:t>
                  </m:r>
                </m:sup>
              </m:sSup>
            </m:oMath>
            <w:r>
              <w:rPr>
                <w:sz w:val="20"/>
                <w:szCs w:val="20"/>
              </w:rPr>
              <w:t xml:space="preserve">C</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jc w:val="left"/>
            </w:pPr>
            <w:r>
              <w:rPr>
                <w:sz w:val="20"/>
                <w:szCs w:val="20"/>
              </w:rPr>
              <w:t xml:space="preserve">T hormigón / agua (</w:t>
            </w:r>
            <m:oMath>
              <m:sSup>
                <m:e>
                  <m:r>
                    <m:t>​</m:t>
                  </m:r>
                </m:e>
                <m:sup>
                  <m:r>
                    <m:rPr>
                      <m:sty m:val="p"/>
                    </m:rPr>
                    <m:t>∘</m:t>
                  </m:r>
                </m:sup>
              </m:sSup>
            </m:oMath>
            <w:r>
              <w:rPr>
                <w:sz w:val="20"/>
                <w:szCs w:val="20"/>
              </w:rPr>
              <w:t xml:space="preserve">C):</w:t>
            </w:r>
          </w:p>
        </w:tc>
      </w:tr>
      <w:tr>
        <w:tc>
          <w:tcPr>
            <w:tcW w:w="666" w:type="dxa"/>
          </w:tcPr>
          <w:p>
            <w:pPr>
              <w:pStyle w:val="CeldaAPA"/>
              <w:jc w:val="left"/>
            </w:pPr>
            <w:r>
              <w:rPr>
                <w:sz w:val="20"/>
                <w:szCs w:val="20"/>
              </w:rPr>
              <w:t xml:space="preserve">E8</w:t>
            </w:r>
          </w:p>
        </w:tc>
        <w:tc>
          <w:tcPr>
            <w:tcW w:w="1955" w:type="dxa"/>
          </w:tcPr>
          <w:p>
            <w:pPr>
              <w:pStyle w:val="CeldaAPA"/>
              <w:jc w:val="left"/>
            </w:pPr>
            <w:r>
              <w:rPr>
                <w:sz w:val="20"/>
                <w:szCs w:val="20"/>
              </w:rPr>
              <w:t xml:space="preserve">Colocación</w:t>
            </w:r>
          </w:p>
        </w:tc>
        <w:tc>
          <w:tcPr>
            <w:tcW w:w="2779" w:type="dxa"/>
          </w:tcPr>
          <w:p>
            <w:pPr>
              <w:pStyle w:val="CeldaAPA"/>
              <w:jc w:val="left"/>
            </w:pPr>
            <w:r>
              <w:rPr>
                <w:sz w:val="20"/>
                <w:szCs w:val="20"/>
              </w:rPr>
              <w:t xml:space="preserve">Por franjas, continua, sin juntas frías; vibrado; tránsito sobre pasarelas sin pisar la parrilla</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pPr>
          </w:p>
        </w:tc>
      </w:tr>
      <w:tr>
        <w:tc>
          <w:tcPr>
            <w:tcW w:w="666" w:type="dxa"/>
          </w:tcPr>
          <w:p>
            <w:pPr>
              <w:pStyle w:val="CeldaAPA"/>
              <w:jc w:val="left"/>
            </w:pPr>
            <w:r>
              <w:rPr>
                <w:sz w:val="20"/>
                <w:szCs w:val="20"/>
              </w:rPr>
              <w:t xml:space="preserve">E9</w:t>
            </w:r>
          </w:p>
        </w:tc>
        <w:tc>
          <w:tcPr>
            <w:tcW w:w="1955" w:type="dxa"/>
          </w:tcPr>
          <w:p>
            <w:pPr>
              <w:pStyle w:val="CeldaAPA"/>
              <w:jc w:val="left"/>
            </w:pPr>
            <w:r>
              <w:rPr>
                <w:sz w:val="20"/>
                <w:szCs w:val="20"/>
              </w:rPr>
              <w:t xml:space="preserve">Registro del vaciado</w:t>
            </w:r>
          </w:p>
        </w:tc>
        <w:tc>
          <w:tcPr>
            <w:tcW w:w="2779" w:type="dxa"/>
          </w:tcPr>
          <w:p>
            <w:pPr>
              <w:pStyle w:val="CeldaAPA"/>
              <w:jc w:val="left"/>
            </w:pPr>
            <w:r>
              <w:rPr>
                <w:sz w:val="20"/>
                <w:szCs w:val="20"/>
              </w:rPr>
              <w:t xml:space="preserve">Hora de inicio y fin; volumen; pastones; bolsas de cemento; fotografía fechada de la toma de muestras</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jc w:val="left"/>
            </w:pPr>
            <w:r>
              <w:rPr>
                <w:sz w:val="20"/>
                <w:szCs w:val="20"/>
              </w:rPr>
              <w:t xml:space="preserve">Inicio / fin / m</w:t>
            </w:r>
            <w:r>
              <w:rPr>
                <w:vertAlign w:val="superscript"/>
                <w:sz w:val="20"/>
                <w:szCs w:val="20"/>
              </w:rPr>
              <w:t xml:space="preserve">3</w:t>
            </w:r>
            <w:r>
              <w:rPr>
                <w:sz w:val="20"/>
                <w:szCs w:val="20"/>
              </w:rPr>
              <w:t xml:space="preserve"> </w:t>
            </w:r>
            <w:r>
              <w:rPr>
                <w:sz w:val="20"/>
                <w:szCs w:val="20"/>
              </w:rPr>
              <w:t xml:space="preserve">/ pastones / bolsas:</w:t>
            </w:r>
          </w:p>
        </w:tc>
      </w:tr>
      <w:tr>
        <w:tc>
          <w:tcPr>
            <w:tcW w:w="9362" w:type="dxa"/>
            <w:gridSpan w:val="7"/>
          </w:tcPr>
          <w:p>
            <w:pPr>
              <w:pStyle w:val="CeldaAPA"/>
              <w:jc w:val="left"/>
            </w:pPr>
            <w:r>
              <w:rPr>
                <w:bCs/>
                <w:b/>
                <w:sz w:val="20"/>
                <w:szCs w:val="20"/>
              </w:rPr>
              <w:t xml:space="preserve">Liberación E (antes de vaciar)</w:t>
            </w:r>
            <w:r>
              <w:rPr>
                <w:sz w:val="20"/>
                <w:szCs w:val="20"/>
              </w:rPr>
              <w:t xml:space="preserve"> </w:t>
            </w:r>
            <w:r>
              <w:rPr>
                <w:sz w:val="20"/>
                <w:szCs w:val="20"/>
              </w:rPr>
              <w:t xml:space="preserve">_________________ _________________ _________________ _________________</w:t>
            </w:r>
          </w:p>
        </w:tc>
      </w:tr>
    </w:tbl>
    <w:p>
      <w:pPr>
        <w:pStyle w:val="BodyText"/>
        <w:spacing w:before="240"/>
      </w:pPr>
      <w:r>
        <w:rPr>
          <w:bCs/>
          <w:b/>
        </w:rPr>
        <w:t xml:space="preserve">F. Registro de curado (W).</w:t>
      </w:r>
      <w:r>
        <w:t xml:space="preserve"> </w:t>
      </w:r>
      <w:r>
        <w:t xml:space="preserve">Curado mínimo de 7 días con el hormigón a 10 </w:t>
      </w:r>
      <m:oMath>
        <m:sSup>
          <m:e>
            <m:r>
              <m:t>​</m:t>
            </m:r>
          </m:e>
          <m:sup>
            <m:r>
              <m:rPr>
                <m:sty m:val="p"/>
              </m:rPr>
              <m:t>∘</m:t>
            </m:r>
          </m:sup>
        </m:sSup>
      </m:oMath>
      <w:r>
        <w:t xml:space="preserve">C o más; si no se cumple la temperatura, se prolonga el curado.</w:t>
      </w:r>
    </w:p>
    <w:tbl>
      <w:tblPr>
        <w:tblStyle w:val="Table"/>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1" w:lastRow="0" w:firstColumn="0" w:lastColumn="0" w:noHBand="0" w:noVBand="0" w:val="0020"/>
      </w:tblPr>
      <w:tblGrid>
        <w:gridCol w:w="756"/>
        <w:gridCol w:w="1261"/>
        <w:gridCol w:w="1612"/>
        <w:gridCol w:w="1341"/>
        <w:gridCol w:w="1521"/>
        <w:gridCol w:w="1655"/>
        <w:gridCol w:w="1214"/>
      </w:tblGrid>
      <w:tr>
        <w:trPr>
          <w:cantSplit/>
          <w:tblHeader w:val="true"/>
        </w:trPr>
        <w:tc>
          <w:tcPr>
            <w:tcW w:w="756" w:type="dxa"/>
          </w:tcPr>
          <w:p>
            <w:pPr>
              <w:pStyle w:val="CeldaAPA"/>
              <w:jc w:val="center"/>
            </w:pPr>
            <w:r>
              <w:rPr>
                <w:bCs/>
                <w:b/>
                <w:sz w:val="20"/>
                <w:szCs w:val="20"/>
              </w:rPr>
              <w:t xml:space="preserve">Día</w:t>
            </w:r>
          </w:p>
        </w:tc>
        <w:tc>
          <w:tcPr>
            <w:tcW w:w="1261" w:type="dxa"/>
          </w:tcPr>
          <w:p>
            <w:pPr>
              <w:pStyle w:val="CeldaAPA"/>
              <w:jc w:val="left"/>
            </w:pPr>
            <w:r>
              <w:rPr>
                <w:bCs/>
                <w:b/>
                <w:sz w:val="20"/>
                <w:szCs w:val="20"/>
              </w:rPr>
              <w:t xml:space="preserve">Fecha</w:t>
            </w:r>
          </w:p>
        </w:tc>
        <w:tc>
          <w:tcPr>
            <w:tcW w:w="1612" w:type="dxa"/>
          </w:tcPr>
          <w:p>
            <w:pPr>
              <w:pStyle w:val="CeldaAPA"/>
              <w:jc w:val="left"/>
            </w:pPr>
            <w:r>
              <w:rPr>
                <w:bCs/>
                <w:b/>
                <w:sz w:val="20"/>
                <w:szCs w:val="20"/>
              </w:rPr>
              <w:t xml:space="preserve">Método (riego, arpillera, plástico)</w:t>
            </w:r>
          </w:p>
        </w:tc>
        <w:tc>
          <w:tcPr>
            <w:tcW w:w="1341" w:type="dxa"/>
          </w:tcPr>
          <w:p>
            <w:pPr>
              <w:pStyle w:val="CeldaAPA"/>
              <w:jc w:val="left"/>
            </w:pPr>
            <w:r>
              <w:rPr>
                <w:bCs/>
                <w:b/>
                <w:sz w:val="20"/>
                <w:szCs w:val="20"/>
              </w:rPr>
              <w:t xml:space="preserve">T mín. ambiente (</w:t>
            </w:r>
            <m:oMath>
              <m:sSup>
                <m:e>
                  <m:r>
                    <m:t>​</m:t>
                  </m:r>
                </m:e>
                <m:sup>
                  <m:r>
                    <m:rPr>
                      <m:sty m:val="p"/>
                    </m:rPr>
                    <m:t>∘</m:t>
                  </m:r>
                </m:sup>
              </m:sSup>
            </m:oMath>
            <w:r>
              <w:rPr>
                <w:bCs/>
                <w:b/>
                <w:sz w:val="20"/>
                <w:szCs w:val="20"/>
              </w:rPr>
              <w:t xml:space="preserve">C)</w:t>
            </w:r>
          </w:p>
        </w:tc>
        <w:tc>
          <w:tcPr>
            <w:tcW w:w="1521" w:type="dxa"/>
          </w:tcPr>
          <w:p>
            <w:pPr>
              <w:pStyle w:val="CeldaAPA"/>
              <w:jc w:val="left"/>
            </w:pPr>
            <w:r>
              <w:rPr>
                <w:bCs/>
                <w:b/>
                <w:sz w:val="20"/>
                <w:szCs w:val="20"/>
              </w:rPr>
              <w:t xml:space="preserve">Protección contra helada</w:t>
            </w:r>
          </w:p>
        </w:tc>
        <w:tc>
          <w:tcPr>
            <w:tcW w:w="1655" w:type="dxa"/>
          </w:tcPr>
          <w:p>
            <w:pPr>
              <w:pStyle w:val="CeldaAPA"/>
              <w:jc w:val="left"/>
            </w:pPr>
            <w:r>
              <w:rPr>
                <w:bCs/>
                <w:b/>
                <w:sz w:val="20"/>
                <w:szCs w:val="20"/>
              </w:rPr>
              <w:t xml:space="preserve">Responsable</w:t>
            </w:r>
          </w:p>
        </w:tc>
        <w:tc>
          <w:tcPr>
            <w:tcW w:w="1214" w:type="dxa"/>
          </w:tcPr>
          <w:p>
            <w:pPr>
              <w:pStyle w:val="CeldaAPA"/>
              <w:jc w:val="left"/>
            </w:pPr>
            <w:r>
              <w:rPr>
                <w:bCs/>
                <w:b/>
                <w:sz w:val="20"/>
                <w:szCs w:val="20"/>
              </w:rPr>
              <w:t xml:space="preserve">Foto N.</w:t>
            </w:r>
            <w:r>
              <w:rPr>
                <w:vertAlign w:val="superscript"/>
                <w:bCs/>
                <w:b/>
                <w:sz w:val="20"/>
                <w:szCs w:val="20"/>
              </w:rPr>
              <w:t xml:space="preserve">o</w:t>
            </w:r>
          </w:p>
        </w:tc>
      </w:tr>
      <w:tr>
        <w:tc>
          <w:tcPr>
            <w:tcW w:w="756" w:type="dxa"/>
          </w:tcPr>
          <w:p>
            <w:pPr>
              <w:pStyle w:val="CeldaAPA"/>
              <w:jc w:val="center"/>
            </w:pPr>
            <w:r>
              <w:rPr>
                <w:sz w:val="20"/>
                <w:szCs w:val="20"/>
              </w:rPr>
              <w:t xml:space="preserve">1</w:t>
            </w:r>
          </w:p>
        </w:tc>
        <w:tc>
          <w:tcPr>
            <w:tcW w:w="1261" w:type="dxa"/>
          </w:tcPr>
          <w:p>
            <w:pPr>
              <w:pStyle w:val="CeldaAPA"/>
            </w:pPr>
          </w:p>
        </w:tc>
        <w:tc>
          <w:tcPr>
            <w:tcW w:w="1612" w:type="dxa"/>
          </w:tcPr>
          <w:p>
            <w:pPr>
              <w:pStyle w:val="CeldaAPA"/>
            </w:pPr>
          </w:p>
        </w:tc>
        <w:tc>
          <w:tcPr>
            <w:tcW w:w="1341" w:type="dxa"/>
          </w:tcPr>
          <w:p>
            <w:pPr>
              <w:pStyle w:val="CeldaAPA"/>
            </w:pPr>
          </w:p>
        </w:tc>
        <w:tc>
          <w:tcPr>
            <w:tcW w:w="1521" w:type="dxa"/>
          </w:tcPr>
          <w:p>
            <w:pPr>
              <w:pStyle w:val="CeldaAPA"/>
            </w:pPr>
          </w:p>
        </w:tc>
        <w:tc>
          <w:tcPr>
            <w:tcW w:w="1655" w:type="dxa"/>
          </w:tcPr>
          <w:p>
            <w:pPr>
              <w:pStyle w:val="CeldaAPA"/>
            </w:pPr>
          </w:p>
        </w:tc>
        <w:tc>
          <w:tcPr>
            <w:tcW w:w="1214" w:type="dxa"/>
          </w:tcPr>
          <w:p>
            <w:pPr>
              <w:pStyle w:val="CeldaAPA"/>
            </w:pPr>
          </w:p>
        </w:tc>
      </w:tr>
      <w:tr>
        <w:tc>
          <w:tcPr>
            <w:tcW w:w="756" w:type="dxa"/>
          </w:tcPr>
          <w:p>
            <w:pPr>
              <w:pStyle w:val="CeldaAPA"/>
              <w:jc w:val="center"/>
            </w:pPr>
            <w:r>
              <w:rPr>
                <w:sz w:val="20"/>
                <w:szCs w:val="20"/>
              </w:rPr>
              <w:t xml:space="preserve">2</w:t>
            </w:r>
          </w:p>
        </w:tc>
        <w:tc>
          <w:tcPr>
            <w:tcW w:w="1261" w:type="dxa"/>
          </w:tcPr>
          <w:p>
            <w:pPr>
              <w:pStyle w:val="CeldaAPA"/>
            </w:pPr>
          </w:p>
        </w:tc>
        <w:tc>
          <w:tcPr>
            <w:tcW w:w="1612" w:type="dxa"/>
          </w:tcPr>
          <w:p>
            <w:pPr>
              <w:pStyle w:val="CeldaAPA"/>
            </w:pPr>
          </w:p>
        </w:tc>
        <w:tc>
          <w:tcPr>
            <w:tcW w:w="1341" w:type="dxa"/>
          </w:tcPr>
          <w:p>
            <w:pPr>
              <w:pStyle w:val="CeldaAPA"/>
            </w:pPr>
          </w:p>
        </w:tc>
        <w:tc>
          <w:tcPr>
            <w:tcW w:w="1521" w:type="dxa"/>
          </w:tcPr>
          <w:p>
            <w:pPr>
              <w:pStyle w:val="CeldaAPA"/>
            </w:pPr>
          </w:p>
        </w:tc>
        <w:tc>
          <w:tcPr>
            <w:tcW w:w="1655" w:type="dxa"/>
          </w:tcPr>
          <w:p>
            <w:pPr>
              <w:pStyle w:val="CeldaAPA"/>
            </w:pPr>
          </w:p>
        </w:tc>
        <w:tc>
          <w:tcPr>
            <w:tcW w:w="1214" w:type="dxa"/>
          </w:tcPr>
          <w:p>
            <w:pPr>
              <w:pStyle w:val="CeldaAPA"/>
            </w:pPr>
          </w:p>
        </w:tc>
      </w:tr>
      <w:tr>
        <w:tc>
          <w:tcPr>
            <w:tcW w:w="756" w:type="dxa"/>
          </w:tcPr>
          <w:p>
            <w:pPr>
              <w:pStyle w:val="CeldaAPA"/>
              <w:jc w:val="center"/>
            </w:pPr>
            <w:r>
              <w:rPr>
                <w:sz w:val="20"/>
                <w:szCs w:val="20"/>
              </w:rPr>
              <w:t xml:space="preserve">3</w:t>
            </w:r>
          </w:p>
        </w:tc>
        <w:tc>
          <w:tcPr>
            <w:tcW w:w="1261" w:type="dxa"/>
          </w:tcPr>
          <w:p>
            <w:pPr>
              <w:pStyle w:val="CeldaAPA"/>
            </w:pPr>
          </w:p>
        </w:tc>
        <w:tc>
          <w:tcPr>
            <w:tcW w:w="1612" w:type="dxa"/>
          </w:tcPr>
          <w:p>
            <w:pPr>
              <w:pStyle w:val="CeldaAPA"/>
            </w:pPr>
          </w:p>
        </w:tc>
        <w:tc>
          <w:tcPr>
            <w:tcW w:w="1341" w:type="dxa"/>
          </w:tcPr>
          <w:p>
            <w:pPr>
              <w:pStyle w:val="CeldaAPA"/>
            </w:pPr>
          </w:p>
        </w:tc>
        <w:tc>
          <w:tcPr>
            <w:tcW w:w="1521" w:type="dxa"/>
          </w:tcPr>
          <w:p>
            <w:pPr>
              <w:pStyle w:val="CeldaAPA"/>
            </w:pPr>
          </w:p>
        </w:tc>
        <w:tc>
          <w:tcPr>
            <w:tcW w:w="1655" w:type="dxa"/>
          </w:tcPr>
          <w:p>
            <w:pPr>
              <w:pStyle w:val="CeldaAPA"/>
            </w:pPr>
          </w:p>
        </w:tc>
        <w:tc>
          <w:tcPr>
            <w:tcW w:w="1214" w:type="dxa"/>
          </w:tcPr>
          <w:p>
            <w:pPr>
              <w:pStyle w:val="CeldaAPA"/>
            </w:pPr>
          </w:p>
        </w:tc>
      </w:tr>
      <w:tr>
        <w:tc>
          <w:tcPr>
            <w:tcW w:w="756" w:type="dxa"/>
          </w:tcPr>
          <w:p>
            <w:pPr>
              <w:pStyle w:val="CeldaAPA"/>
              <w:jc w:val="center"/>
            </w:pPr>
            <w:r>
              <w:rPr>
                <w:sz w:val="20"/>
                <w:szCs w:val="20"/>
              </w:rPr>
              <w:t xml:space="preserve">4</w:t>
            </w:r>
          </w:p>
        </w:tc>
        <w:tc>
          <w:tcPr>
            <w:tcW w:w="1261" w:type="dxa"/>
          </w:tcPr>
          <w:p>
            <w:pPr>
              <w:pStyle w:val="CeldaAPA"/>
            </w:pPr>
          </w:p>
        </w:tc>
        <w:tc>
          <w:tcPr>
            <w:tcW w:w="1612" w:type="dxa"/>
          </w:tcPr>
          <w:p>
            <w:pPr>
              <w:pStyle w:val="CeldaAPA"/>
            </w:pPr>
          </w:p>
        </w:tc>
        <w:tc>
          <w:tcPr>
            <w:tcW w:w="1341" w:type="dxa"/>
          </w:tcPr>
          <w:p>
            <w:pPr>
              <w:pStyle w:val="CeldaAPA"/>
            </w:pPr>
          </w:p>
        </w:tc>
        <w:tc>
          <w:tcPr>
            <w:tcW w:w="1521" w:type="dxa"/>
          </w:tcPr>
          <w:p>
            <w:pPr>
              <w:pStyle w:val="CeldaAPA"/>
            </w:pPr>
          </w:p>
        </w:tc>
        <w:tc>
          <w:tcPr>
            <w:tcW w:w="1655" w:type="dxa"/>
          </w:tcPr>
          <w:p>
            <w:pPr>
              <w:pStyle w:val="CeldaAPA"/>
            </w:pPr>
          </w:p>
        </w:tc>
        <w:tc>
          <w:tcPr>
            <w:tcW w:w="1214" w:type="dxa"/>
          </w:tcPr>
          <w:p>
            <w:pPr>
              <w:pStyle w:val="CeldaAPA"/>
            </w:pPr>
          </w:p>
        </w:tc>
      </w:tr>
      <w:tr>
        <w:tc>
          <w:tcPr>
            <w:tcW w:w="756" w:type="dxa"/>
          </w:tcPr>
          <w:p>
            <w:pPr>
              <w:pStyle w:val="CeldaAPA"/>
              <w:jc w:val="center"/>
            </w:pPr>
            <w:r>
              <w:rPr>
                <w:sz w:val="20"/>
                <w:szCs w:val="20"/>
              </w:rPr>
              <w:t xml:space="preserve">5</w:t>
            </w:r>
          </w:p>
        </w:tc>
        <w:tc>
          <w:tcPr>
            <w:tcW w:w="1261" w:type="dxa"/>
          </w:tcPr>
          <w:p>
            <w:pPr>
              <w:pStyle w:val="CeldaAPA"/>
            </w:pPr>
          </w:p>
        </w:tc>
        <w:tc>
          <w:tcPr>
            <w:tcW w:w="1612" w:type="dxa"/>
          </w:tcPr>
          <w:p>
            <w:pPr>
              <w:pStyle w:val="CeldaAPA"/>
            </w:pPr>
          </w:p>
        </w:tc>
        <w:tc>
          <w:tcPr>
            <w:tcW w:w="1341" w:type="dxa"/>
          </w:tcPr>
          <w:p>
            <w:pPr>
              <w:pStyle w:val="CeldaAPA"/>
            </w:pPr>
          </w:p>
        </w:tc>
        <w:tc>
          <w:tcPr>
            <w:tcW w:w="1521" w:type="dxa"/>
          </w:tcPr>
          <w:p>
            <w:pPr>
              <w:pStyle w:val="CeldaAPA"/>
            </w:pPr>
          </w:p>
        </w:tc>
        <w:tc>
          <w:tcPr>
            <w:tcW w:w="1655" w:type="dxa"/>
          </w:tcPr>
          <w:p>
            <w:pPr>
              <w:pStyle w:val="CeldaAPA"/>
            </w:pPr>
          </w:p>
        </w:tc>
        <w:tc>
          <w:tcPr>
            <w:tcW w:w="1214" w:type="dxa"/>
          </w:tcPr>
          <w:p>
            <w:pPr>
              <w:pStyle w:val="CeldaAPA"/>
            </w:pPr>
          </w:p>
        </w:tc>
      </w:tr>
      <w:tr>
        <w:tc>
          <w:tcPr>
            <w:tcW w:w="756" w:type="dxa"/>
          </w:tcPr>
          <w:p>
            <w:pPr>
              <w:pStyle w:val="CeldaAPA"/>
              <w:jc w:val="center"/>
            </w:pPr>
            <w:r>
              <w:rPr>
                <w:sz w:val="20"/>
                <w:szCs w:val="20"/>
              </w:rPr>
              <w:t xml:space="preserve">6</w:t>
            </w:r>
          </w:p>
        </w:tc>
        <w:tc>
          <w:tcPr>
            <w:tcW w:w="1261" w:type="dxa"/>
          </w:tcPr>
          <w:p>
            <w:pPr>
              <w:pStyle w:val="CeldaAPA"/>
            </w:pPr>
          </w:p>
        </w:tc>
        <w:tc>
          <w:tcPr>
            <w:tcW w:w="1612" w:type="dxa"/>
          </w:tcPr>
          <w:p>
            <w:pPr>
              <w:pStyle w:val="CeldaAPA"/>
            </w:pPr>
          </w:p>
        </w:tc>
        <w:tc>
          <w:tcPr>
            <w:tcW w:w="1341" w:type="dxa"/>
          </w:tcPr>
          <w:p>
            <w:pPr>
              <w:pStyle w:val="CeldaAPA"/>
            </w:pPr>
          </w:p>
        </w:tc>
        <w:tc>
          <w:tcPr>
            <w:tcW w:w="1521" w:type="dxa"/>
          </w:tcPr>
          <w:p>
            <w:pPr>
              <w:pStyle w:val="CeldaAPA"/>
            </w:pPr>
          </w:p>
        </w:tc>
        <w:tc>
          <w:tcPr>
            <w:tcW w:w="1655" w:type="dxa"/>
          </w:tcPr>
          <w:p>
            <w:pPr>
              <w:pStyle w:val="CeldaAPA"/>
            </w:pPr>
          </w:p>
        </w:tc>
        <w:tc>
          <w:tcPr>
            <w:tcW w:w="1214" w:type="dxa"/>
          </w:tcPr>
          <w:p>
            <w:pPr>
              <w:pStyle w:val="CeldaAPA"/>
            </w:pPr>
          </w:p>
        </w:tc>
      </w:tr>
      <w:tr>
        <w:tc>
          <w:tcPr>
            <w:tcW w:w="756" w:type="dxa"/>
          </w:tcPr>
          <w:p>
            <w:pPr>
              <w:pStyle w:val="CeldaAPA"/>
              <w:jc w:val="center"/>
            </w:pPr>
            <w:r>
              <w:rPr>
                <w:sz w:val="20"/>
                <w:szCs w:val="20"/>
              </w:rPr>
              <w:t xml:space="preserve">7</w:t>
            </w:r>
          </w:p>
        </w:tc>
        <w:tc>
          <w:tcPr>
            <w:tcW w:w="1261" w:type="dxa"/>
          </w:tcPr>
          <w:p>
            <w:pPr>
              <w:pStyle w:val="CeldaAPA"/>
            </w:pPr>
          </w:p>
        </w:tc>
        <w:tc>
          <w:tcPr>
            <w:tcW w:w="1612" w:type="dxa"/>
          </w:tcPr>
          <w:p>
            <w:pPr>
              <w:pStyle w:val="CeldaAPA"/>
            </w:pPr>
          </w:p>
        </w:tc>
        <w:tc>
          <w:tcPr>
            <w:tcW w:w="1341" w:type="dxa"/>
          </w:tcPr>
          <w:p>
            <w:pPr>
              <w:pStyle w:val="CeldaAPA"/>
            </w:pPr>
          </w:p>
        </w:tc>
        <w:tc>
          <w:tcPr>
            <w:tcW w:w="1521" w:type="dxa"/>
          </w:tcPr>
          <w:p>
            <w:pPr>
              <w:pStyle w:val="CeldaAPA"/>
            </w:pPr>
          </w:p>
        </w:tc>
        <w:tc>
          <w:tcPr>
            <w:tcW w:w="1655" w:type="dxa"/>
          </w:tcPr>
          <w:p>
            <w:pPr>
              <w:pStyle w:val="CeldaAPA"/>
            </w:pPr>
          </w:p>
        </w:tc>
        <w:tc>
          <w:tcPr>
            <w:tcW w:w="1214" w:type="dxa"/>
          </w:tcPr>
          <w:p>
            <w:pPr>
              <w:pStyle w:val="CeldaAPA"/>
            </w:pPr>
          </w:p>
        </w:tc>
      </w:tr>
      <w:tr>
        <w:tc>
          <w:tcPr>
            <w:tcW w:w="756" w:type="dxa"/>
          </w:tcPr>
          <w:p>
            <w:pPr>
              <w:pStyle w:val="CeldaAPA"/>
            </w:pPr>
          </w:p>
        </w:tc>
        <w:tc>
          <w:tcPr>
            <w:tcW w:w="1261" w:type="dxa"/>
          </w:tcPr>
          <w:p>
            <w:pPr>
              <w:pStyle w:val="CeldaAPA"/>
            </w:pPr>
          </w:p>
        </w:tc>
        <w:tc>
          <w:tcPr>
            <w:tcW w:w="1612" w:type="dxa"/>
          </w:tcPr>
          <w:p>
            <w:pPr>
              <w:pStyle w:val="CeldaAPA"/>
            </w:pPr>
          </w:p>
        </w:tc>
        <w:tc>
          <w:tcPr>
            <w:tcW w:w="1341" w:type="dxa"/>
          </w:tcPr>
          <w:p>
            <w:pPr>
              <w:pStyle w:val="CeldaAPA"/>
            </w:pPr>
          </w:p>
        </w:tc>
        <w:tc>
          <w:tcPr>
            <w:tcW w:w="1521" w:type="dxa"/>
          </w:tcPr>
          <w:p>
            <w:pPr>
              <w:pStyle w:val="CeldaAPA"/>
            </w:pPr>
          </w:p>
        </w:tc>
        <w:tc>
          <w:tcPr>
            <w:tcW w:w="1655" w:type="dxa"/>
          </w:tcPr>
          <w:p>
            <w:pPr>
              <w:pStyle w:val="CeldaAPA"/>
            </w:pPr>
          </w:p>
        </w:tc>
        <w:tc>
          <w:tcPr>
            <w:tcW w:w="1214" w:type="dxa"/>
          </w:tcPr>
          <w:p>
            <w:pPr>
              <w:pStyle w:val="CeldaAPA"/>
            </w:pPr>
          </w:p>
        </w:tc>
      </w:tr>
    </w:tbl>
    <w:p>
      <w:pPr>
        <w:pStyle w:val="BodyText"/>
        <w:spacing w:before="240"/>
      </w:pPr>
      <w:r>
        <w:rPr>
          <w:bCs/>
          <w:b/>
        </w:rPr>
        <w:t xml:space="preserve">G. Desapuntalamiento (H) y aceptación del paño.</w:t>
      </w:r>
    </w:p>
    <w:tbl>
      <w:tblPr>
        <w:tblStyle w:val="Table"/>
        <w:tblW w:w="9361"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1" w:lastRow="0" w:firstColumn="0" w:lastColumn="0" w:noHBand="0" w:noVBand="0" w:val="0020"/>
      </w:tblPr>
      <w:tblGrid>
        <w:gridCol w:w="666"/>
        <w:gridCol w:w="2441"/>
        <w:gridCol w:w="3032"/>
        <w:gridCol w:w="470"/>
        <w:gridCol w:w="650"/>
        <w:gridCol w:w="2102"/>
      </w:tblGrid>
      <w:tr>
        <w:trPr>
          <w:cantSplit/>
          <w:tblHeader w:val="true"/>
        </w:trPr>
        <w:tc>
          <w:tcPr>
            <w:tcW w:w="666" w:type="dxa"/>
          </w:tcPr>
          <w:p>
            <w:pPr>
              <w:pStyle w:val="CeldaAPA"/>
              <w:jc w:val="left"/>
            </w:pPr>
            <w:r>
              <w:rPr>
                <w:bCs/>
                <w:b/>
                <w:sz w:val="20"/>
                <w:szCs w:val="20"/>
              </w:rPr>
              <w:t xml:space="preserve">N.</w:t>
            </w:r>
            <w:r>
              <w:rPr>
                <w:vertAlign w:val="superscript"/>
                <w:bCs/>
                <w:b/>
                <w:sz w:val="20"/>
                <w:szCs w:val="20"/>
              </w:rPr>
              <w:t xml:space="preserve">o</w:t>
            </w:r>
          </w:p>
        </w:tc>
        <w:tc>
          <w:tcPr>
            <w:tcW w:w="2441" w:type="dxa"/>
          </w:tcPr>
          <w:p>
            <w:pPr>
              <w:pStyle w:val="CeldaAPA"/>
              <w:jc w:val="left"/>
            </w:pPr>
            <w:r>
              <w:rPr>
                <w:bCs/>
                <w:b/>
                <w:sz w:val="20"/>
                <w:szCs w:val="20"/>
              </w:rPr>
              <w:t xml:space="preserve">Punto de control</w:t>
            </w:r>
          </w:p>
        </w:tc>
        <w:tc>
          <w:tcPr>
            <w:tcW w:w="3032" w:type="dxa"/>
          </w:tcPr>
          <w:p>
            <w:pPr>
              <w:pStyle w:val="CeldaAPA"/>
              <w:jc w:val="left"/>
            </w:pPr>
            <w:r>
              <w:rPr>
                <w:bCs/>
                <w:b/>
                <w:sz w:val="20"/>
                <w:szCs w:val="20"/>
              </w:rPr>
              <w:t xml:space="preserve">Criterio de aceptación</w:t>
            </w:r>
          </w:p>
        </w:tc>
        <w:tc>
          <w:tcPr>
            <w:tcW w:w="470" w:type="dxa"/>
          </w:tcPr>
          <w:p>
            <w:pPr>
              <w:pStyle w:val="CeldaAPA"/>
              <w:jc w:val="center"/>
            </w:pPr>
            <w:r>
              <w:rPr>
                <w:bCs/>
                <w:b/>
                <w:sz w:val="20"/>
                <w:szCs w:val="20"/>
              </w:rPr>
              <w:t xml:space="preserve">C</w:t>
            </w:r>
          </w:p>
        </w:tc>
        <w:tc>
          <w:tcPr>
            <w:tcW w:w="650" w:type="dxa"/>
          </w:tcPr>
          <w:p>
            <w:pPr>
              <w:pStyle w:val="CeldaAPA"/>
              <w:jc w:val="center"/>
            </w:pPr>
            <w:r>
              <w:rPr>
                <w:bCs/>
                <w:b/>
                <w:sz w:val="20"/>
                <w:szCs w:val="20"/>
              </w:rPr>
              <w:t xml:space="preserve">NC</w:t>
            </w:r>
          </w:p>
        </w:tc>
        <w:tc>
          <w:tcPr>
            <w:tcW w:w="2102" w:type="dxa"/>
          </w:tcPr>
          <w:p>
            <w:pPr>
              <w:pStyle w:val="CeldaAPA"/>
              <w:jc w:val="left"/>
            </w:pPr>
            <w:r>
              <w:rPr>
                <w:bCs/>
                <w:b/>
                <w:sz w:val="20"/>
                <w:szCs w:val="20"/>
              </w:rPr>
              <w:t xml:space="preserve">Valor</w:t>
            </w:r>
          </w:p>
        </w:tc>
      </w:tr>
      <w:tr>
        <w:tc>
          <w:tcPr>
            <w:tcW w:w="666" w:type="dxa"/>
          </w:tcPr>
          <w:p>
            <w:pPr>
              <w:pStyle w:val="CeldaAPA"/>
              <w:jc w:val="left"/>
            </w:pPr>
            <w:r>
              <w:rPr>
                <w:sz w:val="20"/>
                <w:szCs w:val="20"/>
              </w:rPr>
              <w:t xml:space="preserve">G1</w:t>
            </w:r>
          </w:p>
        </w:tc>
        <w:tc>
          <w:tcPr>
            <w:tcW w:w="2441" w:type="dxa"/>
          </w:tcPr>
          <w:p>
            <w:pPr>
              <w:pStyle w:val="CeldaAPA"/>
              <w:jc w:val="left"/>
            </w:pPr>
            <w:r>
              <w:rPr>
                <w:sz w:val="20"/>
                <w:szCs w:val="20"/>
              </w:rPr>
              <w:t xml:space="preserve">Plazo desde el vaciado</w:t>
            </w:r>
          </w:p>
        </w:tc>
        <w:tc>
          <w:tcPr>
            <w:tcW w:w="3032" w:type="dxa"/>
          </w:tcPr>
          <w:p>
            <w:pPr>
              <w:pStyle w:val="CeldaAPA"/>
              <w:jc w:val="left"/>
            </w:pPr>
            <m:oMath>
              <m:r>
                <m:rPr>
                  <m:sty m:val="p"/>
                </m:rPr>
                <m:t>≥</m:t>
              </m:r>
              <m:r>
                <m:t>15</m:t>
              </m:r>
            </m:oMath>
            <w:r>
              <w:rPr>
                <w:sz w:val="20"/>
                <w:szCs w:val="20"/>
              </w:rPr>
              <w:t xml:space="preserve"> </w:t>
            </w:r>
            <w:r>
              <w:rPr>
                <w:sz w:val="20"/>
                <w:szCs w:val="20"/>
              </w:rPr>
              <w:t xml:space="preserve">días (luz</w:t>
            </w:r>
            <w:r>
              <w:rPr>
                <w:sz w:val="20"/>
                <w:szCs w:val="20"/>
              </w:rPr>
              <w:t xml:space="preserve"> </w:t>
            </w:r>
            <m:oMath>
              <m:r>
                <m:rPr>
                  <m:sty m:val="p"/>
                </m:rPr>
                <m:t>&lt;</m:t>
              </m:r>
              <m:r>
                <m:t>5</m:t>
              </m:r>
            </m:oMath>
            <w:r>
              <w:rPr>
                <w:sz w:val="20"/>
                <w:szCs w:val="20"/>
              </w:rPr>
              <w:t xml:space="preserve"> m) o</w:t>
            </w:r>
            <w:r>
              <w:rPr>
                <w:sz w:val="20"/>
                <w:szCs w:val="20"/>
              </w:rPr>
              <w:t xml:space="preserve"> </w:t>
            </w:r>
            <m:oMath>
              <m:r>
                <m:rPr>
                  <m:sty m:val="p"/>
                </m:rPr>
                <m:t>≥</m:t>
              </m:r>
              <m:r>
                <m:t>21</m:t>
              </m:r>
            </m:oMath>
            <w:r>
              <w:rPr>
                <w:sz w:val="20"/>
                <w:szCs w:val="20"/>
              </w:rPr>
              <w:t xml:space="preserve"> </w:t>
            </w:r>
            <w:r>
              <w:rPr>
                <w:sz w:val="20"/>
                <w:szCs w:val="20"/>
              </w:rPr>
              <w:t xml:space="preserve">días (luz</w:t>
            </w:r>
            <w:r>
              <w:rPr>
                <w:sz w:val="20"/>
                <w:szCs w:val="20"/>
              </w:rPr>
              <w:t xml:space="preserve"> </w:t>
            </w:r>
            <m:oMath>
              <m:r>
                <m:rPr>
                  <m:sty m:val="p"/>
                </m:rPr>
                <m:t>&gt;</m:t>
              </m:r>
              <m:r>
                <m:t>5</m:t>
              </m:r>
            </m:oMath>
            <w:r>
              <w:rPr>
                <w:sz w:val="20"/>
                <w:szCs w:val="20"/>
              </w:rPr>
              <w:t xml:space="preserve"> m)</w:t>
            </w:r>
          </w:p>
        </w:tc>
        <w:tc>
          <w:tcPr>
            <w:tcW w:w="470" w:type="dxa"/>
          </w:tcPr>
          <w:p>
            <w:pPr>
              <w:pStyle w:val="CeldaAPA"/>
            </w:pPr>
          </w:p>
        </w:tc>
        <w:tc>
          <w:tcPr>
            <w:tcW w:w="650" w:type="dxa"/>
          </w:tcPr>
          <w:p>
            <w:pPr>
              <w:pStyle w:val="CeldaAPA"/>
            </w:pPr>
          </w:p>
        </w:tc>
        <w:tc>
          <w:tcPr>
            <w:tcW w:w="2102" w:type="dxa"/>
          </w:tcPr>
          <w:p>
            <w:pPr>
              <w:pStyle w:val="CeldaAPA"/>
              <w:jc w:val="left"/>
            </w:pPr>
            <w:r>
              <w:rPr>
                <w:sz w:val="20"/>
                <w:szCs w:val="20"/>
              </w:rPr>
              <w:t xml:space="preserve">Días:</w:t>
            </w:r>
          </w:p>
        </w:tc>
      </w:tr>
      <w:tr>
        <w:tc>
          <w:tcPr>
            <w:tcW w:w="666" w:type="dxa"/>
          </w:tcPr>
          <w:p>
            <w:pPr>
              <w:pStyle w:val="CeldaAPA"/>
              <w:jc w:val="left"/>
            </w:pPr>
            <w:r>
              <w:rPr>
                <w:sz w:val="20"/>
                <w:szCs w:val="20"/>
              </w:rPr>
              <w:t xml:space="preserve">G2</w:t>
            </w:r>
          </w:p>
        </w:tc>
        <w:tc>
          <w:tcPr>
            <w:tcW w:w="2441" w:type="dxa"/>
          </w:tcPr>
          <w:p>
            <w:pPr>
              <w:pStyle w:val="CeldaAPA"/>
              <w:jc w:val="left"/>
            </w:pPr>
            <w:r>
              <w:rPr>
                <w:sz w:val="20"/>
                <w:szCs w:val="20"/>
              </w:rPr>
              <w:t xml:space="preserve">Cilindros curados en obra</w:t>
            </w:r>
          </w:p>
        </w:tc>
        <w:tc>
          <w:tcPr>
            <w:tcW w:w="3032" w:type="dxa"/>
          </w:tcPr>
          <w:p>
            <w:pPr>
              <w:pStyle w:val="CeldaAPA"/>
              <w:jc w:val="left"/>
            </w:pPr>
            <w:r>
              <w:rPr>
                <w:sz w:val="20"/>
                <w:szCs w:val="20"/>
              </w:rPr>
              <w:t xml:space="preserve">Si la Supervisión los exige: todos</w:t>
            </w:r>
            <w:r>
              <w:rPr>
                <w:sz w:val="20"/>
                <w:szCs w:val="20"/>
              </w:rPr>
              <w:t xml:space="preserve"> </w:t>
            </w:r>
            <m:oMath>
              <m:r>
                <m:rPr>
                  <m:sty m:val="p"/>
                </m:rPr>
                <m:t>≥</m:t>
              </m:r>
            </m:oMath>
            <w:r>
              <w:rPr>
                <w:sz w:val="20"/>
                <w:szCs w:val="20"/>
              </w:rPr>
              <w:t xml:space="preserve"> </w:t>
            </w:r>
            <w:r>
              <w:rPr>
                <w:sz w:val="20"/>
                <w:szCs w:val="20"/>
              </w:rPr>
              <w:t xml:space="preserve">la resistencia requerida para la etapa</w:t>
            </w:r>
          </w:p>
        </w:tc>
        <w:tc>
          <w:tcPr>
            <w:tcW w:w="470" w:type="dxa"/>
          </w:tcPr>
          <w:p>
            <w:pPr>
              <w:pStyle w:val="CeldaAPA"/>
            </w:pPr>
          </w:p>
        </w:tc>
        <w:tc>
          <w:tcPr>
            <w:tcW w:w="650" w:type="dxa"/>
          </w:tcPr>
          <w:p>
            <w:pPr>
              <w:pStyle w:val="CeldaAPA"/>
            </w:pPr>
          </w:p>
        </w:tc>
        <w:tc>
          <w:tcPr>
            <w:tcW w:w="2102" w:type="dxa"/>
          </w:tcPr>
          <w:p>
            <w:pPr>
              <w:pStyle w:val="CeldaAPA"/>
              <w:jc w:val="left"/>
            </w:pPr>
            <w:r>
              <w:rPr>
                <w:sz w:val="20"/>
                <w:szCs w:val="20"/>
              </w:rPr>
              <w:t xml:space="preserve">kg/cm</w:t>
            </w:r>
            <w:r>
              <w:rPr>
                <w:vertAlign w:val="superscript"/>
                <w:sz w:val="20"/>
                <w:szCs w:val="20"/>
              </w:rPr>
              <w:t xml:space="preserve">2</w:t>
            </w:r>
            <w:r>
              <w:rPr>
                <w:sz w:val="20"/>
                <w:szCs w:val="20"/>
              </w:rPr>
              <w:t xml:space="preserve">:</w:t>
            </w:r>
          </w:p>
        </w:tc>
      </w:tr>
      <w:tr>
        <w:tc>
          <w:tcPr>
            <w:tcW w:w="666" w:type="dxa"/>
          </w:tcPr>
          <w:p>
            <w:pPr>
              <w:pStyle w:val="CeldaAPA"/>
              <w:jc w:val="left"/>
            </w:pPr>
            <w:r>
              <w:rPr>
                <w:sz w:val="20"/>
                <w:szCs w:val="20"/>
              </w:rPr>
              <w:t xml:space="preserve">G3</w:t>
            </w:r>
          </w:p>
        </w:tc>
        <w:tc>
          <w:tcPr>
            <w:tcW w:w="2441" w:type="dxa"/>
          </w:tcPr>
          <w:p>
            <w:pPr>
              <w:pStyle w:val="CeldaAPA"/>
              <w:jc w:val="left"/>
            </w:pPr>
            <w:r>
              <w:rPr>
                <w:sz w:val="20"/>
                <w:szCs w:val="20"/>
              </w:rPr>
              <w:t xml:space="preserve">Cargas y estado</w:t>
            </w:r>
          </w:p>
        </w:tc>
        <w:tc>
          <w:tcPr>
            <w:tcW w:w="3032" w:type="dxa"/>
          </w:tcPr>
          <w:p>
            <w:pPr>
              <w:pStyle w:val="CeldaAPA"/>
              <w:jc w:val="left"/>
            </w:pPr>
            <w:r>
              <w:rPr>
                <w:sz w:val="20"/>
                <w:szCs w:val="20"/>
              </w:rPr>
              <w:t xml:space="preserve">Sin cargas de construcción excesivas; sin fisuras ni flechas visibles después del retiro</w:t>
            </w:r>
          </w:p>
        </w:tc>
        <w:tc>
          <w:tcPr>
            <w:tcW w:w="470" w:type="dxa"/>
          </w:tcPr>
          <w:p>
            <w:pPr>
              <w:pStyle w:val="CeldaAPA"/>
            </w:pPr>
          </w:p>
        </w:tc>
        <w:tc>
          <w:tcPr>
            <w:tcW w:w="650" w:type="dxa"/>
          </w:tcPr>
          <w:p>
            <w:pPr>
              <w:pStyle w:val="CeldaAPA"/>
            </w:pPr>
          </w:p>
        </w:tc>
        <w:tc>
          <w:tcPr>
            <w:tcW w:w="2102" w:type="dxa"/>
          </w:tcPr>
          <w:p>
            <w:pPr>
              <w:pStyle w:val="CeldaAPA"/>
            </w:pPr>
          </w:p>
        </w:tc>
      </w:tr>
      <w:tr>
        <w:tc>
          <w:tcPr>
            <w:tcW w:w="666" w:type="dxa"/>
          </w:tcPr>
          <w:p>
            <w:pPr>
              <w:pStyle w:val="CeldaAPA"/>
              <w:jc w:val="left"/>
            </w:pPr>
            <w:r>
              <w:rPr>
                <w:sz w:val="20"/>
                <w:szCs w:val="20"/>
              </w:rPr>
              <w:t xml:space="preserve">G4</w:t>
            </w:r>
          </w:p>
        </w:tc>
        <w:tc>
          <w:tcPr>
            <w:tcW w:w="2441" w:type="dxa"/>
          </w:tcPr>
          <w:p>
            <w:pPr>
              <w:pStyle w:val="CeldaAPA"/>
              <w:jc w:val="left"/>
            </w:pPr>
            <w:r>
              <w:rPr>
                <w:sz w:val="20"/>
                <w:szCs w:val="20"/>
              </w:rPr>
              <w:t xml:space="preserve">Aceptación para pago</w:t>
            </w:r>
          </w:p>
        </w:tc>
        <w:tc>
          <w:tcPr>
            <w:tcW w:w="3032" w:type="dxa"/>
          </w:tcPr>
          <w:p>
            <w:pPr>
              <w:pStyle w:val="CeldaAPA"/>
              <w:jc w:val="left"/>
            </w:pPr>
            <w:r>
              <w:rPr>
                <w:sz w:val="20"/>
                <w:szCs w:val="20"/>
              </w:rPr>
              <w:t xml:space="preserve">Ensayos de aceptación del vaciado conformes; conciliación C.4 cerrada; ninguna NC abierta</w:t>
            </w:r>
          </w:p>
        </w:tc>
        <w:tc>
          <w:tcPr>
            <w:tcW w:w="470" w:type="dxa"/>
          </w:tcPr>
          <w:p>
            <w:pPr>
              <w:pStyle w:val="CeldaAPA"/>
            </w:pPr>
          </w:p>
        </w:tc>
        <w:tc>
          <w:tcPr>
            <w:tcW w:w="650" w:type="dxa"/>
          </w:tcPr>
          <w:p>
            <w:pPr>
              <w:pStyle w:val="CeldaAPA"/>
            </w:pPr>
          </w:p>
        </w:tc>
        <w:tc>
          <w:tcPr>
            <w:tcW w:w="2102" w:type="dxa"/>
          </w:tcPr>
          <w:p>
            <w:pPr>
              <w:pStyle w:val="CeldaAPA"/>
              <w:jc w:val="left"/>
            </w:pPr>
            <w:r>
              <w:rPr>
                <w:sz w:val="20"/>
                <w:szCs w:val="20"/>
              </w:rPr>
              <w:t xml:space="preserve">Ensayos N.</w:t>
            </w:r>
            <w:r>
              <w:rPr>
                <w:vertAlign w:val="superscript"/>
                <w:sz w:val="20"/>
                <w:szCs w:val="20"/>
              </w:rPr>
              <w:t xml:space="preserve">o</w:t>
            </w:r>
            <w:r>
              <w:rPr>
                <w:sz w:val="20"/>
                <w:szCs w:val="20"/>
              </w:rPr>
              <w:t xml:space="preserve">:</w:t>
            </w:r>
          </w:p>
        </w:tc>
      </w:tr>
      <w:tr>
        <w:tc>
          <w:tcPr>
            <w:tcW w:w="9361" w:type="dxa"/>
            <w:gridSpan w:val="6"/>
          </w:tcPr>
          <w:p>
            <w:pPr>
              <w:pStyle w:val="CeldaAPA"/>
              <w:jc w:val="left"/>
            </w:pPr>
            <w:r>
              <w:rPr>
                <w:bCs/>
                <w:b/>
                <w:sz w:val="20"/>
                <w:szCs w:val="20"/>
              </w:rPr>
              <w:t xml:space="preserve">Liberación G</w:t>
            </w:r>
            <w:r>
              <w:rPr>
                <w:sz w:val="20"/>
                <w:szCs w:val="20"/>
              </w:rPr>
              <w:t xml:space="preserve"> </w:t>
            </w:r>
            <w:r>
              <w:rPr>
                <w:sz w:val="20"/>
                <w:szCs w:val="20"/>
              </w:rPr>
              <w:t xml:space="preserve">_________________ _________________ _________________</w:t>
            </w:r>
          </w:p>
        </w:tc>
      </w:tr>
    </w:tbl>
    <w:p>
      <w:pPr>
        <w:pStyle w:val="Heading2"/>
        <w:spacing w:before="240"/>
      </w:pPr>
      <w:bookmarkStart w:id="353" w:name="tit165"/>
      <w:r>
        <w:t xml:space="preserve">C.3. Ficha de recepción de materiales</w:t>
      </w:r>
      <w:bookmarkEnd w:id="353"/>
    </w:p>
    <w:p>
      <w:pPr>
        <w:pStyle w:val="FirstParagraph"/>
      </w:pPr>
      <w:r>
        <w:rPr>
          <w:bCs/>
          <w:b/>
        </w:rPr>
        <w:t xml:space="preserve">Uso.</w:t>
      </w:r>
      <w:r>
        <w:t xml:space="preserve"> </w:t>
      </w:r>
      <w:r>
        <w:t xml:space="preserve">Una ficha por entrega y por material, llenada</w:t>
      </w:r>
      <w:r>
        <w:t xml:space="preserve"> </w:t>
      </w:r>
      <w:r>
        <w:rPr>
          <w:iCs/>
          <w:i/>
        </w:rPr>
        <w:t xml:space="preserve">antes</w:t>
      </w:r>
      <w:r>
        <w:t xml:space="preserve"> </w:t>
      </w:r>
      <w:r>
        <w:t xml:space="preserve">de colocar el material (PCM-01). Ningún material se coloca sin esta ficha aceptada. Complete solo el bloque del material recibido. Criterios: Tabla 37.</w:t>
      </w:r>
    </w:p>
    <w:tbl>
      <w:tblPr>
        <w:tblStyle w:val="Table"/>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0" w:lastRow="0" w:firstColumn="0" w:lastColumn="0" w:noHBand="0" w:noVBand="0" w:val="0000"/>
      </w:tblPr>
      <w:tblGrid>
        <w:gridCol w:w="2930"/>
        <w:gridCol w:w="4240"/>
        <w:gridCol w:w="1900"/>
      </w:tblGrid>
      <w:tr>
        <w:tc>
          <w:tcPr>
            <w:tcW w:w="2930" w:type="dxa"/>
          </w:tcPr>
          <w:p>
            <w:pPr>
              <w:pStyle w:val="CeldaAPA"/>
              <w:jc w:val="left"/>
            </w:pPr>
            <w:r>
              <w:rPr>
                <w:bCs/>
                <w:b/>
                <w:sz w:val="20"/>
                <w:szCs w:val="20"/>
              </w:rPr>
              <w:t xml:space="preserve">UATF – Edificio de Posgrado</w:t>
            </w:r>
          </w:p>
        </w:tc>
        <w:tc>
          <w:tcPr>
            <w:tcW w:w="4240" w:type="dxa"/>
            <w:vMerge w:val="restart"/>
          </w:tcPr>
          <w:p>
            <w:pPr>
              <w:pStyle w:val="CeldaAPA"/>
              <w:jc w:val="left"/>
            </w:pPr>
            <w:r>
              <w:rPr>
                <w:bCs/>
                <w:b/>
                <w:sz w:val="20"/>
                <w:szCs w:val="20"/>
              </w:rPr>
              <w:t xml:space="preserve">Ficha de recepción de materiales</w:t>
            </w:r>
          </w:p>
        </w:tc>
        <w:tc>
          <w:tcPr>
            <w:tcW w:w="1900" w:type="dxa"/>
          </w:tcPr>
          <w:p>
            <w:pPr>
              <w:pStyle w:val="CeldaAPA"/>
              <w:jc w:val="left"/>
            </w:pPr>
            <w:r>
              <w:rPr>
                <w:bCs/>
                <w:b/>
                <w:sz w:val="20"/>
                <w:szCs w:val="20"/>
              </w:rPr>
              <w:t xml:space="preserve">Código:</w:t>
            </w:r>
            <w:r>
              <w:rPr>
                <w:sz w:val="20"/>
                <w:szCs w:val="20"/>
              </w:rPr>
              <w:t xml:space="preserve"> </w:t>
            </w:r>
            <w:r>
              <w:rPr>
                <w:sz w:val="20"/>
                <w:szCs w:val="20"/>
              </w:rPr>
              <w:t xml:space="preserve">C.3</w:t>
            </w:r>
          </w:p>
        </w:tc>
      </w:tr>
      <w:tr>
        <w:tc>
          <w:tcPr>
            <w:tcW w:w="2930" w:type="dxa"/>
          </w:tcPr>
          <w:p>
            <w:pPr>
              <w:pStyle w:val="CeldaAPA"/>
              <w:jc w:val="left"/>
            </w:pPr>
            <w:r>
              <w:rPr>
                <w:sz w:val="20"/>
                <w:szCs w:val="20"/>
              </w:rPr>
              <w:t xml:space="preserve">Ítem 13: losa alivianada h = 25 cm</w:t>
            </w:r>
          </w:p>
        </w:tc>
        <w:tc>
          <w:tcPr>
            <w:tcW w:w="4240" w:type="dxa"/>
            <w:gridSpan w:val="1"/>
            <w:vMerge w:val="continue"/>
          </w:tcPr>
          <w:p>
            <w:pPr>
              <w:pStyle w:val="CeldaAPA"/>
            </w:pPr>
          </w:p>
        </w:tc>
        <w:tc>
          <w:tcPr>
            <w:tcW w:w="1900" w:type="dxa"/>
          </w:tcPr>
          <w:p>
            <w:pPr>
              <w:pStyle w:val="CeldaAPA"/>
              <w:jc w:val="left"/>
            </w:pPr>
            <w:r>
              <w:rPr>
                <w:sz w:val="20"/>
                <w:szCs w:val="20"/>
              </w:rPr>
              <w:t xml:space="preserve">Versión 0</w:t>
            </w:r>
          </w:p>
        </w:tc>
      </w:tr>
    </w:tbl>
    <w:tbl>
      <w:tblPr>
        <w:tblStyle w:val="Table"/>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0" w:lastRow="0" w:firstColumn="0" w:lastColumn="0" w:noHBand="0" w:noVBand="0" w:val="0000"/>
      </w:tblPr>
      <w:tblGrid>
        <w:gridCol w:w="3120"/>
        <w:gridCol w:w="3120"/>
        <w:gridCol w:w="3120"/>
      </w:tblGrid>
      <w:tr>
        <w:tc>
          <w:tcPr>
            <w:tcW w:w="3120" w:type="dxa"/>
          </w:tcPr>
          <w:p>
            <w:pPr>
              <w:pStyle w:val="CeldaAPA"/>
              <w:jc w:val="left"/>
            </w:pPr>
            <w:r>
              <w:rPr>
                <w:sz w:val="20"/>
                <w:szCs w:val="20"/>
              </w:rPr>
              <w:t xml:space="preserve">Ficha N.</w:t>
            </w:r>
            <w:r>
              <w:rPr>
                <w:vertAlign w:val="superscript"/>
                <w:sz w:val="20"/>
                <w:szCs w:val="20"/>
              </w:rPr>
              <w:t xml:space="preserve">o</w:t>
            </w:r>
            <w:r>
              <w:rPr>
                <w:sz w:val="20"/>
                <w:szCs w:val="20"/>
              </w:rPr>
              <w:t xml:space="preserve"> ______________</w:t>
            </w:r>
          </w:p>
        </w:tc>
        <w:tc>
          <w:tcPr>
            <w:tcW w:w="3120" w:type="dxa"/>
          </w:tcPr>
          <w:p>
            <w:pPr>
              <w:pStyle w:val="CeldaAPA"/>
              <w:jc w:val="left"/>
            </w:pPr>
            <w:r>
              <w:rPr>
                <w:sz w:val="20"/>
                <w:szCs w:val="20"/>
              </w:rPr>
              <w:t xml:space="preserve">Fecha y hora ______________</w:t>
            </w:r>
          </w:p>
        </w:tc>
        <w:tc>
          <w:tcPr>
            <w:tcW w:w="3120" w:type="dxa"/>
          </w:tcPr>
          <w:p>
            <w:pPr>
              <w:pStyle w:val="CeldaAPA"/>
              <w:jc w:val="left"/>
            </w:pPr>
            <w:r>
              <w:rPr>
                <w:sz w:val="20"/>
                <w:szCs w:val="20"/>
              </w:rPr>
              <w:t xml:space="preserve">Proveedor ______________</w:t>
            </w:r>
          </w:p>
        </w:tc>
      </w:tr>
      <w:tr>
        <w:tc>
          <w:tcPr>
            <w:tcW w:w="3120" w:type="dxa"/>
          </w:tcPr>
          <w:p>
            <w:pPr>
              <w:pStyle w:val="CeldaAPA"/>
              <w:jc w:val="left"/>
            </w:pPr>
            <w:r>
              <w:rPr>
                <w:sz w:val="20"/>
                <w:szCs w:val="20"/>
              </w:rPr>
              <w:t xml:space="preserve">Material ______________</w:t>
            </w:r>
          </w:p>
        </w:tc>
        <w:tc>
          <w:tcPr>
            <w:tcW w:w="3120" w:type="dxa"/>
          </w:tcPr>
          <w:p>
            <w:pPr>
              <w:pStyle w:val="CeldaAPA"/>
              <w:jc w:val="left"/>
            </w:pPr>
            <w:r>
              <w:rPr>
                <w:sz w:val="20"/>
                <w:szCs w:val="20"/>
              </w:rPr>
              <w:t xml:space="preserve">Nota de remisión N.</w:t>
            </w:r>
            <w:r>
              <w:rPr>
                <w:vertAlign w:val="superscript"/>
                <w:sz w:val="20"/>
                <w:szCs w:val="20"/>
              </w:rPr>
              <w:t xml:space="preserve">o</w:t>
            </w:r>
            <w:r>
              <w:rPr>
                <w:sz w:val="20"/>
                <w:szCs w:val="20"/>
              </w:rPr>
              <w:t xml:space="preserve"> ______________</w:t>
            </w:r>
          </w:p>
        </w:tc>
        <w:tc>
          <w:tcPr>
            <w:tcW w:w="3120" w:type="dxa"/>
          </w:tcPr>
          <w:p>
            <w:pPr>
              <w:pStyle w:val="CeldaAPA"/>
              <w:jc w:val="left"/>
            </w:pPr>
            <w:r>
              <w:rPr>
                <w:sz w:val="20"/>
                <w:szCs w:val="20"/>
              </w:rPr>
              <w:t xml:space="preserve">Factura N.</w:t>
            </w:r>
            <w:r>
              <w:rPr>
                <w:vertAlign w:val="superscript"/>
                <w:sz w:val="20"/>
                <w:szCs w:val="20"/>
              </w:rPr>
              <w:t xml:space="preserve">o</w:t>
            </w:r>
            <w:r>
              <w:rPr>
                <w:sz w:val="20"/>
                <w:szCs w:val="20"/>
              </w:rPr>
              <w:t xml:space="preserve"> ______________</w:t>
            </w:r>
          </w:p>
        </w:tc>
      </w:tr>
      <w:tr>
        <w:tc>
          <w:tcPr>
            <w:tcW w:w="3120" w:type="dxa"/>
          </w:tcPr>
          <w:p>
            <w:pPr>
              <w:pStyle w:val="CeldaAPA"/>
              <w:jc w:val="left"/>
            </w:pPr>
            <w:r>
              <w:rPr>
                <w:sz w:val="20"/>
                <w:szCs w:val="20"/>
              </w:rPr>
              <w:t xml:space="preserve">Orden de compra N.</w:t>
            </w:r>
            <w:r>
              <w:rPr>
                <w:vertAlign w:val="superscript"/>
                <w:sz w:val="20"/>
                <w:szCs w:val="20"/>
              </w:rPr>
              <w:t xml:space="preserve">o</w:t>
            </w:r>
            <w:r>
              <w:rPr>
                <w:sz w:val="20"/>
                <w:szCs w:val="20"/>
              </w:rPr>
              <w:t xml:space="preserve"> ______________</w:t>
            </w:r>
          </w:p>
        </w:tc>
        <w:tc>
          <w:tcPr>
            <w:tcW w:w="3120" w:type="dxa"/>
          </w:tcPr>
          <w:p>
            <w:pPr>
              <w:pStyle w:val="CeldaAPA"/>
              <w:jc w:val="left"/>
            </w:pPr>
            <w:r>
              <w:rPr>
                <w:sz w:val="20"/>
                <w:szCs w:val="20"/>
              </w:rPr>
              <w:t xml:space="preserve">Lote o colada ______________</w:t>
            </w:r>
          </w:p>
        </w:tc>
        <w:tc>
          <w:tcPr>
            <w:tcW w:w="3120" w:type="dxa"/>
          </w:tcPr>
          <w:p>
            <w:pPr>
              <w:pStyle w:val="CeldaAPA"/>
              <w:jc w:val="left"/>
            </w:pPr>
            <w:r>
              <w:rPr>
                <w:sz w:val="20"/>
                <w:szCs w:val="20"/>
              </w:rPr>
              <w:t xml:space="preserve">Destino (losa y paños) ______________</w:t>
            </w:r>
          </w:p>
        </w:tc>
      </w:tr>
      <w:tr>
        <w:tc>
          <w:tcPr>
            <w:tcW w:w="3120" w:type="dxa"/>
          </w:tcPr>
          <w:p>
            <w:pPr>
              <w:pStyle w:val="CeldaAPA"/>
              <w:jc w:val="left"/>
            </w:pPr>
            <w:r>
              <w:rPr>
                <w:sz w:val="20"/>
                <w:szCs w:val="20"/>
              </w:rPr>
              <w:t xml:space="preserve">Cantidad remitida ______________</w:t>
            </w:r>
          </w:p>
        </w:tc>
        <w:tc>
          <w:tcPr>
            <w:tcW w:w="3120" w:type="dxa"/>
          </w:tcPr>
          <w:p>
            <w:pPr>
              <w:pStyle w:val="CeldaAPA"/>
              <w:jc w:val="left"/>
            </w:pPr>
            <w:r>
              <w:rPr>
                <w:sz w:val="20"/>
                <w:szCs w:val="20"/>
              </w:rPr>
              <w:t xml:space="preserve">Cantidad recibida (conteo) ______________</w:t>
            </w:r>
          </w:p>
        </w:tc>
        <w:tc>
          <w:tcPr>
            <w:tcW w:w="3120" w:type="dxa"/>
          </w:tcPr>
          <w:p>
            <w:pPr>
              <w:pStyle w:val="CeldaAPA"/>
              <w:jc w:val="left"/>
            </w:pPr>
            <w:r>
              <w:rPr>
                <w:sz w:val="20"/>
                <w:szCs w:val="20"/>
              </w:rPr>
              <w:t xml:space="preserve">Unidad ______________</w:t>
            </w:r>
          </w:p>
        </w:tc>
      </w:tr>
    </w:tbl>
    <w:p>
      <w:pPr>
        <w:pStyle w:val="BodyText"/>
        <w:spacing w:before="240"/>
      </w:pPr>
      <w:r>
        <w:rPr>
          <w:bCs/>
          <w:b/>
        </w:rPr>
        <w:t xml:space="preserve">1. Verificación documental</w:t>
      </w:r>
    </w:p>
    <w:tbl>
      <w:tblPr>
        <w:tblStyle w:val="Table"/>
        <w:tblW w:w="9359"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1" w:lastRow="0" w:firstColumn="0" w:lastColumn="0" w:noHBand="0" w:noVBand="0" w:val="0020"/>
      </w:tblPr>
      <w:tblGrid>
        <w:gridCol w:w="4416"/>
        <w:gridCol w:w="782"/>
        <w:gridCol w:w="782"/>
        <w:gridCol w:w="782"/>
        <w:gridCol w:w="2597"/>
      </w:tblGrid>
      <w:tr>
        <w:trPr>
          <w:cantSplit/>
          <w:tblHeader w:val="true"/>
        </w:trPr>
        <w:tc>
          <w:tcPr>
            <w:tcW w:w="4416" w:type="dxa"/>
          </w:tcPr>
          <w:p>
            <w:pPr>
              <w:pStyle w:val="CeldaAPA"/>
              <w:jc w:val="left"/>
            </w:pPr>
            <w:r>
              <w:rPr>
                <w:bCs/>
                <w:b/>
                <w:sz w:val="20"/>
                <w:szCs w:val="20"/>
              </w:rPr>
              <w:t xml:space="preserve">Documento</w:t>
            </w:r>
          </w:p>
        </w:tc>
        <w:tc>
          <w:tcPr>
            <w:tcW w:w="782" w:type="dxa"/>
          </w:tcPr>
          <w:p>
            <w:pPr>
              <w:pStyle w:val="CeldaAPA"/>
              <w:jc w:val="center"/>
            </w:pPr>
            <w:r>
              <w:rPr>
                <w:bCs/>
                <w:b/>
                <w:sz w:val="20"/>
                <w:szCs w:val="20"/>
              </w:rPr>
              <w:t xml:space="preserve">Sí</w:t>
            </w:r>
          </w:p>
        </w:tc>
        <w:tc>
          <w:tcPr>
            <w:tcW w:w="782" w:type="dxa"/>
          </w:tcPr>
          <w:p>
            <w:pPr>
              <w:pStyle w:val="CeldaAPA"/>
              <w:jc w:val="center"/>
            </w:pPr>
            <w:r>
              <w:rPr>
                <w:bCs/>
                <w:b/>
                <w:sz w:val="20"/>
                <w:szCs w:val="20"/>
              </w:rPr>
              <w:t xml:space="preserve">No</w:t>
            </w:r>
          </w:p>
        </w:tc>
        <w:tc>
          <w:tcPr>
            <w:tcW w:w="782" w:type="dxa"/>
          </w:tcPr>
          <w:p>
            <w:pPr>
              <w:pStyle w:val="CeldaAPA"/>
              <w:jc w:val="center"/>
            </w:pPr>
            <w:r>
              <w:rPr>
                <w:bCs/>
                <w:b/>
                <w:sz w:val="20"/>
                <w:szCs w:val="20"/>
              </w:rPr>
              <w:t xml:space="preserve">NA</w:t>
            </w:r>
          </w:p>
        </w:tc>
        <w:tc>
          <w:tcPr>
            <w:tcW w:w="2597" w:type="dxa"/>
          </w:tcPr>
          <w:p>
            <w:pPr>
              <w:pStyle w:val="CeldaAPA"/>
              <w:jc w:val="left"/>
            </w:pPr>
            <w:r>
              <w:rPr>
                <w:bCs/>
                <w:b/>
                <w:sz w:val="20"/>
                <w:szCs w:val="20"/>
              </w:rPr>
              <w:t xml:space="preserve">Observación</w:t>
            </w:r>
          </w:p>
        </w:tc>
      </w:tr>
      <w:tr>
        <w:tc>
          <w:tcPr>
            <w:tcW w:w="4416" w:type="dxa"/>
          </w:tcPr>
          <w:p>
            <w:pPr>
              <w:pStyle w:val="CeldaAPA"/>
              <w:jc w:val="left"/>
            </w:pPr>
            <w:r>
              <w:rPr>
                <w:sz w:val="20"/>
                <w:szCs w:val="20"/>
              </w:rPr>
              <w:t xml:space="preserve">Certificado de calidad firmado, con lote y cantidad</w:t>
            </w:r>
          </w:p>
        </w:tc>
        <w:tc>
          <w:tcPr>
            <w:tcW w:w="782" w:type="dxa"/>
          </w:tcPr>
          <w:p>
            <w:pPr>
              <w:pStyle w:val="CeldaAPA"/>
            </w:pPr>
          </w:p>
        </w:tc>
        <w:tc>
          <w:tcPr>
            <w:tcW w:w="782" w:type="dxa"/>
          </w:tcPr>
          <w:p>
            <w:pPr>
              <w:pStyle w:val="CeldaAPA"/>
            </w:pPr>
          </w:p>
        </w:tc>
        <w:tc>
          <w:tcPr>
            <w:tcW w:w="782" w:type="dxa"/>
          </w:tcPr>
          <w:p>
            <w:pPr>
              <w:pStyle w:val="CeldaAPA"/>
            </w:pPr>
          </w:p>
        </w:tc>
        <w:tc>
          <w:tcPr>
            <w:tcW w:w="2597" w:type="dxa"/>
          </w:tcPr>
          <w:p>
            <w:pPr>
              <w:pStyle w:val="CeldaAPA"/>
            </w:pPr>
          </w:p>
        </w:tc>
      </w:tr>
      <w:tr>
        <w:tc>
          <w:tcPr>
            <w:tcW w:w="4416" w:type="dxa"/>
          </w:tcPr>
          <w:p>
            <w:pPr>
              <w:pStyle w:val="CeldaAPA"/>
              <w:jc w:val="left"/>
            </w:pPr>
            <w:r>
              <w:rPr>
                <w:sz w:val="20"/>
                <w:szCs w:val="20"/>
              </w:rPr>
              <w:t xml:space="preserve">Fecha del certificado anterior a la colocación</w:t>
            </w:r>
          </w:p>
        </w:tc>
        <w:tc>
          <w:tcPr>
            <w:tcW w:w="782" w:type="dxa"/>
          </w:tcPr>
          <w:p>
            <w:pPr>
              <w:pStyle w:val="CeldaAPA"/>
            </w:pPr>
          </w:p>
        </w:tc>
        <w:tc>
          <w:tcPr>
            <w:tcW w:w="782" w:type="dxa"/>
          </w:tcPr>
          <w:p>
            <w:pPr>
              <w:pStyle w:val="CeldaAPA"/>
            </w:pPr>
          </w:p>
        </w:tc>
        <w:tc>
          <w:tcPr>
            <w:tcW w:w="782" w:type="dxa"/>
          </w:tcPr>
          <w:p>
            <w:pPr>
              <w:pStyle w:val="CeldaAPA"/>
            </w:pPr>
          </w:p>
        </w:tc>
        <w:tc>
          <w:tcPr>
            <w:tcW w:w="2597" w:type="dxa"/>
          </w:tcPr>
          <w:p>
            <w:pPr>
              <w:pStyle w:val="CeldaAPA"/>
            </w:pPr>
          </w:p>
        </w:tc>
      </w:tr>
      <w:tr>
        <w:tc>
          <w:tcPr>
            <w:tcW w:w="4416" w:type="dxa"/>
          </w:tcPr>
          <w:p>
            <w:pPr>
              <w:pStyle w:val="CeldaAPA"/>
              <w:jc w:val="left"/>
            </w:pPr>
            <w:r>
              <w:rPr>
                <w:sz w:val="20"/>
                <w:szCs w:val="20"/>
              </w:rPr>
              <w:t xml:space="preserve">Viguetas: conformidad con la NB 997 declarada en el certificado</w:t>
            </w:r>
          </w:p>
        </w:tc>
        <w:tc>
          <w:tcPr>
            <w:tcW w:w="782" w:type="dxa"/>
          </w:tcPr>
          <w:p>
            <w:pPr>
              <w:pStyle w:val="CeldaAPA"/>
            </w:pPr>
          </w:p>
        </w:tc>
        <w:tc>
          <w:tcPr>
            <w:tcW w:w="782" w:type="dxa"/>
          </w:tcPr>
          <w:p>
            <w:pPr>
              <w:pStyle w:val="CeldaAPA"/>
            </w:pPr>
          </w:p>
        </w:tc>
        <w:tc>
          <w:tcPr>
            <w:tcW w:w="782" w:type="dxa"/>
          </w:tcPr>
          <w:p>
            <w:pPr>
              <w:pStyle w:val="CeldaAPA"/>
            </w:pPr>
          </w:p>
        </w:tc>
        <w:tc>
          <w:tcPr>
            <w:tcW w:w="2597" w:type="dxa"/>
          </w:tcPr>
          <w:p>
            <w:pPr>
              <w:pStyle w:val="CeldaAPA"/>
            </w:pPr>
          </w:p>
        </w:tc>
      </w:tr>
      <w:tr>
        <w:tc>
          <w:tcPr>
            <w:tcW w:w="4416" w:type="dxa"/>
          </w:tcPr>
          <w:p>
            <w:pPr>
              <w:pStyle w:val="CeldaAPA"/>
              <w:jc w:val="left"/>
            </w:pPr>
            <w:r>
              <w:rPr>
                <w:sz w:val="20"/>
                <w:szCs w:val="20"/>
              </w:rPr>
              <w:t xml:space="preserve">Acero: certificado por colada para cada diámetro entregado (</w:t>
            </w:r>
            <m:oMath>
              <m:r>
                <m:t>ϕ</m:t>
              </m:r>
            </m:oMath>
            <w:r>
              <w:rPr>
                <w:sz w:val="20"/>
                <w:szCs w:val="20"/>
              </w:rPr>
              <w:t xml:space="preserve">6,</w:t>
            </w:r>
            <w:r>
              <w:rPr>
                <w:sz w:val="20"/>
                <w:szCs w:val="20"/>
              </w:rPr>
              <w:t xml:space="preserve"> </w:t>
            </w:r>
            <m:oMath>
              <m:r>
                <m:t>ϕ</m:t>
              </m:r>
            </m:oMath>
            <w:r>
              <w:rPr>
                <w:sz w:val="20"/>
                <w:szCs w:val="20"/>
              </w:rPr>
              <w:t xml:space="preserve">8,</w:t>
            </w:r>
            <w:r>
              <w:rPr>
                <w:sz w:val="20"/>
                <w:szCs w:val="20"/>
              </w:rPr>
              <w:t xml:space="preserve"> </w:t>
            </w:r>
            <m:oMath>
              <m:r>
                <m:t>ϕ</m:t>
              </m:r>
            </m:oMath>
            <w:r>
              <w:rPr>
                <w:sz w:val="20"/>
                <w:szCs w:val="20"/>
              </w:rPr>
              <w:t xml:space="preserve">10,</w:t>
            </w:r>
            <w:r>
              <w:rPr>
                <w:sz w:val="20"/>
                <w:szCs w:val="20"/>
              </w:rPr>
              <w:t xml:space="preserve"> </w:t>
            </w:r>
            <m:oMath>
              <m:r>
                <m:t>ϕ</m:t>
              </m:r>
            </m:oMath>
            <w:r>
              <w:rPr>
                <w:sz w:val="20"/>
                <w:szCs w:val="20"/>
              </w:rPr>
              <w:t xml:space="preserve">12…)</w:t>
            </w:r>
          </w:p>
        </w:tc>
        <w:tc>
          <w:tcPr>
            <w:tcW w:w="782" w:type="dxa"/>
          </w:tcPr>
          <w:p>
            <w:pPr>
              <w:pStyle w:val="CeldaAPA"/>
            </w:pPr>
          </w:p>
        </w:tc>
        <w:tc>
          <w:tcPr>
            <w:tcW w:w="782" w:type="dxa"/>
          </w:tcPr>
          <w:p>
            <w:pPr>
              <w:pStyle w:val="CeldaAPA"/>
            </w:pPr>
          </w:p>
        </w:tc>
        <w:tc>
          <w:tcPr>
            <w:tcW w:w="782" w:type="dxa"/>
          </w:tcPr>
          <w:p>
            <w:pPr>
              <w:pStyle w:val="CeldaAPA"/>
            </w:pPr>
          </w:p>
        </w:tc>
        <w:tc>
          <w:tcPr>
            <w:tcW w:w="2597" w:type="dxa"/>
          </w:tcPr>
          <w:p>
            <w:pPr>
              <w:pStyle w:val="CeldaAPA"/>
            </w:pPr>
          </w:p>
        </w:tc>
      </w:tr>
      <w:tr>
        <w:tc>
          <w:tcPr>
            <w:tcW w:w="4416" w:type="dxa"/>
          </w:tcPr>
          <w:p>
            <w:pPr>
              <w:pStyle w:val="CeldaAPA"/>
              <w:jc w:val="left"/>
            </w:pPr>
            <w:r>
              <w:rPr>
                <w:sz w:val="20"/>
                <w:szCs w:val="20"/>
              </w:rPr>
              <w:t xml:space="preserve">Cemento: sello IBNORCA, tipo, clase y fecha de fabricación</w:t>
            </w:r>
          </w:p>
        </w:tc>
        <w:tc>
          <w:tcPr>
            <w:tcW w:w="782" w:type="dxa"/>
          </w:tcPr>
          <w:p>
            <w:pPr>
              <w:pStyle w:val="CeldaAPA"/>
            </w:pPr>
          </w:p>
        </w:tc>
        <w:tc>
          <w:tcPr>
            <w:tcW w:w="782" w:type="dxa"/>
          </w:tcPr>
          <w:p>
            <w:pPr>
              <w:pStyle w:val="CeldaAPA"/>
            </w:pPr>
          </w:p>
        </w:tc>
        <w:tc>
          <w:tcPr>
            <w:tcW w:w="782" w:type="dxa"/>
          </w:tcPr>
          <w:p>
            <w:pPr>
              <w:pStyle w:val="CeldaAPA"/>
            </w:pPr>
          </w:p>
        </w:tc>
        <w:tc>
          <w:tcPr>
            <w:tcW w:w="2597" w:type="dxa"/>
          </w:tcPr>
          <w:p>
            <w:pPr>
              <w:pStyle w:val="CeldaAPA"/>
            </w:pPr>
          </w:p>
        </w:tc>
      </w:tr>
      <w:tr>
        <w:tc>
          <w:tcPr>
            <w:tcW w:w="4416" w:type="dxa"/>
          </w:tcPr>
          <w:p>
            <w:pPr>
              <w:pStyle w:val="CeldaAPA"/>
              <w:jc w:val="left"/>
            </w:pPr>
            <w:r>
              <w:rPr>
                <w:sz w:val="20"/>
                <w:szCs w:val="20"/>
              </w:rPr>
              <w:t xml:space="preserve">Remisión, factura y orden de compra coinciden en material y cantidad</w:t>
            </w:r>
          </w:p>
        </w:tc>
        <w:tc>
          <w:tcPr>
            <w:tcW w:w="782" w:type="dxa"/>
          </w:tcPr>
          <w:p>
            <w:pPr>
              <w:pStyle w:val="CeldaAPA"/>
            </w:pPr>
          </w:p>
        </w:tc>
        <w:tc>
          <w:tcPr>
            <w:tcW w:w="782" w:type="dxa"/>
          </w:tcPr>
          <w:p>
            <w:pPr>
              <w:pStyle w:val="CeldaAPA"/>
            </w:pPr>
          </w:p>
        </w:tc>
        <w:tc>
          <w:tcPr>
            <w:tcW w:w="782" w:type="dxa"/>
          </w:tcPr>
          <w:p>
            <w:pPr>
              <w:pStyle w:val="CeldaAPA"/>
            </w:pPr>
          </w:p>
        </w:tc>
        <w:tc>
          <w:tcPr>
            <w:tcW w:w="2597" w:type="dxa"/>
          </w:tcPr>
          <w:p>
            <w:pPr>
              <w:pStyle w:val="CeldaAPA"/>
            </w:pPr>
          </w:p>
        </w:tc>
      </w:tr>
    </w:tbl>
    <w:p>
      <w:pPr>
        <w:pStyle w:val="BodyText"/>
        <w:spacing w:before="240"/>
      </w:pPr>
      <w:r>
        <w:rPr>
          <w:bCs/>
          <w:b/>
        </w:rPr>
        <w:t xml:space="preserve">2. Inspección física por material</w:t>
      </w:r>
    </w:p>
    <w:p>
      <w:pPr>
        <w:pStyle w:val="BodyText"/>
        <w:ind w:firstLine="0"/>
      </w:pPr>
      <w:r>
        <w:t xml:space="preserve"/>
      </w:r>
      <w:r>
        <w:rPr>
          <w:bCs/>
          <w:b/>
        </w:rPr>
        <w:t xml:space="preserve">a) Viguetas pretensadas</w:t>
      </w:r>
      <w:r>
        <w:t xml:space="preserve"> </w:t>
      </w:r>
      <w:r>
        <w:t xml:space="preserve">(muestra: cinco viguetas por entrega y tipo; inspección visual de todas)</w:t>
      </w:r>
    </w:p>
    <w:tbl>
      <w:tblPr>
        <w:tblStyle w:val="Table"/>
        <w:tblW w:w="10303"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1" w:lastRow="0" w:firstColumn="0" w:lastColumn="0" w:noHBand="0" w:noVBand="0" w:val="0020"/>
      </w:tblPr>
      <w:tblGrid>
        <w:gridCol w:w="666"/>
        <w:gridCol w:w="814"/>
        <w:gridCol w:w="1062"/>
        <w:gridCol w:w="1097"/>
        <w:gridCol w:w="1553"/>
        <w:gridCol w:w="1218"/>
        <w:gridCol w:w="1739"/>
        <w:gridCol w:w="1504"/>
        <w:gridCol w:w="650"/>
      </w:tblGrid>
      <w:tr>
        <w:trPr>
          <w:cantSplit/>
          <w:tblHeader w:val="true"/>
        </w:trPr>
        <w:tc>
          <w:tcPr>
            <w:tcW w:w="666" w:type="dxa"/>
          </w:tcPr>
          <w:p>
            <w:pPr>
              <w:pStyle w:val="CeldaAPA"/>
              <w:jc w:val="center"/>
            </w:pPr>
            <w:r>
              <w:rPr>
                <w:bCs/>
                <w:b/>
                <w:sz w:val="20"/>
                <w:szCs w:val="20"/>
              </w:rPr>
              <w:t xml:space="preserve">N.</w:t>
            </w:r>
            <w:r>
              <w:rPr>
                <w:vertAlign w:val="superscript"/>
                <w:bCs/>
                <w:b/>
                <w:sz w:val="20"/>
                <w:szCs w:val="20"/>
              </w:rPr>
              <w:t xml:space="preserve">o</w:t>
            </w:r>
          </w:p>
        </w:tc>
        <w:tc>
          <w:tcPr>
            <w:tcW w:w="814" w:type="dxa"/>
          </w:tcPr>
          <w:p>
            <w:pPr>
              <w:pStyle w:val="CeldaAPA"/>
              <w:jc w:val="center"/>
            </w:pPr>
            <w:r>
              <w:rPr>
                <w:bCs/>
                <w:b/>
                <w:sz w:val="20"/>
                <w:szCs w:val="20"/>
              </w:rPr>
              <w:t xml:space="preserve">Tipo</w:t>
            </w:r>
          </w:p>
        </w:tc>
        <w:tc>
          <w:tcPr>
            <w:tcW w:w="1062" w:type="dxa"/>
          </w:tcPr>
          <w:p>
            <w:pPr>
              <w:pStyle w:val="CeldaAPA"/>
              <w:jc w:val="center"/>
            </w:pPr>
            <w:r>
              <w:rPr>
                <w:bCs/>
                <w:b/>
                <w:sz w:val="20"/>
                <w:szCs w:val="20"/>
              </w:rPr>
              <w:t xml:space="preserve">L teórica (mm)</w:t>
            </w:r>
          </w:p>
        </w:tc>
        <w:tc>
          <w:tcPr>
            <w:tcW w:w="1097" w:type="dxa"/>
          </w:tcPr>
          <w:p>
            <w:pPr>
              <w:pStyle w:val="CeldaAPA"/>
              <w:jc w:val="center"/>
            </w:pPr>
            <w:r>
              <w:rPr>
                <w:bCs/>
                <w:b/>
                <w:sz w:val="20"/>
                <w:szCs w:val="20"/>
              </w:rPr>
              <w:t xml:space="preserve">L medida (mm)</w:t>
            </w:r>
          </w:p>
        </w:tc>
        <w:tc>
          <w:tcPr>
            <w:tcW w:w="1553" w:type="dxa"/>
          </w:tcPr>
          <w:p>
            <w:pPr>
              <w:pStyle w:val="CeldaAPA"/>
              <w:jc w:val="center"/>
            </w:pPr>
            <m:oMath>
              <m:r>
                <m:t>Δ</m:t>
              </m:r>
              <m:r>
                <m:t>L</m:t>
              </m:r>
            </m:oMath>
            <w:r>
              <w:rPr>
                <w:bCs/>
                <w:b/>
                <w:sz w:val="20"/>
                <w:szCs w:val="20"/>
              </w:rPr>
              <w:t xml:space="preserve"> </w:t>
            </w:r>
            <w:r>
              <w:rPr>
                <w:bCs/>
                <w:b/>
                <w:sz w:val="20"/>
                <w:szCs w:val="20"/>
              </w:rPr>
              <w:t xml:space="preserve">(+30/</w:t>
            </w:r>
            <m:oMath>
              <m:r>
                <m:rPr>
                  <m:sty m:val="p"/>
                </m:rPr>
                <m:t>−</m:t>
              </m:r>
            </m:oMath>
            <w:r>
              <w:rPr>
                <w:bCs/>
                <w:b/>
                <w:sz w:val="20"/>
                <w:szCs w:val="20"/>
              </w:rPr>
              <w:t xml:space="preserve">20)</w:t>
            </w:r>
          </w:p>
        </w:tc>
        <w:tc>
          <w:tcPr>
            <w:tcW w:w="1218" w:type="dxa"/>
          </w:tcPr>
          <w:p>
            <w:pPr>
              <w:pStyle w:val="CeldaAPA"/>
              <w:jc w:val="center"/>
            </w:pPr>
            <w:r>
              <w:rPr>
                <w:bCs/>
                <w:b/>
                <w:sz w:val="20"/>
                <w:szCs w:val="20"/>
              </w:rPr>
              <w:t xml:space="preserve">Sección</w:t>
            </w:r>
            <w:r>
              <w:rPr>
                <w:bCs/>
                <w:b/>
                <w:sz w:val="20"/>
                <w:szCs w:val="20"/>
              </w:rPr>
              <w:t xml:space="preserve"> </w:t>
            </w:r>
            <m:oMath>
              <m:r>
                <m:t>a</m:t>
              </m:r>
            </m:oMath>
            <w:r>
              <w:rPr>
                <w:bCs/>
                <w:b/>
                <w:sz w:val="20"/>
                <w:szCs w:val="20"/>
              </w:rPr>
              <w:t xml:space="preserve">,</w:t>
            </w:r>
            <w:r>
              <w:rPr>
                <w:bCs/>
                <w:b/>
                <w:sz w:val="20"/>
                <w:szCs w:val="20"/>
              </w:rPr>
              <w:t xml:space="preserve"> </w:t>
            </w:r>
            <m:oMath>
              <m:r>
                <m:t>b</m:t>
              </m:r>
            </m:oMath>
            <w:r>
              <w:rPr>
                <w:bCs/>
                <w:b/>
                <w:sz w:val="20"/>
                <w:szCs w:val="20"/>
              </w:rPr>
              <w:t xml:space="preserve">,</w:t>
            </w:r>
            <w:r>
              <w:rPr>
                <w:bCs/>
                <w:b/>
                <w:sz w:val="20"/>
                <w:szCs w:val="20"/>
              </w:rPr>
              <w:t xml:space="preserve"> </w:t>
            </w:r>
            <m:oMath>
              <m:r>
                <m:t>h</m:t>
              </m:r>
            </m:oMath>
            <w:r>
              <w:rPr>
                <w:bCs/>
                <w:b/>
                <w:sz w:val="20"/>
                <w:szCs w:val="20"/>
              </w:rPr>
              <w:t xml:space="preserve"> </w:t>
            </w:r>
            <w:r>
              <w:rPr>
                <w:bCs/>
                <w:b/>
                <w:sz w:val="20"/>
                <w:szCs w:val="20"/>
              </w:rPr>
              <w:t xml:space="preserve">(+5/</w:t>
            </w:r>
            <m:oMath>
              <m:r>
                <m:rPr>
                  <m:sty m:val="p"/>
                </m:rPr>
                <m:t>−</m:t>
              </m:r>
            </m:oMath>
            <w:r>
              <w:rPr>
                <w:bCs/>
                <w:b/>
                <w:sz w:val="20"/>
                <w:szCs w:val="20"/>
              </w:rPr>
              <w:t xml:space="preserve">2 mm)</w:t>
            </w:r>
          </w:p>
        </w:tc>
        <w:tc>
          <w:tcPr>
            <w:tcW w:w="1739" w:type="dxa"/>
          </w:tcPr>
          <w:p>
            <w:pPr>
              <w:pStyle w:val="CeldaAPA"/>
              <w:jc w:val="center"/>
            </w:pPr>
            <w:r>
              <w:rPr>
                <w:bCs/>
                <w:b/>
                <w:sz w:val="20"/>
                <w:szCs w:val="20"/>
              </w:rPr>
              <w:t xml:space="preserve">Contraflecha y flecha lateral (</w:t>
            </w:r>
            <m:oMath>
              <m:r>
                <m:rPr>
                  <m:sty m:val="p"/>
                </m:rPr>
                <m:t>≤</m:t>
              </m:r>
              <m:r>
                <m:t>L</m:t>
              </m:r>
              <m:r>
                <m:rPr>
                  <m:sty m:val="p"/>
                </m:rPr>
                <m:t>/</m:t>
              </m:r>
              <m:r>
                <m:t>300</m:t>
              </m:r>
            </m:oMath>
            <w:r>
              <w:rPr>
                <w:bCs/>
                <w:b/>
                <w:sz w:val="20"/>
                <w:szCs w:val="20"/>
              </w:rPr>
              <w:t xml:space="preserve">)</w:t>
            </w:r>
          </w:p>
        </w:tc>
        <w:tc>
          <w:tcPr>
            <w:tcW w:w="1504" w:type="dxa"/>
          </w:tcPr>
          <w:p>
            <w:pPr>
              <w:pStyle w:val="CeldaAPA"/>
              <w:jc w:val="left"/>
            </w:pPr>
            <w:r>
              <w:rPr>
                <w:bCs/>
                <w:b/>
                <w:sz w:val="20"/>
                <w:szCs w:val="20"/>
              </w:rPr>
              <w:t xml:space="preserve">Fisuras, oquedades, armadura visible</w:t>
            </w:r>
          </w:p>
        </w:tc>
        <w:tc>
          <w:tcPr>
            <w:tcW w:w="650" w:type="dxa"/>
          </w:tcPr>
          <w:p>
            <w:pPr>
              <w:pStyle w:val="CeldaAPA"/>
              <w:jc w:val="center"/>
            </w:pPr>
            <w:r>
              <w:rPr>
                <w:bCs/>
                <w:b/>
                <w:sz w:val="20"/>
                <w:szCs w:val="20"/>
              </w:rPr>
              <w:t xml:space="preserve">C / NC</w:t>
            </w:r>
          </w:p>
        </w:tc>
      </w:tr>
      <w:tr>
        <w:tc>
          <w:tcPr>
            <w:tcW w:w="666" w:type="dxa"/>
          </w:tcPr>
          <w:p>
            <w:pPr>
              <w:pStyle w:val="CeldaAPA"/>
              <w:jc w:val="center"/>
            </w:pPr>
            <w:r>
              <w:rPr>
                <w:sz w:val="20"/>
                <w:szCs w:val="20"/>
              </w:rPr>
              <w:t xml:space="preserve">1</w:t>
            </w:r>
          </w:p>
        </w:tc>
        <w:tc>
          <w:tcPr>
            <w:tcW w:w="814" w:type="dxa"/>
          </w:tcPr>
          <w:p>
            <w:pPr>
              <w:pStyle w:val="CeldaAPA"/>
            </w:pPr>
          </w:p>
        </w:tc>
        <w:tc>
          <w:tcPr>
            <w:tcW w:w="1062" w:type="dxa"/>
          </w:tcPr>
          <w:p>
            <w:pPr>
              <w:pStyle w:val="CeldaAPA"/>
            </w:pPr>
          </w:p>
        </w:tc>
        <w:tc>
          <w:tcPr>
            <w:tcW w:w="1097" w:type="dxa"/>
          </w:tcPr>
          <w:p>
            <w:pPr>
              <w:pStyle w:val="CeldaAPA"/>
            </w:pPr>
          </w:p>
        </w:tc>
        <w:tc>
          <w:tcPr>
            <w:tcW w:w="1553" w:type="dxa"/>
          </w:tcPr>
          <w:p>
            <w:pPr>
              <w:pStyle w:val="CeldaAPA"/>
            </w:pPr>
          </w:p>
        </w:tc>
        <w:tc>
          <w:tcPr>
            <w:tcW w:w="1218" w:type="dxa"/>
          </w:tcPr>
          <w:p>
            <w:pPr>
              <w:pStyle w:val="CeldaAPA"/>
            </w:pPr>
          </w:p>
        </w:tc>
        <w:tc>
          <w:tcPr>
            <w:tcW w:w="1739" w:type="dxa"/>
          </w:tcPr>
          <w:p>
            <w:pPr>
              <w:pStyle w:val="CeldaAPA"/>
            </w:pPr>
          </w:p>
        </w:tc>
        <w:tc>
          <w:tcPr>
            <w:tcW w:w="1504" w:type="dxa"/>
          </w:tcPr>
          <w:p>
            <w:pPr>
              <w:pStyle w:val="CeldaAPA"/>
            </w:pPr>
          </w:p>
        </w:tc>
        <w:tc>
          <w:tcPr>
            <w:tcW w:w="650" w:type="dxa"/>
          </w:tcPr>
          <w:p>
            <w:pPr>
              <w:pStyle w:val="CeldaAPA"/>
            </w:pPr>
          </w:p>
        </w:tc>
      </w:tr>
      <w:tr>
        <w:tc>
          <w:tcPr>
            <w:tcW w:w="666" w:type="dxa"/>
          </w:tcPr>
          <w:p>
            <w:pPr>
              <w:pStyle w:val="CeldaAPA"/>
              <w:jc w:val="center"/>
            </w:pPr>
            <w:r>
              <w:rPr>
                <w:sz w:val="20"/>
                <w:szCs w:val="20"/>
              </w:rPr>
              <w:t xml:space="preserve">2</w:t>
            </w:r>
          </w:p>
        </w:tc>
        <w:tc>
          <w:tcPr>
            <w:tcW w:w="814" w:type="dxa"/>
          </w:tcPr>
          <w:p>
            <w:pPr>
              <w:pStyle w:val="CeldaAPA"/>
            </w:pPr>
          </w:p>
        </w:tc>
        <w:tc>
          <w:tcPr>
            <w:tcW w:w="1062" w:type="dxa"/>
          </w:tcPr>
          <w:p>
            <w:pPr>
              <w:pStyle w:val="CeldaAPA"/>
            </w:pPr>
          </w:p>
        </w:tc>
        <w:tc>
          <w:tcPr>
            <w:tcW w:w="1097" w:type="dxa"/>
          </w:tcPr>
          <w:p>
            <w:pPr>
              <w:pStyle w:val="CeldaAPA"/>
            </w:pPr>
          </w:p>
        </w:tc>
        <w:tc>
          <w:tcPr>
            <w:tcW w:w="1553" w:type="dxa"/>
          </w:tcPr>
          <w:p>
            <w:pPr>
              <w:pStyle w:val="CeldaAPA"/>
            </w:pPr>
          </w:p>
        </w:tc>
        <w:tc>
          <w:tcPr>
            <w:tcW w:w="1218" w:type="dxa"/>
          </w:tcPr>
          <w:p>
            <w:pPr>
              <w:pStyle w:val="CeldaAPA"/>
            </w:pPr>
          </w:p>
        </w:tc>
        <w:tc>
          <w:tcPr>
            <w:tcW w:w="1739" w:type="dxa"/>
          </w:tcPr>
          <w:p>
            <w:pPr>
              <w:pStyle w:val="CeldaAPA"/>
            </w:pPr>
          </w:p>
        </w:tc>
        <w:tc>
          <w:tcPr>
            <w:tcW w:w="1504" w:type="dxa"/>
          </w:tcPr>
          <w:p>
            <w:pPr>
              <w:pStyle w:val="CeldaAPA"/>
            </w:pPr>
          </w:p>
        </w:tc>
        <w:tc>
          <w:tcPr>
            <w:tcW w:w="650" w:type="dxa"/>
          </w:tcPr>
          <w:p>
            <w:pPr>
              <w:pStyle w:val="CeldaAPA"/>
            </w:pPr>
          </w:p>
        </w:tc>
      </w:tr>
      <w:tr>
        <w:tc>
          <w:tcPr>
            <w:tcW w:w="666" w:type="dxa"/>
          </w:tcPr>
          <w:p>
            <w:pPr>
              <w:pStyle w:val="CeldaAPA"/>
              <w:jc w:val="center"/>
            </w:pPr>
            <w:r>
              <w:rPr>
                <w:sz w:val="20"/>
                <w:szCs w:val="20"/>
              </w:rPr>
              <w:t xml:space="preserve">3</w:t>
            </w:r>
          </w:p>
        </w:tc>
        <w:tc>
          <w:tcPr>
            <w:tcW w:w="814" w:type="dxa"/>
          </w:tcPr>
          <w:p>
            <w:pPr>
              <w:pStyle w:val="CeldaAPA"/>
            </w:pPr>
          </w:p>
        </w:tc>
        <w:tc>
          <w:tcPr>
            <w:tcW w:w="1062" w:type="dxa"/>
          </w:tcPr>
          <w:p>
            <w:pPr>
              <w:pStyle w:val="CeldaAPA"/>
            </w:pPr>
          </w:p>
        </w:tc>
        <w:tc>
          <w:tcPr>
            <w:tcW w:w="1097" w:type="dxa"/>
          </w:tcPr>
          <w:p>
            <w:pPr>
              <w:pStyle w:val="CeldaAPA"/>
            </w:pPr>
          </w:p>
        </w:tc>
        <w:tc>
          <w:tcPr>
            <w:tcW w:w="1553" w:type="dxa"/>
          </w:tcPr>
          <w:p>
            <w:pPr>
              <w:pStyle w:val="CeldaAPA"/>
            </w:pPr>
          </w:p>
        </w:tc>
        <w:tc>
          <w:tcPr>
            <w:tcW w:w="1218" w:type="dxa"/>
          </w:tcPr>
          <w:p>
            <w:pPr>
              <w:pStyle w:val="CeldaAPA"/>
            </w:pPr>
          </w:p>
        </w:tc>
        <w:tc>
          <w:tcPr>
            <w:tcW w:w="1739" w:type="dxa"/>
          </w:tcPr>
          <w:p>
            <w:pPr>
              <w:pStyle w:val="CeldaAPA"/>
            </w:pPr>
          </w:p>
        </w:tc>
        <w:tc>
          <w:tcPr>
            <w:tcW w:w="1504" w:type="dxa"/>
          </w:tcPr>
          <w:p>
            <w:pPr>
              <w:pStyle w:val="CeldaAPA"/>
            </w:pPr>
          </w:p>
        </w:tc>
        <w:tc>
          <w:tcPr>
            <w:tcW w:w="650" w:type="dxa"/>
          </w:tcPr>
          <w:p>
            <w:pPr>
              <w:pStyle w:val="CeldaAPA"/>
            </w:pPr>
          </w:p>
        </w:tc>
      </w:tr>
      <w:tr>
        <w:tc>
          <w:tcPr>
            <w:tcW w:w="666" w:type="dxa"/>
          </w:tcPr>
          <w:p>
            <w:pPr>
              <w:pStyle w:val="CeldaAPA"/>
              <w:jc w:val="center"/>
            </w:pPr>
            <w:r>
              <w:rPr>
                <w:sz w:val="20"/>
                <w:szCs w:val="20"/>
              </w:rPr>
              <w:t xml:space="preserve">4</w:t>
            </w:r>
          </w:p>
        </w:tc>
        <w:tc>
          <w:tcPr>
            <w:tcW w:w="814" w:type="dxa"/>
          </w:tcPr>
          <w:p>
            <w:pPr>
              <w:pStyle w:val="CeldaAPA"/>
            </w:pPr>
          </w:p>
        </w:tc>
        <w:tc>
          <w:tcPr>
            <w:tcW w:w="1062" w:type="dxa"/>
          </w:tcPr>
          <w:p>
            <w:pPr>
              <w:pStyle w:val="CeldaAPA"/>
            </w:pPr>
          </w:p>
        </w:tc>
        <w:tc>
          <w:tcPr>
            <w:tcW w:w="1097" w:type="dxa"/>
          </w:tcPr>
          <w:p>
            <w:pPr>
              <w:pStyle w:val="CeldaAPA"/>
            </w:pPr>
          </w:p>
        </w:tc>
        <w:tc>
          <w:tcPr>
            <w:tcW w:w="1553" w:type="dxa"/>
          </w:tcPr>
          <w:p>
            <w:pPr>
              <w:pStyle w:val="CeldaAPA"/>
            </w:pPr>
          </w:p>
        </w:tc>
        <w:tc>
          <w:tcPr>
            <w:tcW w:w="1218" w:type="dxa"/>
          </w:tcPr>
          <w:p>
            <w:pPr>
              <w:pStyle w:val="CeldaAPA"/>
            </w:pPr>
          </w:p>
        </w:tc>
        <w:tc>
          <w:tcPr>
            <w:tcW w:w="1739" w:type="dxa"/>
          </w:tcPr>
          <w:p>
            <w:pPr>
              <w:pStyle w:val="CeldaAPA"/>
            </w:pPr>
          </w:p>
        </w:tc>
        <w:tc>
          <w:tcPr>
            <w:tcW w:w="1504" w:type="dxa"/>
          </w:tcPr>
          <w:p>
            <w:pPr>
              <w:pStyle w:val="CeldaAPA"/>
            </w:pPr>
          </w:p>
        </w:tc>
        <w:tc>
          <w:tcPr>
            <w:tcW w:w="650" w:type="dxa"/>
          </w:tcPr>
          <w:p>
            <w:pPr>
              <w:pStyle w:val="CeldaAPA"/>
            </w:pPr>
          </w:p>
        </w:tc>
      </w:tr>
      <w:tr>
        <w:tc>
          <w:tcPr>
            <w:tcW w:w="666" w:type="dxa"/>
          </w:tcPr>
          <w:p>
            <w:pPr>
              <w:pStyle w:val="CeldaAPA"/>
              <w:jc w:val="center"/>
            </w:pPr>
            <w:r>
              <w:rPr>
                <w:sz w:val="20"/>
                <w:szCs w:val="20"/>
              </w:rPr>
              <w:t xml:space="preserve">5</w:t>
            </w:r>
          </w:p>
        </w:tc>
        <w:tc>
          <w:tcPr>
            <w:tcW w:w="814" w:type="dxa"/>
          </w:tcPr>
          <w:p>
            <w:pPr>
              <w:pStyle w:val="CeldaAPA"/>
            </w:pPr>
          </w:p>
        </w:tc>
        <w:tc>
          <w:tcPr>
            <w:tcW w:w="1062" w:type="dxa"/>
          </w:tcPr>
          <w:p>
            <w:pPr>
              <w:pStyle w:val="CeldaAPA"/>
            </w:pPr>
          </w:p>
        </w:tc>
        <w:tc>
          <w:tcPr>
            <w:tcW w:w="1097" w:type="dxa"/>
          </w:tcPr>
          <w:p>
            <w:pPr>
              <w:pStyle w:val="CeldaAPA"/>
            </w:pPr>
          </w:p>
        </w:tc>
        <w:tc>
          <w:tcPr>
            <w:tcW w:w="1553" w:type="dxa"/>
          </w:tcPr>
          <w:p>
            <w:pPr>
              <w:pStyle w:val="CeldaAPA"/>
            </w:pPr>
          </w:p>
        </w:tc>
        <w:tc>
          <w:tcPr>
            <w:tcW w:w="1218" w:type="dxa"/>
          </w:tcPr>
          <w:p>
            <w:pPr>
              <w:pStyle w:val="CeldaAPA"/>
            </w:pPr>
          </w:p>
        </w:tc>
        <w:tc>
          <w:tcPr>
            <w:tcW w:w="1739" w:type="dxa"/>
          </w:tcPr>
          <w:p>
            <w:pPr>
              <w:pStyle w:val="CeldaAPA"/>
            </w:pPr>
          </w:p>
        </w:tc>
        <w:tc>
          <w:tcPr>
            <w:tcW w:w="1504" w:type="dxa"/>
          </w:tcPr>
          <w:p>
            <w:pPr>
              <w:pStyle w:val="CeldaAPA"/>
            </w:pPr>
          </w:p>
        </w:tc>
        <w:tc>
          <w:tcPr>
            <w:tcW w:w="650" w:type="dxa"/>
          </w:tcPr>
          <w:p>
            <w:pPr>
              <w:pStyle w:val="CeldaAPA"/>
            </w:pPr>
          </w:p>
        </w:tc>
      </w:tr>
      <w:tr>
        <w:tc>
          <w:tcPr>
            <w:tcW w:w="10303" w:type="dxa"/>
            <w:gridSpan w:val="9"/>
          </w:tcPr>
          <w:p>
            <w:pPr>
              <w:pStyle w:val="CeldaAPA"/>
              <w:jc w:val="left"/>
            </w:pPr>
            <w:r>
              <w:rPr>
                <w:sz w:val="20"/>
                <w:szCs w:val="20"/>
              </w:rPr>
              <w:t xml:space="preserve">Defectos principales:</w:t>
            </w:r>
            <w:r>
              <w:rPr>
                <w:sz w:val="20"/>
                <w:szCs w:val="20"/>
              </w:rPr>
              <w:t xml:space="preserve"> </w:t>
            </w:r>
            <w:r>
              <w:rPr>
                <w:u w:val="single"/>
                <w:sz w:val="20"/>
                <w:szCs w:val="20"/>
              </w:rPr>
              <w:t xml:space="preserve"> </w:t>
            </w:r>
            <w:r>
              <w:rPr>
                <w:sz w:val="20"/>
                <w:szCs w:val="20"/>
              </w:rPr>
              <w:t xml:space="preserve"> </w:t>
            </w:r>
            <w:r>
              <w:rPr>
                <w:sz w:val="20"/>
                <w:szCs w:val="20"/>
              </w:rPr>
              <w:t xml:space="preserve">(rechazo del lote si</w:t>
            </w:r>
            <w:r>
              <w:rPr>
                <w:sz w:val="20"/>
                <w:szCs w:val="20"/>
              </w:rPr>
              <w:t xml:space="preserve"> </w:t>
            </w:r>
            <m:oMath>
              <m:r>
                <m:rPr>
                  <m:sty m:val="p"/>
                </m:rPr>
                <m:t>&gt;</m:t>
              </m:r>
              <m:r>
                <m:t>2</m:t>
              </m:r>
            </m:oMath>
            <w:r>
              <w:rPr>
                <w:sz w:val="20"/>
                <w:szCs w:val="20"/>
              </w:rPr>
              <w:t xml:space="preserve">) Defectos secundarios:</w:t>
            </w:r>
            <w:r>
              <w:rPr>
                <w:sz w:val="20"/>
                <w:szCs w:val="20"/>
              </w:rPr>
              <w:t xml:space="preserve"> </w:t>
            </w:r>
            <w:r>
              <w:rPr>
                <w:u w:val="single"/>
                <w:sz w:val="20"/>
                <w:szCs w:val="20"/>
              </w:rPr>
              <w:t xml:space="preserve"> </w:t>
            </w:r>
            <w:r>
              <w:rPr>
                <w:sz w:val="20"/>
                <w:szCs w:val="20"/>
              </w:rPr>
              <w:t xml:space="preserve"> </w:t>
            </w:r>
            <w:r>
              <w:rPr>
                <w:sz w:val="20"/>
                <w:szCs w:val="20"/>
              </w:rPr>
              <w:t xml:space="preserve">(rechazo del lote si</w:t>
            </w:r>
            <w:r>
              <w:rPr>
                <w:sz w:val="20"/>
                <w:szCs w:val="20"/>
              </w:rPr>
              <w:t xml:space="preserve"> </w:t>
            </w:r>
            <m:oMath>
              <m:r>
                <m:rPr>
                  <m:sty m:val="p"/>
                </m:rPr>
                <m:t>&gt;</m:t>
              </m:r>
              <m:r>
                <m:t>4</m:t>
              </m:r>
            </m:oMath>
            <w:r>
              <w:rPr>
                <w:sz w:val="20"/>
                <w:szCs w:val="20"/>
              </w:rPr>
              <w:t xml:space="preserve">)</w:t>
            </w:r>
          </w:p>
        </w:tc>
      </w:tr>
    </w:tbl>
    <w:p>
      <w:pPr>
        <w:pStyle w:val="BodyText"/>
        <w:spacing w:before="240"/>
        <w:ind w:firstLine="0"/>
      </w:pPr>
      <w:r>
        <w:t xml:space="preserve"/>
      </w:r>
      <w:r>
        <w:rPr>
          <w:bCs/>
          <w:b/>
        </w:rPr>
        <w:t xml:space="preserve">b) Complementos EPS</w:t>
      </w:r>
      <w:r>
        <w:t xml:space="preserve"> </w:t>
      </w:r>
      <w:r>
        <w:t xml:space="preserve">(muestra: cinco piezas; densidad = masa / volumen; declarada: 10 kg/m</w:t>
      </w:r>
      <w:r>
        <w:rPr>
          <w:vertAlign w:val="superscript"/>
        </w:rPr>
        <w:t xml:space="preserve">3</w:t>
      </w:r>
      <w:r>
        <w:t xml:space="preserve">)</w:t>
      </w:r>
    </w:p>
    <w:tbl>
      <w:tblPr>
        <w:tblStyle w:val="Table"/>
        <w:tblW w:w="946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1" w:lastRow="0" w:firstColumn="0" w:lastColumn="0" w:noHBand="0" w:noVBand="0" w:val="0020"/>
      </w:tblPr>
      <w:tblGrid>
        <w:gridCol w:w="666"/>
        <w:gridCol w:w="948"/>
        <w:gridCol w:w="1000"/>
        <w:gridCol w:w="905"/>
        <w:gridCol w:w="873"/>
        <w:gridCol w:w="1286"/>
        <w:gridCol w:w="1323"/>
        <w:gridCol w:w="1817"/>
        <w:gridCol w:w="650"/>
      </w:tblGrid>
      <w:tr>
        <w:trPr>
          <w:cantSplit/>
          <w:tblHeader w:val="true"/>
        </w:trPr>
        <w:tc>
          <w:tcPr>
            <w:tcW w:w="666" w:type="dxa"/>
          </w:tcPr>
          <w:p>
            <w:pPr>
              <w:pStyle w:val="CeldaAPA"/>
              <w:jc w:val="center"/>
            </w:pPr>
            <w:r>
              <w:rPr>
                <w:bCs/>
                <w:b/>
                <w:sz w:val="20"/>
                <w:szCs w:val="20"/>
              </w:rPr>
              <w:t xml:space="preserve">N.</w:t>
            </w:r>
            <w:r>
              <w:rPr>
                <w:vertAlign w:val="superscript"/>
                <w:bCs/>
                <w:b/>
                <w:sz w:val="20"/>
                <w:szCs w:val="20"/>
              </w:rPr>
              <w:t xml:space="preserve">o</w:t>
            </w:r>
          </w:p>
        </w:tc>
        <w:tc>
          <w:tcPr>
            <w:tcW w:w="948" w:type="dxa"/>
          </w:tcPr>
          <w:p>
            <w:pPr>
              <w:pStyle w:val="CeldaAPA"/>
              <w:jc w:val="center"/>
            </w:pPr>
            <w:r>
              <w:rPr>
                <w:bCs/>
                <w:b/>
                <w:sz w:val="20"/>
                <w:szCs w:val="20"/>
              </w:rPr>
              <w:t xml:space="preserve">Largo (cm)</w:t>
            </w:r>
          </w:p>
        </w:tc>
        <w:tc>
          <w:tcPr>
            <w:tcW w:w="1000" w:type="dxa"/>
          </w:tcPr>
          <w:p>
            <w:pPr>
              <w:pStyle w:val="CeldaAPA"/>
              <w:jc w:val="center"/>
            </w:pPr>
            <w:r>
              <w:rPr>
                <w:bCs/>
                <w:b/>
                <w:sz w:val="20"/>
                <w:szCs w:val="20"/>
              </w:rPr>
              <w:t xml:space="preserve">Ancho (cm)</w:t>
            </w:r>
          </w:p>
        </w:tc>
        <w:tc>
          <w:tcPr>
            <w:tcW w:w="905" w:type="dxa"/>
          </w:tcPr>
          <w:p>
            <w:pPr>
              <w:pStyle w:val="CeldaAPA"/>
              <w:jc w:val="center"/>
            </w:pPr>
            <w:r>
              <w:rPr>
                <w:bCs/>
                <w:b/>
                <w:sz w:val="20"/>
                <w:szCs w:val="20"/>
              </w:rPr>
              <w:t xml:space="preserve">Alto (cm)</w:t>
            </w:r>
          </w:p>
        </w:tc>
        <w:tc>
          <w:tcPr>
            <w:tcW w:w="873" w:type="dxa"/>
          </w:tcPr>
          <w:p>
            <w:pPr>
              <w:pStyle w:val="CeldaAPA"/>
              <w:jc w:val="center"/>
            </w:pPr>
            <w:r>
              <w:rPr>
                <w:bCs/>
                <w:b/>
                <w:sz w:val="20"/>
                <w:szCs w:val="20"/>
              </w:rPr>
              <w:t xml:space="preserve">Masa (kg)</w:t>
            </w:r>
          </w:p>
        </w:tc>
        <w:tc>
          <w:tcPr>
            <w:tcW w:w="1286" w:type="dxa"/>
          </w:tcPr>
          <w:p>
            <w:pPr>
              <w:pStyle w:val="CeldaAPA"/>
              <w:jc w:val="center"/>
            </w:pPr>
            <w:r>
              <w:rPr>
                <w:bCs/>
                <w:b/>
                <w:sz w:val="20"/>
                <w:szCs w:val="20"/>
              </w:rPr>
              <w:t xml:space="preserve">Volumen (m</w:t>
            </w:r>
            <w:r>
              <w:rPr>
                <w:vertAlign w:val="superscript"/>
                <w:bCs/>
                <w:b/>
                <w:sz w:val="20"/>
                <w:szCs w:val="20"/>
              </w:rPr>
              <w:t xml:space="preserve">3</w:t>
            </w:r>
            <w:r>
              <w:rPr>
                <w:bCs/>
                <w:b/>
                <w:sz w:val="20"/>
                <w:szCs w:val="20"/>
              </w:rPr>
              <w:t xml:space="preserve">)</w:t>
            </w:r>
          </w:p>
        </w:tc>
        <w:tc>
          <w:tcPr>
            <w:tcW w:w="1323" w:type="dxa"/>
          </w:tcPr>
          <w:p>
            <w:pPr>
              <w:pStyle w:val="CeldaAPA"/>
              <w:jc w:val="center"/>
            </w:pPr>
            <w:r>
              <w:rPr>
                <w:bCs/>
                <w:b/>
                <w:sz w:val="20"/>
                <w:szCs w:val="20"/>
              </w:rPr>
              <w:t xml:space="preserve">Densidad (kg/m</w:t>
            </w:r>
            <w:r>
              <w:rPr>
                <w:vertAlign w:val="superscript"/>
                <w:bCs/>
                <w:b/>
                <w:sz w:val="20"/>
                <w:szCs w:val="20"/>
              </w:rPr>
              <w:t xml:space="preserve">3</w:t>
            </w:r>
            <w:r>
              <w:rPr>
                <w:bCs/>
                <w:b/>
                <w:sz w:val="20"/>
                <w:szCs w:val="20"/>
              </w:rPr>
              <w:t xml:space="preserve">)</w:t>
            </w:r>
          </w:p>
        </w:tc>
        <w:tc>
          <w:tcPr>
            <w:tcW w:w="1817" w:type="dxa"/>
          </w:tcPr>
          <w:p>
            <w:pPr>
              <w:pStyle w:val="CeldaAPA"/>
              <w:jc w:val="left"/>
            </w:pPr>
            <w:r>
              <w:rPr>
                <w:bCs/>
                <w:b/>
                <w:sz w:val="20"/>
                <w:szCs w:val="20"/>
              </w:rPr>
              <w:t xml:space="preserve">Estado (roturas, deformación)</w:t>
            </w:r>
          </w:p>
        </w:tc>
        <w:tc>
          <w:tcPr>
            <w:tcW w:w="650" w:type="dxa"/>
          </w:tcPr>
          <w:p>
            <w:pPr>
              <w:pStyle w:val="CeldaAPA"/>
              <w:jc w:val="center"/>
            </w:pPr>
            <w:r>
              <w:rPr>
                <w:bCs/>
                <w:b/>
                <w:sz w:val="20"/>
                <w:szCs w:val="20"/>
              </w:rPr>
              <w:t xml:space="preserve">C / NC</w:t>
            </w:r>
          </w:p>
        </w:tc>
      </w:tr>
      <w:tr>
        <w:tc>
          <w:tcPr>
            <w:tcW w:w="666" w:type="dxa"/>
          </w:tcPr>
          <w:p>
            <w:pPr>
              <w:pStyle w:val="CeldaAPA"/>
              <w:jc w:val="center"/>
            </w:pPr>
            <w:r>
              <w:rPr>
                <w:sz w:val="20"/>
                <w:szCs w:val="20"/>
              </w:rPr>
              <w:t xml:space="preserve">1</w:t>
            </w:r>
          </w:p>
        </w:tc>
        <w:tc>
          <w:tcPr>
            <w:tcW w:w="948" w:type="dxa"/>
          </w:tcPr>
          <w:p>
            <w:pPr>
              <w:pStyle w:val="CeldaAPA"/>
            </w:pPr>
          </w:p>
        </w:tc>
        <w:tc>
          <w:tcPr>
            <w:tcW w:w="1000" w:type="dxa"/>
          </w:tcPr>
          <w:p>
            <w:pPr>
              <w:pStyle w:val="CeldaAPA"/>
            </w:pPr>
          </w:p>
        </w:tc>
        <w:tc>
          <w:tcPr>
            <w:tcW w:w="905" w:type="dxa"/>
          </w:tcPr>
          <w:p>
            <w:pPr>
              <w:pStyle w:val="CeldaAPA"/>
            </w:pPr>
          </w:p>
        </w:tc>
        <w:tc>
          <w:tcPr>
            <w:tcW w:w="873" w:type="dxa"/>
          </w:tcPr>
          <w:p>
            <w:pPr>
              <w:pStyle w:val="CeldaAPA"/>
            </w:pPr>
          </w:p>
        </w:tc>
        <w:tc>
          <w:tcPr>
            <w:tcW w:w="1286" w:type="dxa"/>
          </w:tcPr>
          <w:p>
            <w:pPr>
              <w:pStyle w:val="CeldaAPA"/>
            </w:pPr>
          </w:p>
        </w:tc>
        <w:tc>
          <w:tcPr>
            <w:tcW w:w="1323" w:type="dxa"/>
          </w:tcPr>
          <w:p>
            <w:pPr>
              <w:pStyle w:val="CeldaAPA"/>
            </w:pPr>
          </w:p>
        </w:tc>
        <w:tc>
          <w:tcPr>
            <w:tcW w:w="1817" w:type="dxa"/>
          </w:tcPr>
          <w:p>
            <w:pPr>
              <w:pStyle w:val="CeldaAPA"/>
            </w:pPr>
          </w:p>
        </w:tc>
        <w:tc>
          <w:tcPr>
            <w:tcW w:w="650" w:type="dxa"/>
          </w:tcPr>
          <w:p>
            <w:pPr>
              <w:pStyle w:val="CeldaAPA"/>
            </w:pPr>
          </w:p>
        </w:tc>
      </w:tr>
      <w:tr>
        <w:tc>
          <w:tcPr>
            <w:tcW w:w="666" w:type="dxa"/>
          </w:tcPr>
          <w:p>
            <w:pPr>
              <w:pStyle w:val="CeldaAPA"/>
              <w:jc w:val="center"/>
            </w:pPr>
            <w:r>
              <w:rPr>
                <w:sz w:val="20"/>
                <w:szCs w:val="20"/>
              </w:rPr>
              <w:t xml:space="preserve">2</w:t>
            </w:r>
          </w:p>
        </w:tc>
        <w:tc>
          <w:tcPr>
            <w:tcW w:w="948" w:type="dxa"/>
          </w:tcPr>
          <w:p>
            <w:pPr>
              <w:pStyle w:val="CeldaAPA"/>
            </w:pPr>
          </w:p>
        </w:tc>
        <w:tc>
          <w:tcPr>
            <w:tcW w:w="1000" w:type="dxa"/>
          </w:tcPr>
          <w:p>
            <w:pPr>
              <w:pStyle w:val="CeldaAPA"/>
            </w:pPr>
          </w:p>
        </w:tc>
        <w:tc>
          <w:tcPr>
            <w:tcW w:w="905" w:type="dxa"/>
          </w:tcPr>
          <w:p>
            <w:pPr>
              <w:pStyle w:val="CeldaAPA"/>
            </w:pPr>
          </w:p>
        </w:tc>
        <w:tc>
          <w:tcPr>
            <w:tcW w:w="873" w:type="dxa"/>
          </w:tcPr>
          <w:p>
            <w:pPr>
              <w:pStyle w:val="CeldaAPA"/>
            </w:pPr>
          </w:p>
        </w:tc>
        <w:tc>
          <w:tcPr>
            <w:tcW w:w="1286" w:type="dxa"/>
          </w:tcPr>
          <w:p>
            <w:pPr>
              <w:pStyle w:val="CeldaAPA"/>
            </w:pPr>
          </w:p>
        </w:tc>
        <w:tc>
          <w:tcPr>
            <w:tcW w:w="1323" w:type="dxa"/>
          </w:tcPr>
          <w:p>
            <w:pPr>
              <w:pStyle w:val="CeldaAPA"/>
            </w:pPr>
          </w:p>
        </w:tc>
        <w:tc>
          <w:tcPr>
            <w:tcW w:w="1817" w:type="dxa"/>
          </w:tcPr>
          <w:p>
            <w:pPr>
              <w:pStyle w:val="CeldaAPA"/>
            </w:pPr>
          </w:p>
        </w:tc>
        <w:tc>
          <w:tcPr>
            <w:tcW w:w="650" w:type="dxa"/>
          </w:tcPr>
          <w:p>
            <w:pPr>
              <w:pStyle w:val="CeldaAPA"/>
            </w:pPr>
          </w:p>
        </w:tc>
      </w:tr>
      <w:tr>
        <w:tc>
          <w:tcPr>
            <w:tcW w:w="666" w:type="dxa"/>
          </w:tcPr>
          <w:p>
            <w:pPr>
              <w:pStyle w:val="CeldaAPA"/>
              <w:jc w:val="center"/>
            </w:pPr>
            <w:r>
              <w:rPr>
                <w:sz w:val="20"/>
                <w:szCs w:val="20"/>
              </w:rPr>
              <w:t xml:space="preserve">3</w:t>
            </w:r>
          </w:p>
        </w:tc>
        <w:tc>
          <w:tcPr>
            <w:tcW w:w="948" w:type="dxa"/>
          </w:tcPr>
          <w:p>
            <w:pPr>
              <w:pStyle w:val="CeldaAPA"/>
            </w:pPr>
          </w:p>
        </w:tc>
        <w:tc>
          <w:tcPr>
            <w:tcW w:w="1000" w:type="dxa"/>
          </w:tcPr>
          <w:p>
            <w:pPr>
              <w:pStyle w:val="CeldaAPA"/>
            </w:pPr>
          </w:p>
        </w:tc>
        <w:tc>
          <w:tcPr>
            <w:tcW w:w="905" w:type="dxa"/>
          </w:tcPr>
          <w:p>
            <w:pPr>
              <w:pStyle w:val="CeldaAPA"/>
            </w:pPr>
          </w:p>
        </w:tc>
        <w:tc>
          <w:tcPr>
            <w:tcW w:w="873" w:type="dxa"/>
          </w:tcPr>
          <w:p>
            <w:pPr>
              <w:pStyle w:val="CeldaAPA"/>
            </w:pPr>
          </w:p>
        </w:tc>
        <w:tc>
          <w:tcPr>
            <w:tcW w:w="1286" w:type="dxa"/>
          </w:tcPr>
          <w:p>
            <w:pPr>
              <w:pStyle w:val="CeldaAPA"/>
            </w:pPr>
          </w:p>
        </w:tc>
        <w:tc>
          <w:tcPr>
            <w:tcW w:w="1323" w:type="dxa"/>
          </w:tcPr>
          <w:p>
            <w:pPr>
              <w:pStyle w:val="CeldaAPA"/>
            </w:pPr>
          </w:p>
        </w:tc>
        <w:tc>
          <w:tcPr>
            <w:tcW w:w="1817" w:type="dxa"/>
          </w:tcPr>
          <w:p>
            <w:pPr>
              <w:pStyle w:val="CeldaAPA"/>
            </w:pPr>
          </w:p>
        </w:tc>
        <w:tc>
          <w:tcPr>
            <w:tcW w:w="650" w:type="dxa"/>
          </w:tcPr>
          <w:p>
            <w:pPr>
              <w:pStyle w:val="CeldaAPA"/>
            </w:pPr>
          </w:p>
        </w:tc>
      </w:tr>
      <w:tr>
        <w:tc>
          <w:tcPr>
            <w:tcW w:w="666" w:type="dxa"/>
          </w:tcPr>
          <w:p>
            <w:pPr>
              <w:pStyle w:val="CeldaAPA"/>
              <w:jc w:val="center"/>
            </w:pPr>
            <w:r>
              <w:rPr>
                <w:sz w:val="20"/>
                <w:szCs w:val="20"/>
              </w:rPr>
              <w:t xml:space="preserve">4</w:t>
            </w:r>
          </w:p>
        </w:tc>
        <w:tc>
          <w:tcPr>
            <w:tcW w:w="948" w:type="dxa"/>
          </w:tcPr>
          <w:p>
            <w:pPr>
              <w:pStyle w:val="CeldaAPA"/>
            </w:pPr>
          </w:p>
        </w:tc>
        <w:tc>
          <w:tcPr>
            <w:tcW w:w="1000" w:type="dxa"/>
          </w:tcPr>
          <w:p>
            <w:pPr>
              <w:pStyle w:val="CeldaAPA"/>
            </w:pPr>
          </w:p>
        </w:tc>
        <w:tc>
          <w:tcPr>
            <w:tcW w:w="905" w:type="dxa"/>
          </w:tcPr>
          <w:p>
            <w:pPr>
              <w:pStyle w:val="CeldaAPA"/>
            </w:pPr>
          </w:p>
        </w:tc>
        <w:tc>
          <w:tcPr>
            <w:tcW w:w="873" w:type="dxa"/>
          </w:tcPr>
          <w:p>
            <w:pPr>
              <w:pStyle w:val="CeldaAPA"/>
            </w:pPr>
          </w:p>
        </w:tc>
        <w:tc>
          <w:tcPr>
            <w:tcW w:w="1286" w:type="dxa"/>
          </w:tcPr>
          <w:p>
            <w:pPr>
              <w:pStyle w:val="CeldaAPA"/>
            </w:pPr>
          </w:p>
        </w:tc>
        <w:tc>
          <w:tcPr>
            <w:tcW w:w="1323" w:type="dxa"/>
          </w:tcPr>
          <w:p>
            <w:pPr>
              <w:pStyle w:val="CeldaAPA"/>
            </w:pPr>
          </w:p>
        </w:tc>
        <w:tc>
          <w:tcPr>
            <w:tcW w:w="1817" w:type="dxa"/>
          </w:tcPr>
          <w:p>
            <w:pPr>
              <w:pStyle w:val="CeldaAPA"/>
            </w:pPr>
          </w:p>
        </w:tc>
        <w:tc>
          <w:tcPr>
            <w:tcW w:w="650" w:type="dxa"/>
          </w:tcPr>
          <w:p>
            <w:pPr>
              <w:pStyle w:val="CeldaAPA"/>
            </w:pPr>
          </w:p>
        </w:tc>
      </w:tr>
      <w:tr>
        <w:tc>
          <w:tcPr>
            <w:tcW w:w="666" w:type="dxa"/>
          </w:tcPr>
          <w:p>
            <w:pPr>
              <w:pStyle w:val="CeldaAPA"/>
              <w:jc w:val="center"/>
            </w:pPr>
            <w:r>
              <w:rPr>
                <w:sz w:val="20"/>
                <w:szCs w:val="20"/>
              </w:rPr>
              <w:t xml:space="preserve">5</w:t>
            </w:r>
          </w:p>
        </w:tc>
        <w:tc>
          <w:tcPr>
            <w:tcW w:w="948" w:type="dxa"/>
          </w:tcPr>
          <w:p>
            <w:pPr>
              <w:pStyle w:val="CeldaAPA"/>
            </w:pPr>
          </w:p>
        </w:tc>
        <w:tc>
          <w:tcPr>
            <w:tcW w:w="1000" w:type="dxa"/>
          </w:tcPr>
          <w:p>
            <w:pPr>
              <w:pStyle w:val="CeldaAPA"/>
            </w:pPr>
          </w:p>
        </w:tc>
        <w:tc>
          <w:tcPr>
            <w:tcW w:w="905" w:type="dxa"/>
          </w:tcPr>
          <w:p>
            <w:pPr>
              <w:pStyle w:val="CeldaAPA"/>
            </w:pPr>
          </w:p>
        </w:tc>
        <w:tc>
          <w:tcPr>
            <w:tcW w:w="873" w:type="dxa"/>
          </w:tcPr>
          <w:p>
            <w:pPr>
              <w:pStyle w:val="CeldaAPA"/>
            </w:pPr>
          </w:p>
        </w:tc>
        <w:tc>
          <w:tcPr>
            <w:tcW w:w="1286" w:type="dxa"/>
          </w:tcPr>
          <w:p>
            <w:pPr>
              <w:pStyle w:val="CeldaAPA"/>
            </w:pPr>
          </w:p>
        </w:tc>
        <w:tc>
          <w:tcPr>
            <w:tcW w:w="1323" w:type="dxa"/>
          </w:tcPr>
          <w:p>
            <w:pPr>
              <w:pStyle w:val="CeldaAPA"/>
            </w:pPr>
          </w:p>
        </w:tc>
        <w:tc>
          <w:tcPr>
            <w:tcW w:w="1817" w:type="dxa"/>
          </w:tcPr>
          <w:p>
            <w:pPr>
              <w:pStyle w:val="CeldaAPA"/>
            </w:pPr>
          </w:p>
        </w:tc>
        <w:tc>
          <w:tcPr>
            <w:tcW w:w="650" w:type="dxa"/>
          </w:tcPr>
          <w:p>
            <w:pPr>
              <w:pStyle w:val="CeldaAPA"/>
            </w:pPr>
          </w:p>
        </w:tc>
      </w:tr>
    </w:tbl>
    <w:p>
      <w:pPr>
        <w:pStyle w:val="BodyText"/>
        <w:spacing w:before="240"/>
        <w:ind w:firstLine="0"/>
      </w:pPr>
      <w:r>
        <w:t xml:space="preserve"/>
      </w:r>
      <w:r>
        <w:rPr>
          <w:bCs/>
          <w:b/>
        </w:rPr>
        <w:t xml:space="preserve">c) Acero de refuerzo</w:t>
      </w:r>
      <w:r>
        <w:t xml:space="preserve"> </w:t>
      </w:r>
      <w:r>
        <w:t xml:space="preserve">(pesaje de tres barras por diámetro y colada; masa medida</w:t>
      </w:r>
      <w:r>
        <w:t xml:space="preserve"> </w:t>
      </w:r>
      <m:oMath>
        <m:r>
          <m:rPr>
            <m:sty m:val="p"/>
          </m:rPr>
          <m:t>≥</m:t>
        </m:r>
        <m:r>
          <m:t>94</m:t>
        </m:r>
      </m:oMath>
      <w:r>
        <w:t xml:space="preserve"> % de la nominal)</w:t>
      </w:r>
    </w:p>
    <w:tbl>
      <w:tblPr>
        <w:tblStyle w:val="Table"/>
        <w:tblW w:w="10972"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1" w:lastRow="0" w:firstColumn="0" w:lastColumn="0" w:noHBand="0" w:noVBand="0" w:val="0020"/>
      </w:tblPr>
      <w:tblGrid>
        <w:gridCol w:w="973"/>
        <w:gridCol w:w="1083"/>
        <w:gridCol w:w="927"/>
        <w:gridCol w:w="927"/>
        <w:gridCol w:w="1302"/>
        <w:gridCol w:w="1189"/>
        <w:gridCol w:w="1234"/>
        <w:gridCol w:w="1180"/>
        <w:gridCol w:w="1507"/>
        <w:gridCol w:w="650"/>
      </w:tblGrid>
      <w:tr>
        <w:trPr>
          <w:cantSplit/>
          <w:tblHeader w:val="true"/>
        </w:trPr>
        <w:tc>
          <w:tcPr>
            <w:tcW w:w="973" w:type="dxa"/>
          </w:tcPr>
          <w:p>
            <w:pPr>
              <w:pStyle w:val="CeldaAPA"/>
              <w:jc w:val="center"/>
            </w:pPr>
            <m:oMath>
              <m:r>
                <m:t>ϕ</m:t>
              </m:r>
            </m:oMath>
            <w:r>
              <w:rPr>
                <w:bCs/>
                <w:b/>
                <w:sz w:val="20"/>
                <w:szCs w:val="20"/>
              </w:rPr>
              <w:t xml:space="preserve"> </w:t>
            </w:r>
            <w:r>
              <w:rPr>
                <w:bCs/>
                <w:b/>
                <w:sz w:val="20"/>
                <w:szCs w:val="20"/>
              </w:rPr>
              <w:t xml:space="preserve">(mm)</w:t>
            </w:r>
          </w:p>
        </w:tc>
        <w:tc>
          <w:tcPr>
            <w:tcW w:w="1083" w:type="dxa"/>
          </w:tcPr>
          <w:p>
            <w:pPr>
              <w:pStyle w:val="CeldaAPA"/>
              <w:jc w:val="center"/>
            </w:pPr>
            <w:r>
              <w:rPr>
                <w:bCs/>
                <w:b/>
                <w:sz w:val="20"/>
                <w:szCs w:val="20"/>
              </w:rPr>
              <w:t xml:space="preserve">Colada</w:t>
            </w:r>
          </w:p>
        </w:tc>
        <w:tc>
          <w:tcPr>
            <w:tcW w:w="927" w:type="dxa"/>
          </w:tcPr>
          <w:p>
            <w:pPr>
              <w:pStyle w:val="CeldaAPA"/>
              <w:jc w:val="center"/>
            </w:pPr>
            <w:r>
              <w:rPr>
                <w:bCs/>
                <w:b/>
                <w:sz w:val="20"/>
                <w:szCs w:val="20"/>
              </w:rPr>
              <w:t xml:space="preserve">N.</w:t>
            </w:r>
            <w:r>
              <w:rPr>
                <w:vertAlign w:val="superscript"/>
                <w:bCs/>
                <w:b/>
                <w:sz w:val="20"/>
                <w:szCs w:val="20"/>
              </w:rPr>
              <w:t xml:space="preserve">o</w:t>
            </w:r>
            <w:r>
              <w:rPr>
                <w:bCs/>
                <w:b/>
                <w:sz w:val="20"/>
                <w:szCs w:val="20"/>
              </w:rPr>
              <w:t xml:space="preserve"> </w:t>
            </w:r>
            <w:r>
              <w:rPr>
                <w:bCs/>
                <w:b/>
                <w:sz w:val="20"/>
                <w:szCs w:val="20"/>
              </w:rPr>
              <w:t xml:space="preserve">de barras</w:t>
            </w:r>
          </w:p>
        </w:tc>
        <w:tc>
          <w:tcPr>
            <w:tcW w:w="927" w:type="dxa"/>
          </w:tcPr>
          <w:p>
            <w:pPr>
              <w:pStyle w:val="CeldaAPA"/>
              <w:jc w:val="center"/>
            </w:pPr>
            <w:r>
              <w:rPr>
                <w:bCs/>
                <w:b/>
                <w:sz w:val="20"/>
                <w:szCs w:val="20"/>
              </w:rPr>
              <w:t xml:space="preserve">Masa de 3 barras (kg)</w:t>
            </w:r>
          </w:p>
        </w:tc>
        <w:tc>
          <w:tcPr>
            <w:tcW w:w="1302" w:type="dxa"/>
          </w:tcPr>
          <w:p>
            <w:pPr>
              <w:pStyle w:val="CeldaAPA"/>
              <w:jc w:val="center"/>
            </w:pPr>
            <w:r>
              <w:rPr>
                <w:bCs/>
                <w:b/>
                <w:sz w:val="20"/>
                <w:szCs w:val="20"/>
              </w:rPr>
              <w:t xml:space="preserve">Longitud total (m)</w:t>
            </w:r>
          </w:p>
        </w:tc>
        <w:tc>
          <w:tcPr>
            <w:tcW w:w="1189" w:type="dxa"/>
          </w:tcPr>
          <w:p>
            <w:pPr>
              <w:pStyle w:val="CeldaAPA"/>
              <w:jc w:val="center"/>
            </w:pPr>
            <w:r>
              <w:rPr>
                <w:bCs/>
                <w:b/>
                <w:sz w:val="20"/>
                <w:szCs w:val="20"/>
              </w:rPr>
              <w:t xml:space="preserve">Masa por metro (kg/m)</w:t>
            </w:r>
          </w:p>
        </w:tc>
        <w:tc>
          <w:tcPr>
            <w:tcW w:w="1234" w:type="dxa"/>
          </w:tcPr>
          <w:p>
            <w:pPr>
              <w:pStyle w:val="CeldaAPA"/>
              <w:jc w:val="center"/>
            </w:pPr>
            <w:r>
              <w:rPr>
                <w:bCs/>
                <w:b/>
                <w:sz w:val="20"/>
                <w:szCs w:val="20"/>
              </w:rPr>
              <w:t xml:space="preserve">Nominal (kg/m)</w:t>
            </w:r>
          </w:p>
        </w:tc>
        <w:tc>
          <w:tcPr>
            <w:tcW w:w="1180" w:type="dxa"/>
          </w:tcPr>
          <w:p>
            <w:pPr>
              <w:pStyle w:val="CeldaAPA"/>
              <w:jc w:val="center"/>
            </w:pPr>
            <w:r>
              <w:rPr>
                <w:bCs/>
                <w:b/>
                <w:sz w:val="20"/>
                <w:szCs w:val="20"/>
              </w:rPr>
              <w:t xml:space="preserve">% de la nominal</w:t>
            </w:r>
          </w:p>
        </w:tc>
        <w:tc>
          <w:tcPr>
            <w:tcW w:w="1507" w:type="dxa"/>
          </w:tcPr>
          <w:p>
            <w:pPr>
              <w:pStyle w:val="CeldaAPA"/>
              <w:jc w:val="left"/>
            </w:pPr>
            <w:r>
              <w:rPr>
                <w:bCs/>
                <w:b/>
                <w:sz w:val="20"/>
                <w:szCs w:val="20"/>
              </w:rPr>
              <w:t xml:space="preserve">Corrugado, óxido, aceite</w:t>
            </w:r>
          </w:p>
        </w:tc>
        <w:tc>
          <w:tcPr>
            <w:tcW w:w="650" w:type="dxa"/>
          </w:tcPr>
          <w:p>
            <w:pPr>
              <w:pStyle w:val="CeldaAPA"/>
              <w:jc w:val="center"/>
            </w:pPr>
            <w:r>
              <w:rPr>
                <w:bCs/>
                <w:b/>
                <w:sz w:val="20"/>
                <w:szCs w:val="20"/>
              </w:rPr>
              <w:t xml:space="preserve">C / NC</w:t>
            </w:r>
          </w:p>
        </w:tc>
      </w:tr>
      <w:tr>
        <w:tc>
          <w:tcPr>
            <w:tcW w:w="973" w:type="dxa"/>
          </w:tcPr>
          <w:p>
            <w:pPr>
              <w:pStyle w:val="CeldaAPA"/>
            </w:pPr>
          </w:p>
        </w:tc>
        <w:tc>
          <w:tcPr>
            <w:tcW w:w="1083" w:type="dxa"/>
          </w:tcPr>
          <w:p>
            <w:pPr>
              <w:pStyle w:val="CeldaAPA"/>
            </w:pPr>
          </w:p>
        </w:tc>
        <w:tc>
          <w:tcPr>
            <w:tcW w:w="927" w:type="dxa"/>
          </w:tcPr>
          <w:p>
            <w:pPr>
              <w:pStyle w:val="CeldaAPA"/>
            </w:pPr>
          </w:p>
        </w:tc>
        <w:tc>
          <w:tcPr>
            <w:tcW w:w="927" w:type="dxa"/>
          </w:tcPr>
          <w:p>
            <w:pPr>
              <w:pStyle w:val="CeldaAPA"/>
            </w:pPr>
          </w:p>
        </w:tc>
        <w:tc>
          <w:tcPr>
            <w:tcW w:w="1302" w:type="dxa"/>
          </w:tcPr>
          <w:p>
            <w:pPr>
              <w:pStyle w:val="CeldaAPA"/>
            </w:pPr>
          </w:p>
        </w:tc>
        <w:tc>
          <w:tcPr>
            <w:tcW w:w="1189" w:type="dxa"/>
          </w:tcPr>
          <w:p>
            <w:pPr>
              <w:pStyle w:val="CeldaAPA"/>
            </w:pPr>
          </w:p>
        </w:tc>
        <w:tc>
          <w:tcPr>
            <w:tcW w:w="1234" w:type="dxa"/>
          </w:tcPr>
          <w:p>
            <w:pPr>
              <w:pStyle w:val="CeldaAPA"/>
            </w:pPr>
          </w:p>
        </w:tc>
        <w:tc>
          <w:tcPr>
            <w:tcW w:w="1180" w:type="dxa"/>
          </w:tcPr>
          <w:p>
            <w:pPr>
              <w:pStyle w:val="CeldaAPA"/>
            </w:pPr>
          </w:p>
        </w:tc>
        <w:tc>
          <w:tcPr>
            <w:tcW w:w="1507" w:type="dxa"/>
          </w:tcPr>
          <w:p>
            <w:pPr>
              <w:pStyle w:val="CeldaAPA"/>
            </w:pPr>
          </w:p>
        </w:tc>
        <w:tc>
          <w:tcPr>
            <w:tcW w:w="650" w:type="dxa"/>
          </w:tcPr>
          <w:p>
            <w:pPr>
              <w:pStyle w:val="CeldaAPA"/>
            </w:pPr>
          </w:p>
        </w:tc>
      </w:tr>
      <w:tr>
        <w:tc>
          <w:tcPr>
            <w:tcW w:w="973" w:type="dxa"/>
          </w:tcPr>
          <w:p>
            <w:pPr>
              <w:pStyle w:val="CeldaAPA"/>
            </w:pPr>
          </w:p>
        </w:tc>
        <w:tc>
          <w:tcPr>
            <w:tcW w:w="1083" w:type="dxa"/>
          </w:tcPr>
          <w:p>
            <w:pPr>
              <w:pStyle w:val="CeldaAPA"/>
            </w:pPr>
          </w:p>
        </w:tc>
        <w:tc>
          <w:tcPr>
            <w:tcW w:w="927" w:type="dxa"/>
          </w:tcPr>
          <w:p>
            <w:pPr>
              <w:pStyle w:val="CeldaAPA"/>
            </w:pPr>
          </w:p>
        </w:tc>
        <w:tc>
          <w:tcPr>
            <w:tcW w:w="927" w:type="dxa"/>
          </w:tcPr>
          <w:p>
            <w:pPr>
              <w:pStyle w:val="CeldaAPA"/>
            </w:pPr>
          </w:p>
        </w:tc>
        <w:tc>
          <w:tcPr>
            <w:tcW w:w="1302" w:type="dxa"/>
          </w:tcPr>
          <w:p>
            <w:pPr>
              <w:pStyle w:val="CeldaAPA"/>
            </w:pPr>
          </w:p>
        </w:tc>
        <w:tc>
          <w:tcPr>
            <w:tcW w:w="1189" w:type="dxa"/>
          </w:tcPr>
          <w:p>
            <w:pPr>
              <w:pStyle w:val="CeldaAPA"/>
            </w:pPr>
          </w:p>
        </w:tc>
        <w:tc>
          <w:tcPr>
            <w:tcW w:w="1234" w:type="dxa"/>
          </w:tcPr>
          <w:p>
            <w:pPr>
              <w:pStyle w:val="CeldaAPA"/>
            </w:pPr>
          </w:p>
        </w:tc>
        <w:tc>
          <w:tcPr>
            <w:tcW w:w="1180" w:type="dxa"/>
          </w:tcPr>
          <w:p>
            <w:pPr>
              <w:pStyle w:val="CeldaAPA"/>
            </w:pPr>
          </w:p>
        </w:tc>
        <w:tc>
          <w:tcPr>
            <w:tcW w:w="1507" w:type="dxa"/>
          </w:tcPr>
          <w:p>
            <w:pPr>
              <w:pStyle w:val="CeldaAPA"/>
            </w:pPr>
          </w:p>
        </w:tc>
        <w:tc>
          <w:tcPr>
            <w:tcW w:w="650" w:type="dxa"/>
          </w:tcPr>
          <w:p>
            <w:pPr>
              <w:pStyle w:val="CeldaAPA"/>
            </w:pPr>
          </w:p>
        </w:tc>
      </w:tr>
      <w:tr>
        <w:tc>
          <w:tcPr>
            <w:tcW w:w="973" w:type="dxa"/>
          </w:tcPr>
          <w:p>
            <w:pPr>
              <w:pStyle w:val="CeldaAPA"/>
            </w:pPr>
          </w:p>
        </w:tc>
        <w:tc>
          <w:tcPr>
            <w:tcW w:w="1083" w:type="dxa"/>
          </w:tcPr>
          <w:p>
            <w:pPr>
              <w:pStyle w:val="CeldaAPA"/>
            </w:pPr>
          </w:p>
        </w:tc>
        <w:tc>
          <w:tcPr>
            <w:tcW w:w="927" w:type="dxa"/>
          </w:tcPr>
          <w:p>
            <w:pPr>
              <w:pStyle w:val="CeldaAPA"/>
            </w:pPr>
          </w:p>
        </w:tc>
        <w:tc>
          <w:tcPr>
            <w:tcW w:w="927" w:type="dxa"/>
          </w:tcPr>
          <w:p>
            <w:pPr>
              <w:pStyle w:val="CeldaAPA"/>
            </w:pPr>
          </w:p>
        </w:tc>
        <w:tc>
          <w:tcPr>
            <w:tcW w:w="1302" w:type="dxa"/>
          </w:tcPr>
          <w:p>
            <w:pPr>
              <w:pStyle w:val="CeldaAPA"/>
            </w:pPr>
          </w:p>
        </w:tc>
        <w:tc>
          <w:tcPr>
            <w:tcW w:w="1189" w:type="dxa"/>
          </w:tcPr>
          <w:p>
            <w:pPr>
              <w:pStyle w:val="CeldaAPA"/>
            </w:pPr>
          </w:p>
        </w:tc>
        <w:tc>
          <w:tcPr>
            <w:tcW w:w="1234" w:type="dxa"/>
          </w:tcPr>
          <w:p>
            <w:pPr>
              <w:pStyle w:val="CeldaAPA"/>
            </w:pPr>
          </w:p>
        </w:tc>
        <w:tc>
          <w:tcPr>
            <w:tcW w:w="1180" w:type="dxa"/>
          </w:tcPr>
          <w:p>
            <w:pPr>
              <w:pStyle w:val="CeldaAPA"/>
            </w:pPr>
          </w:p>
        </w:tc>
        <w:tc>
          <w:tcPr>
            <w:tcW w:w="1507" w:type="dxa"/>
          </w:tcPr>
          <w:p>
            <w:pPr>
              <w:pStyle w:val="CeldaAPA"/>
            </w:pPr>
          </w:p>
        </w:tc>
        <w:tc>
          <w:tcPr>
            <w:tcW w:w="650" w:type="dxa"/>
          </w:tcPr>
          <w:p>
            <w:pPr>
              <w:pStyle w:val="CeldaAPA"/>
            </w:pPr>
          </w:p>
        </w:tc>
      </w:tr>
      <w:tr>
        <w:tc>
          <w:tcPr>
            <w:tcW w:w="973" w:type="dxa"/>
          </w:tcPr>
          <w:p>
            <w:pPr>
              <w:pStyle w:val="CeldaAPA"/>
            </w:pPr>
          </w:p>
        </w:tc>
        <w:tc>
          <w:tcPr>
            <w:tcW w:w="1083" w:type="dxa"/>
          </w:tcPr>
          <w:p>
            <w:pPr>
              <w:pStyle w:val="CeldaAPA"/>
            </w:pPr>
          </w:p>
        </w:tc>
        <w:tc>
          <w:tcPr>
            <w:tcW w:w="927" w:type="dxa"/>
          </w:tcPr>
          <w:p>
            <w:pPr>
              <w:pStyle w:val="CeldaAPA"/>
            </w:pPr>
          </w:p>
        </w:tc>
        <w:tc>
          <w:tcPr>
            <w:tcW w:w="927" w:type="dxa"/>
          </w:tcPr>
          <w:p>
            <w:pPr>
              <w:pStyle w:val="CeldaAPA"/>
            </w:pPr>
          </w:p>
        </w:tc>
        <w:tc>
          <w:tcPr>
            <w:tcW w:w="1302" w:type="dxa"/>
          </w:tcPr>
          <w:p>
            <w:pPr>
              <w:pStyle w:val="CeldaAPA"/>
            </w:pPr>
          </w:p>
        </w:tc>
        <w:tc>
          <w:tcPr>
            <w:tcW w:w="1189" w:type="dxa"/>
          </w:tcPr>
          <w:p>
            <w:pPr>
              <w:pStyle w:val="CeldaAPA"/>
            </w:pPr>
          </w:p>
        </w:tc>
        <w:tc>
          <w:tcPr>
            <w:tcW w:w="1234" w:type="dxa"/>
          </w:tcPr>
          <w:p>
            <w:pPr>
              <w:pStyle w:val="CeldaAPA"/>
            </w:pPr>
          </w:p>
        </w:tc>
        <w:tc>
          <w:tcPr>
            <w:tcW w:w="1180" w:type="dxa"/>
          </w:tcPr>
          <w:p>
            <w:pPr>
              <w:pStyle w:val="CeldaAPA"/>
            </w:pPr>
          </w:p>
        </w:tc>
        <w:tc>
          <w:tcPr>
            <w:tcW w:w="1507" w:type="dxa"/>
          </w:tcPr>
          <w:p>
            <w:pPr>
              <w:pStyle w:val="CeldaAPA"/>
            </w:pPr>
          </w:p>
        </w:tc>
        <w:tc>
          <w:tcPr>
            <w:tcW w:w="650" w:type="dxa"/>
          </w:tcPr>
          <w:p>
            <w:pPr>
              <w:pStyle w:val="CeldaAPA"/>
            </w:pPr>
          </w:p>
        </w:tc>
      </w:tr>
    </w:tbl>
    <w:p>
      <w:pPr>
        <w:pStyle w:val="BodyText"/>
        <w:spacing w:before="240"/>
        <w:ind w:firstLine="0"/>
      </w:pPr>
      <w:r>
        <w:t xml:space="preserve"/>
      </w:r>
      <w:r>
        <w:rPr>
          <w:bCs/>
          <w:b/>
        </w:rPr>
        <w:t xml:space="preserve">d) Cemento, áridos y agua</w:t>
      </w:r>
    </w:p>
    <w:tbl>
      <w:tblPr>
        <w:tblStyle w:val="Table"/>
        <w:tblW w:w="9361"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1" w:lastRow="0" w:firstColumn="0" w:lastColumn="0" w:noHBand="0" w:noVBand="0" w:val="0020"/>
      </w:tblPr>
      <w:tblGrid>
        <w:gridCol w:w="1463"/>
        <w:gridCol w:w="3586"/>
        <w:gridCol w:w="3586"/>
        <w:gridCol w:w="726"/>
      </w:tblGrid>
      <w:tr>
        <w:trPr>
          <w:cantSplit/>
          <w:tblHeader w:val="true"/>
        </w:trPr>
        <w:tc>
          <w:tcPr>
            <w:tcW w:w="1463" w:type="dxa"/>
          </w:tcPr>
          <w:p>
            <w:pPr>
              <w:pStyle w:val="CeldaAPA"/>
              <w:jc w:val="left"/>
            </w:pPr>
            <w:r>
              <w:rPr>
                <w:bCs/>
                <w:b/>
                <w:sz w:val="20"/>
                <w:szCs w:val="20"/>
              </w:rPr>
              <w:t xml:space="preserve">Material</w:t>
            </w:r>
          </w:p>
        </w:tc>
        <w:tc>
          <w:tcPr>
            <w:tcW w:w="3586" w:type="dxa"/>
          </w:tcPr>
          <w:p>
            <w:pPr>
              <w:pStyle w:val="CeldaAPA"/>
              <w:jc w:val="left"/>
            </w:pPr>
            <w:r>
              <w:rPr>
                <w:bCs/>
                <w:b/>
                <w:sz w:val="20"/>
                <w:szCs w:val="20"/>
              </w:rPr>
              <w:t xml:space="preserve">Verificación</w:t>
            </w:r>
          </w:p>
        </w:tc>
        <w:tc>
          <w:tcPr>
            <w:tcW w:w="3586" w:type="dxa"/>
          </w:tcPr>
          <w:p>
            <w:pPr>
              <w:pStyle w:val="CeldaAPA"/>
              <w:jc w:val="left"/>
            </w:pPr>
            <w:r>
              <w:rPr>
                <w:bCs/>
                <w:b/>
                <w:sz w:val="20"/>
                <w:szCs w:val="20"/>
              </w:rPr>
              <w:t xml:space="preserve">Resultado</w:t>
            </w:r>
          </w:p>
        </w:tc>
        <w:tc>
          <w:tcPr>
            <w:tcW w:w="726" w:type="dxa"/>
          </w:tcPr>
          <w:p>
            <w:pPr>
              <w:pStyle w:val="CeldaAPA"/>
              <w:jc w:val="center"/>
            </w:pPr>
            <w:r>
              <w:rPr>
                <w:bCs/>
                <w:b/>
                <w:sz w:val="20"/>
                <w:szCs w:val="20"/>
              </w:rPr>
              <w:t xml:space="preserve">C / NC</w:t>
            </w:r>
          </w:p>
        </w:tc>
      </w:tr>
      <w:tr>
        <w:tc>
          <w:tcPr>
            <w:tcW w:w="1463" w:type="dxa"/>
          </w:tcPr>
          <w:p>
            <w:pPr>
              <w:pStyle w:val="CeldaAPA"/>
              <w:jc w:val="left"/>
            </w:pPr>
            <w:r>
              <w:rPr>
                <w:sz w:val="20"/>
                <w:szCs w:val="20"/>
              </w:rPr>
              <w:t xml:space="preserve">Cemento</w:t>
            </w:r>
          </w:p>
        </w:tc>
        <w:tc>
          <w:tcPr>
            <w:tcW w:w="3586" w:type="dxa"/>
          </w:tcPr>
          <w:p>
            <w:pPr>
              <w:pStyle w:val="CeldaAPA"/>
              <w:jc w:val="left"/>
            </w:pPr>
            <w:r>
              <w:rPr>
                <w:sz w:val="20"/>
                <w:szCs w:val="20"/>
              </w:rPr>
              <w:t xml:space="preserve">Bolsas recibidas; bolsas rotas o con grumos, terrones o costras; fecha de fabricación</w:t>
            </w:r>
          </w:p>
        </w:tc>
        <w:tc>
          <w:tcPr>
            <w:tcW w:w="3586" w:type="dxa"/>
          </w:tcPr>
          <w:p>
            <w:pPr>
              <w:pStyle w:val="CeldaAPA"/>
            </w:pPr>
          </w:p>
        </w:tc>
        <w:tc>
          <w:tcPr>
            <w:tcW w:w="726" w:type="dxa"/>
          </w:tcPr>
          <w:p>
            <w:pPr>
              <w:pStyle w:val="CeldaAPA"/>
            </w:pPr>
          </w:p>
        </w:tc>
      </w:tr>
      <w:tr>
        <w:tc>
          <w:tcPr>
            <w:tcW w:w="1463" w:type="dxa"/>
          </w:tcPr>
          <w:p>
            <w:pPr>
              <w:pStyle w:val="CeldaAPA"/>
              <w:jc w:val="left"/>
            </w:pPr>
            <w:r>
              <w:rPr>
                <w:sz w:val="20"/>
                <w:szCs w:val="20"/>
              </w:rPr>
              <w:t xml:space="preserve">Arena y grava</w:t>
            </w:r>
          </w:p>
        </w:tc>
        <w:tc>
          <w:tcPr>
            <w:tcW w:w="3586" w:type="dxa"/>
          </w:tcPr>
          <w:p>
            <w:pPr>
              <w:pStyle w:val="CeldaAPA"/>
              <w:jc w:val="left"/>
            </w:pPr>
            <w:r>
              <w:rPr>
                <w:sz w:val="20"/>
                <w:szCs w:val="20"/>
              </w:rPr>
              <w:t xml:space="preserve">Volquete N.</w:t>
            </w:r>
            <w:r>
              <w:rPr>
                <w:vertAlign w:val="superscript"/>
                <w:sz w:val="20"/>
                <w:szCs w:val="20"/>
              </w:rPr>
              <w:t xml:space="preserve">o</w:t>
            </w:r>
            <w:r>
              <w:rPr>
                <w:sz w:val="20"/>
                <w:szCs w:val="20"/>
              </w:rPr>
              <w:t xml:space="preserve">; volumen cubicado (m</w:t>
            </w:r>
            <w:r>
              <w:rPr>
                <w:vertAlign w:val="superscript"/>
                <w:sz w:val="20"/>
                <w:szCs w:val="20"/>
              </w:rPr>
              <w:t xml:space="preserve">3</w:t>
            </w:r>
            <w:r>
              <w:rPr>
                <w:sz w:val="20"/>
                <w:szCs w:val="20"/>
              </w:rPr>
              <w:t xml:space="preserve">); limpieza (sin arcilla ni materia orgánica); tamaño máximo</w:t>
            </w:r>
            <w:r>
              <w:rPr>
                <w:sz w:val="20"/>
                <w:szCs w:val="20"/>
              </w:rPr>
              <w:t xml:space="preserve"> </w:t>
            </w:r>
            <m:oMath>
              <m:r>
                <m:rPr>
                  <m:sty m:val="p"/>
                </m:rPr>
                <m:t>≤</m:t>
              </m:r>
            </m:oMath>
            <w:r>
              <w:rPr>
                <w:sz w:val="20"/>
                <w:szCs w:val="20"/>
              </w:rPr>
              <w:t xml:space="preserve"> </w:t>
            </w:r>
            <w:r>
              <w:rPr>
                <w:sz w:val="20"/>
                <w:szCs w:val="20"/>
              </w:rPr>
              <w:t xml:space="preserve">mitad del espesor de la carpeta</w:t>
            </w:r>
          </w:p>
        </w:tc>
        <w:tc>
          <w:tcPr>
            <w:tcW w:w="3586" w:type="dxa"/>
          </w:tcPr>
          <w:p>
            <w:pPr>
              <w:pStyle w:val="CeldaAPA"/>
            </w:pPr>
          </w:p>
        </w:tc>
        <w:tc>
          <w:tcPr>
            <w:tcW w:w="726" w:type="dxa"/>
          </w:tcPr>
          <w:p>
            <w:pPr>
              <w:pStyle w:val="CeldaAPA"/>
            </w:pPr>
          </w:p>
        </w:tc>
      </w:tr>
      <w:tr>
        <w:tc>
          <w:tcPr>
            <w:tcW w:w="1463" w:type="dxa"/>
          </w:tcPr>
          <w:p>
            <w:pPr>
              <w:pStyle w:val="CeldaAPA"/>
              <w:jc w:val="left"/>
            </w:pPr>
            <w:r>
              <w:rPr>
                <w:sz w:val="20"/>
                <w:szCs w:val="20"/>
              </w:rPr>
              <w:t xml:space="preserve">Agua</w:t>
            </w:r>
          </w:p>
        </w:tc>
        <w:tc>
          <w:tcPr>
            <w:tcW w:w="3586" w:type="dxa"/>
          </w:tcPr>
          <w:p>
            <w:pPr>
              <w:pStyle w:val="CeldaAPA"/>
              <w:jc w:val="left"/>
            </w:pPr>
            <w:r>
              <w:rPr>
                <w:sz w:val="20"/>
                <w:szCs w:val="20"/>
              </w:rPr>
              <w:t xml:space="preserve">Fuente aprobada; limpieza; temperatura al amasar</w:t>
            </w:r>
            <w:r>
              <w:rPr>
                <w:sz w:val="20"/>
                <w:szCs w:val="20"/>
              </w:rPr>
              <w:t xml:space="preserve"> </w:t>
            </w:r>
            <m:oMath>
              <m:r>
                <m:rPr>
                  <m:sty m:val="p"/>
                </m:rPr>
                <m:t>&gt;</m:t>
              </m:r>
              <m:r>
                <m:t>5</m:t>
              </m:r>
            </m:oMath>
            <w:r>
              <w:rPr>
                <w:sz w:val="20"/>
                <w:szCs w:val="20"/>
              </w:rPr>
              <w:t xml:space="preserve"> </w:t>
            </w:r>
            <m:oMath>
              <m:sSup>
                <m:e>
                  <m:r>
                    <m:t>​</m:t>
                  </m:r>
                </m:e>
                <m:sup>
                  <m:r>
                    <m:rPr>
                      <m:sty m:val="p"/>
                    </m:rPr>
                    <m:t>∘</m:t>
                  </m:r>
                </m:sup>
              </m:sSup>
            </m:oMath>
            <w:r>
              <w:rPr>
                <w:sz w:val="20"/>
                <w:szCs w:val="20"/>
              </w:rPr>
              <w:t xml:space="preserve">C</w:t>
            </w:r>
          </w:p>
        </w:tc>
        <w:tc>
          <w:tcPr>
            <w:tcW w:w="3586" w:type="dxa"/>
          </w:tcPr>
          <w:p>
            <w:pPr>
              <w:pStyle w:val="CeldaAPA"/>
            </w:pPr>
          </w:p>
        </w:tc>
        <w:tc>
          <w:tcPr>
            <w:tcW w:w="726" w:type="dxa"/>
          </w:tcPr>
          <w:p>
            <w:pPr>
              <w:pStyle w:val="CeldaAPA"/>
            </w:pPr>
          </w:p>
        </w:tc>
      </w:tr>
    </w:tbl>
    <w:p>
      <w:pPr>
        <w:pStyle w:val="BodyText"/>
        <w:spacing w:before="240"/>
      </w:pPr>
      <w:r>
        <w:rPr>
          <w:bCs/>
          <w:b/>
        </w:rPr>
        <w:t xml:space="preserve">3. Decisión</w:t>
      </w:r>
    </w:p>
    <w:tbl>
      <w:tblPr>
        <w:tblStyle w:val="Table"/>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0" w:lastRow="0" w:firstColumn="0" w:lastColumn="0" w:noHBand="0" w:noVBand="0" w:val="0000"/>
      </w:tblPr>
      <w:tblGrid>
        <w:gridCol w:w="9360"/>
      </w:tblGrid>
      <w:tr>
        <w:tc>
          <w:tcPr>
            <w:tcW w:w="9360" w:type="dxa"/>
          </w:tcPr>
          <w:p>
            <w:pPr>
              <w:pStyle w:val="CeldaAPA"/>
              <w:jc w:val="left"/>
            </w:pPr>
            <w:r>
              <w:rPr>
                <w:sz w:val="20"/>
                <w:szCs w:val="20"/>
              </w:rPr>
              <w:t xml:space="preserve">☐ Aceptado ☐ Aceptado bajo concesión (autorización escrita de la Supervisión N.</w:t>
            </w:r>
            <w:r>
              <w:rPr>
                <w:vertAlign w:val="superscript"/>
                <w:sz w:val="20"/>
                <w:szCs w:val="20"/>
              </w:rPr>
              <w:t xml:space="preserve">o</w:t>
            </w:r>
            <w:r>
              <w:rPr>
                <w:sz w:val="20"/>
                <w:szCs w:val="20"/>
              </w:rPr>
              <w:t xml:space="preserve"> </w:t>
            </w:r>
            <w:r>
              <w:rPr>
                <w:u w:val="single"/>
                <w:sz w:val="20"/>
                <w:szCs w:val="20"/>
              </w:rPr>
              <w:t xml:space="preserve"> </w:t>
            </w:r>
            <w:r>
              <w:rPr>
                <w:sz w:val="20"/>
                <w:szCs w:val="20"/>
              </w:rPr>
              <w:t xml:space="preserve">) ☐ Rechazado</w:t>
            </w:r>
            <w:r>
              <w:rPr>
                <w:sz w:val="20"/>
                <w:szCs w:val="20"/>
              </w:rPr>
              <w:t xml:space="preserve"> </w:t>
            </w:r>
            <m:oMath>
              <m:r>
                <m:rPr>
                  <m:sty m:val="p"/>
                </m:rPr>
                <m:t>→</m:t>
              </m:r>
            </m:oMath>
            <w:r>
              <w:rPr>
                <w:sz w:val="20"/>
                <w:szCs w:val="20"/>
              </w:rPr>
              <w:t xml:space="preserve"> </w:t>
            </w:r>
            <w:r>
              <w:rPr>
                <w:sz w:val="20"/>
                <w:szCs w:val="20"/>
              </w:rPr>
              <w:t xml:space="preserve">NC N.</w:t>
            </w:r>
            <w:r>
              <w:rPr>
                <w:vertAlign w:val="superscript"/>
                <w:sz w:val="20"/>
                <w:szCs w:val="20"/>
              </w:rPr>
              <w:t xml:space="preserve">o</w:t>
            </w:r>
            <w:r>
              <w:rPr>
                <w:sz w:val="20"/>
                <w:szCs w:val="20"/>
              </w:rPr>
              <w:t xml:space="preserve"> </w:t>
            </w:r>
            <w:r>
              <w:rPr>
                <w:u w:val="single"/>
                <w:sz w:val="20"/>
                <w:szCs w:val="20"/>
              </w:rPr>
              <w:t xml:space="preserve"> </w:t>
            </w:r>
            <w:r>
              <w:rPr>
                <w:sz w:val="20"/>
                <w:szCs w:val="20"/>
              </w:rPr>
              <w:t xml:space="preserve"> </w:t>
            </w:r>
            <w:r>
              <w:rPr>
                <w:sz w:val="20"/>
                <w:szCs w:val="20"/>
              </w:rPr>
              <w:t xml:space="preserve">(formato C.5)</w:t>
            </w:r>
          </w:p>
        </w:tc>
      </w:tr>
      <w:tr>
        <w:tc>
          <w:tcPr>
            <w:tcW w:w="9360" w:type="dxa"/>
          </w:tcPr>
          <w:p>
            <w:pPr>
              <w:pStyle w:val="CeldaAPA"/>
              <w:jc w:val="left"/>
            </w:pPr>
            <w:r>
              <w:rPr>
                <w:sz w:val="20"/>
                <w:szCs w:val="20"/>
              </w:rPr>
              <w:t xml:space="preserve">Identificación del lote aceptado (tarjeta verde) con el código</w:t>
            </w:r>
            <w:r>
              <w:rPr>
                <w:sz w:val="20"/>
                <w:szCs w:val="20"/>
              </w:rPr>
              <w:t xml:space="preserve"> </w:t>
            </w:r>
            <w:r>
              <w:rPr>
                <w:u w:val="single"/>
                <w:sz w:val="20"/>
                <w:szCs w:val="20"/>
              </w:rPr>
              <w:t xml:space="preserve"> </w:t>
            </w:r>
            <w:r>
              <w:rPr>
                <w:sz w:val="20"/>
                <w:szCs w:val="20"/>
              </w:rPr>
              <w:t xml:space="preserve"> </w:t>
            </w:r>
            <w:r>
              <w:rPr>
                <w:sz w:val="20"/>
                <w:szCs w:val="20"/>
              </w:rPr>
              <w:t xml:space="preserve">Ingreso al kardex: fecha</w:t>
            </w:r>
            <w:r>
              <w:rPr>
                <w:sz w:val="20"/>
                <w:szCs w:val="20"/>
              </w:rPr>
              <w:t xml:space="preserve"> </w:t>
            </w:r>
            <w:r>
              <w:rPr>
                <w:u w:val="single"/>
                <w:sz w:val="20"/>
                <w:szCs w:val="20"/>
              </w:rPr>
              <w:t xml:space="preserve"> </w:t>
            </w:r>
          </w:p>
        </w:tc>
      </w:tr>
      <w:tr>
        <w:tc>
          <w:tcPr>
            <w:tcW w:w="9360" w:type="dxa"/>
          </w:tcPr>
          <w:p>
            <w:pPr>
              <w:pStyle w:val="CeldaAPA"/>
              <w:jc w:val="left"/>
            </w:pPr>
            <w:r>
              <w:rPr>
                <w:sz w:val="20"/>
                <w:szCs w:val="20"/>
              </w:rPr>
              <w:t xml:space="preserve">_________________ _________________ _________________ _________________</w:t>
            </w:r>
          </w:p>
        </w:tc>
      </w:tr>
    </w:tbl>
    <w:p>
      <w:pPr>
        <w:pStyle w:val="Heading2"/>
        <w:spacing w:before="240"/>
      </w:pPr>
      <w:bookmarkStart w:id="354" w:name="tit166"/>
      <w:r>
        <w:t xml:space="preserve">C.4. Ficha de control de materiales y conciliación por paño</w:t>
      </w:r>
      <w:bookmarkEnd w:id="354"/>
    </w:p>
    <w:p>
      <w:pPr>
        <w:pStyle w:val="FirstParagraph"/>
      </w:pPr>
      <w:r>
        <w:rPr>
          <w:bCs/>
          <w:b/>
        </w:rPr>
        <w:t xml:space="preserve">Uso.</w:t>
      </w:r>
      <w:r>
        <w:t xml:space="preserve"> </w:t>
      </w:r>
      <w:r>
        <w:t xml:space="preserve">La parte (a) se emite por cada despacho o devolución; la parte (b) se lleva por material en el almacén; la parte (c) se cierra al terminar cada paño y la parte (d) antes de cada planilla de avance (PCM-03 y PCM-04). Fórmulas:</w:t>
      </w:r>
      <w:r>
        <w:t xml:space="preserve"> </w:t>
      </w:r>
      <m:oMath>
        <m:sSub>
          <m:e>
            <m:r>
              <m:t>Q</m:t>
            </m:r>
          </m:e>
          <m:sub>
            <m:r>
              <m:t>C</m:t>
            </m:r>
          </m:sub>
        </m:sSub>
        <m:r>
          <m:rPr>
            <m:sty m:val="p"/>
          </m:rPr>
          <m:t>=</m:t>
        </m:r>
        <m:sSub>
          <m:e>
            <m:r>
              <m:t>Q</m:t>
            </m:r>
          </m:e>
          <m:sub>
            <m:r>
              <m:t>D</m:t>
            </m:r>
          </m:sub>
        </m:sSub>
        <m:r>
          <m:rPr>
            <m:sty m:val="p"/>
          </m:rPr>
          <m:t>−</m:t>
        </m:r>
        <m:sSub>
          <m:e>
            <m:r>
              <m:t>Q</m:t>
            </m:r>
          </m:e>
          <m:sub>
            <m:r>
              <m:t>V</m:t>
            </m:r>
          </m:sub>
        </m:sSub>
      </m:oMath>
      <w:r>
        <w:t xml:space="preserve">;</w:t>
      </w:r>
      <w:r>
        <w:t xml:space="preserve"> </w:t>
      </w:r>
      <m:oMath>
        <m:r>
          <m:t>I</m:t>
        </m:r>
        <m:r>
          <m:t>D</m:t>
        </m:r>
        <m:r>
          <m:t>M</m:t>
        </m:r>
        <m:r>
          <m:rPr>
            <m:sty m:val="p"/>
          </m:rPr>
          <m:t>=</m:t>
        </m:r>
        <m:d>
          <m:dPr>
            <m:begChr m:val="("/>
            <m:endChr m:val=")"/>
            <m:sepChr m:val=""/>
            <m:grow/>
          </m:dPr>
          <m:e>
            <m:sSub>
              <m:e>
                <m:r>
                  <m:t>Q</m:t>
                </m:r>
              </m:e>
              <m:sub>
                <m:r>
                  <m:t>C</m:t>
                </m:r>
              </m:sub>
            </m:sSub>
            <m:r>
              <m:rPr>
                <m:sty m:val="p"/>
              </m:rPr>
              <m:t>−</m:t>
            </m:r>
            <m:sSub>
              <m:e>
                <m:r>
                  <m:t>Q</m:t>
                </m:r>
              </m:e>
              <m:sub>
                <m:r>
                  <m:t>T</m:t>
                </m:r>
              </m:sub>
            </m:sSub>
          </m:e>
        </m:d>
        <m:r>
          <m:rPr>
            <m:sty m:val="p"/>
          </m:rPr>
          <m:t>/</m:t>
        </m:r>
        <m:sSub>
          <m:e>
            <m:r>
              <m:t>Q</m:t>
            </m:r>
          </m:e>
          <m:sub>
            <m:r>
              <m:t>T</m:t>
            </m:r>
          </m:sub>
        </m:sSub>
        <m:r>
          <m:rPr>
            <m:sty m:val="p"/>
          </m:rPr>
          <m:t>×</m:t>
        </m:r>
        <m:r>
          <m:t>100</m:t>
        </m:r>
      </m:oMath>
      <w:r>
        <w:t xml:space="preserve">;</w:t>
      </w:r>
      <w:r>
        <w:t xml:space="preserve"> </w:t>
      </w:r>
      <m:oMath>
        <m:sSub>
          <m:e>
            <m:r>
              <m:t>δ</m:t>
            </m:r>
          </m:e>
          <m:sub>
            <m:r>
              <m:t>X</m:t>
            </m:r>
            <m:r>
              <m:rPr>
                <m:sty m:val="p"/>
              </m:rPr>
              <m:t>/</m:t>
            </m:r>
            <m:r>
              <m:t>Y</m:t>
            </m:r>
          </m:sub>
        </m:sSub>
        <m:r>
          <m:rPr>
            <m:sty m:val="p"/>
          </m:rPr>
          <m:t>=</m:t>
        </m:r>
        <m:d>
          <m:dPr>
            <m:begChr m:val="("/>
            <m:endChr m:val=")"/>
            <m:sepChr m:val=""/>
            <m:grow/>
          </m:dPr>
          <m:e>
            <m:sSub>
              <m:e>
                <m:r>
                  <m:t>Q</m:t>
                </m:r>
              </m:e>
              <m:sub>
                <m:r>
                  <m:t>X</m:t>
                </m:r>
              </m:sub>
            </m:sSub>
            <m:r>
              <m:rPr>
                <m:sty m:val="p"/>
              </m:rPr>
              <m:t>−</m:t>
            </m:r>
            <m:sSub>
              <m:e>
                <m:r>
                  <m:t>Q</m:t>
                </m:r>
              </m:e>
              <m:sub>
                <m:r>
                  <m:t>Y</m:t>
                </m:r>
              </m:sub>
            </m:sSub>
          </m:e>
        </m:d>
        <m:r>
          <m:rPr>
            <m:sty m:val="p"/>
          </m:rPr>
          <m:t>/</m:t>
        </m:r>
        <m:sSub>
          <m:e>
            <m:r>
              <m:t>Q</m:t>
            </m:r>
          </m:e>
          <m:sub>
            <m:r>
              <m:t>Y</m:t>
            </m:r>
          </m:sub>
        </m:sSub>
        <m:r>
          <m:rPr>
            <m:sty m:val="p"/>
          </m:rPr>
          <m:t>×</m:t>
        </m:r>
        <m:r>
          <m:t>100</m:t>
        </m:r>
      </m:oMath>
      <w:r>
        <w:t xml:space="preserve">; umbrales de alerta de la Tabla 38.</w:t>
      </w:r>
    </w:p>
    <w:tbl>
      <w:tblPr>
        <w:tblStyle w:val="Table"/>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0" w:lastRow="0" w:firstColumn="0" w:lastColumn="0" w:noHBand="0" w:noVBand="0" w:val="0000"/>
      </w:tblPr>
      <w:tblGrid>
        <w:gridCol w:w="2930"/>
        <w:gridCol w:w="4240"/>
        <w:gridCol w:w="1900"/>
      </w:tblGrid>
      <w:tr>
        <w:tc>
          <w:tcPr>
            <w:tcW w:w="2930" w:type="dxa"/>
          </w:tcPr>
          <w:p>
            <w:pPr>
              <w:pStyle w:val="CeldaAPA"/>
              <w:jc w:val="left"/>
            </w:pPr>
            <w:r>
              <w:rPr>
                <w:bCs/>
                <w:b/>
                <w:sz w:val="20"/>
                <w:szCs w:val="20"/>
              </w:rPr>
              <w:t xml:space="preserve">UATF – Edificio de Posgrado</w:t>
            </w:r>
          </w:p>
        </w:tc>
        <w:tc>
          <w:tcPr>
            <w:tcW w:w="4240" w:type="dxa"/>
            <w:vMerge w:val="restart"/>
          </w:tcPr>
          <w:p>
            <w:pPr>
              <w:pStyle w:val="CeldaAPA"/>
              <w:jc w:val="left"/>
            </w:pPr>
            <w:r>
              <w:rPr>
                <w:bCs/>
                <w:b/>
                <w:sz w:val="20"/>
                <w:szCs w:val="20"/>
              </w:rPr>
              <w:t xml:space="preserve">Control de materiales y conciliación por paño</w:t>
            </w:r>
          </w:p>
        </w:tc>
        <w:tc>
          <w:tcPr>
            <w:tcW w:w="1900" w:type="dxa"/>
          </w:tcPr>
          <w:p>
            <w:pPr>
              <w:pStyle w:val="CeldaAPA"/>
              <w:jc w:val="left"/>
            </w:pPr>
            <w:r>
              <w:rPr>
                <w:bCs/>
                <w:b/>
                <w:sz w:val="20"/>
                <w:szCs w:val="20"/>
              </w:rPr>
              <w:t xml:space="preserve">Código:</w:t>
            </w:r>
            <w:r>
              <w:rPr>
                <w:sz w:val="20"/>
                <w:szCs w:val="20"/>
              </w:rPr>
              <w:t xml:space="preserve"> </w:t>
            </w:r>
            <w:r>
              <w:rPr>
                <w:sz w:val="20"/>
                <w:szCs w:val="20"/>
              </w:rPr>
              <w:t xml:space="preserve">C.4</w:t>
            </w:r>
          </w:p>
        </w:tc>
      </w:tr>
      <w:tr>
        <w:tc>
          <w:tcPr>
            <w:tcW w:w="2930" w:type="dxa"/>
          </w:tcPr>
          <w:p>
            <w:pPr>
              <w:pStyle w:val="CeldaAPA"/>
              <w:jc w:val="left"/>
            </w:pPr>
            <w:r>
              <w:rPr>
                <w:sz w:val="20"/>
                <w:szCs w:val="20"/>
              </w:rPr>
              <w:t xml:space="preserve">Ítem 13: losa alivianada h = 25 cm</w:t>
            </w:r>
          </w:p>
        </w:tc>
        <w:tc>
          <w:tcPr>
            <w:tcW w:w="4240" w:type="dxa"/>
            <w:gridSpan w:val="1"/>
            <w:vMerge w:val="continue"/>
          </w:tcPr>
          <w:p>
            <w:pPr>
              <w:pStyle w:val="CeldaAPA"/>
            </w:pPr>
          </w:p>
        </w:tc>
        <w:tc>
          <w:tcPr>
            <w:tcW w:w="1900" w:type="dxa"/>
          </w:tcPr>
          <w:p>
            <w:pPr>
              <w:pStyle w:val="CeldaAPA"/>
              <w:jc w:val="left"/>
            </w:pPr>
            <w:r>
              <w:rPr>
                <w:sz w:val="20"/>
                <w:szCs w:val="20"/>
              </w:rPr>
              <w:t xml:space="preserve">Versión 0</w:t>
            </w:r>
          </w:p>
        </w:tc>
      </w:tr>
    </w:tbl>
    <w:p>
      <w:pPr>
        <w:pStyle w:val="BodyText"/>
        <w:spacing w:before="240"/>
      </w:pPr>
      <w:r>
        <w:rPr>
          <w:bCs/>
          <w:b/>
        </w:rPr>
        <w:t xml:space="preserve">(a) Vale de salida o de devolución</w:t>
      </w:r>
    </w:p>
    <w:tbl>
      <w:tblPr>
        <w:tblStyle w:val="Table"/>
        <w:tblW w:w="10261"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1" w:lastRow="0" w:firstColumn="0" w:lastColumn="0" w:noHBand="0" w:noVBand="0" w:val="0020"/>
      </w:tblPr>
      <w:tblGrid>
        <w:gridCol w:w="814"/>
        <w:gridCol w:w="1000"/>
        <w:gridCol w:w="865"/>
        <w:gridCol w:w="1345"/>
        <w:gridCol w:w="1083"/>
        <w:gridCol w:w="1302"/>
        <w:gridCol w:w="1518"/>
        <w:gridCol w:w="1167"/>
        <w:gridCol w:w="1167"/>
      </w:tblGrid>
      <w:tr>
        <w:trPr>
          <w:cantSplit/>
          <w:tblHeader w:val="true"/>
        </w:trPr>
        <w:tc>
          <w:tcPr>
            <w:tcW w:w="814" w:type="dxa"/>
          </w:tcPr>
          <w:p>
            <w:pPr>
              <w:pStyle w:val="CeldaAPA"/>
              <w:jc w:val="center"/>
            </w:pPr>
            <w:r>
              <w:rPr>
                <w:bCs/>
                <w:b/>
                <w:sz w:val="20"/>
                <w:szCs w:val="20"/>
              </w:rPr>
              <w:t xml:space="preserve">Vale N.</w:t>
            </w:r>
            <w:r>
              <w:rPr>
                <w:vertAlign w:val="superscript"/>
                <w:bCs/>
                <w:b/>
                <w:sz w:val="20"/>
                <w:szCs w:val="20"/>
              </w:rPr>
              <w:t xml:space="preserve">o</w:t>
            </w:r>
          </w:p>
        </w:tc>
        <w:tc>
          <w:tcPr>
            <w:tcW w:w="1000" w:type="dxa"/>
          </w:tcPr>
          <w:p>
            <w:pPr>
              <w:pStyle w:val="CeldaAPA"/>
              <w:jc w:val="center"/>
            </w:pPr>
            <w:r>
              <w:rPr>
                <w:bCs/>
                <w:b/>
                <w:sz w:val="20"/>
                <w:szCs w:val="20"/>
              </w:rPr>
              <w:t xml:space="preserve">Fecha</w:t>
            </w:r>
          </w:p>
        </w:tc>
        <w:tc>
          <w:tcPr>
            <w:tcW w:w="865" w:type="dxa"/>
          </w:tcPr>
          <w:p>
            <w:pPr>
              <w:pStyle w:val="CeldaAPA"/>
              <w:jc w:val="center"/>
            </w:pPr>
            <w:r>
              <w:rPr>
                <w:bCs/>
                <w:b/>
                <w:sz w:val="20"/>
                <w:szCs w:val="20"/>
              </w:rPr>
              <w:t xml:space="preserve">Paño</w:t>
            </w:r>
          </w:p>
        </w:tc>
        <w:tc>
          <w:tcPr>
            <w:tcW w:w="1345" w:type="dxa"/>
          </w:tcPr>
          <w:p>
            <w:pPr>
              <w:pStyle w:val="CeldaAPA"/>
              <w:jc w:val="left"/>
            </w:pPr>
            <w:r>
              <w:rPr>
                <w:bCs/>
                <w:b/>
                <w:sz w:val="20"/>
                <w:szCs w:val="20"/>
              </w:rPr>
              <w:t xml:space="preserve">Material (tipo,</w:t>
            </w:r>
            <w:r>
              <w:rPr>
                <w:bCs/>
                <w:b/>
                <w:sz w:val="20"/>
                <w:szCs w:val="20"/>
              </w:rPr>
              <w:t xml:space="preserve"> </w:t>
            </w:r>
            <m:oMath>
              <m:r>
                <m:t>ϕ</m:t>
              </m:r>
            </m:oMath>
            <w:r>
              <w:rPr>
                <w:bCs/>
                <w:b/>
                <w:sz w:val="20"/>
                <w:szCs w:val="20"/>
              </w:rPr>
              <w:t xml:space="preserve">, longitud)</w:t>
            </w:r>
          </w:p>
        </w:tc>
        <w:tc>
          <w:tcPr>
            <w:tcW w:w="1083" w:type="dxa"/>
          </w:tcPr>
          <w:p>
            <w:pPr>
              <w:pStyle w:val="CeldaAPA"/>
              <w:jc w:val="center"/>
            </w:pPr>
            <w:r>
              <w:rPr>
                <w:bCs/>
                <w:b/>
                <w:sz w:val="20"/>
                <w:szCs w:val="20"/>
              </w:rPr>
              <w:t xml:space="preserve">Unidad</w:t>
            </w:r>
          </w:p>
        </w:tc>
        <w:tc>
          <w:tcPr>
            <w:tcW w:w="1302" w:type="dxa"/>
          </w:tcPr>
          <w:p>
            <w:pPr>
              <w:pStyle w:val="CeldaAPA"/>
              <w:jc w:val="center"/>
            </w:pPr>
            <w:r>
              <w:rPr>
                <w:bCs/>
                <w:b/>
                <w:sz w:val="20"/>
                <w:szCs w:val="20"/>
              </w:rPr>
              <w:t xml:space="preserve">Cantidad</w:t>
            </w:r>
          </w:p>
        </w:tc>
        <w:tc>
          <w:tcPr>
            <w:tcW w:w="1518" w:type="dxa"/>
          </w:tcPr>
          <w:p>
            <w:pPr>
              <w:pStyle w:val="CeldaAPA"/>
              <w:jc w:val="center"/>
            </w:pPr>
            <w:r>
              <w:rPr>
                <w:bCs/>
                <w:b/>
                <w:sz w:val="20"/>
                <w:szCs w:val="20"/>
              </w:rPr>
              <w:t xml:space="preserve">Salida o devolución</w:t>
            </w:r>
          </w:p>
        </w:tc>
        <w:tc>
          <w:tcPr>
            <w:tcW w:w="1167" w:type="dxa"/>
          </w:tcPr>
          <w:p>
            <w:pPr>
              <w:pStyle w:val="CeldaAPA"/>
              <w:jc w:val="left"/>
            </w:pPr>
            <w:r>
              <w:rPr>
                <w:bCs/>
                <w:b/>
                <w:sz w:val="20"/>
                <w:szCs w:val="20"/>
              </w:rPr>
              <w:t xml:space="preserve">Entregó (firma)</w:t>
            </w:r>
          </w:p>
        </w:tc>
        <w:tc>
          <w:tcPr>
            <w:tcW w:w="1167" w:type="dxa"/>
          </w:tcPr>
          <w:p>
            <w:pPr>
              <w:pStyle w:val="CeldaAPA"/>
              <w:jc w:val="left"/>
            </w:pPr>
            <w:r>
              <w:rPr>
                <w:bCs/>
                <w:b/>
                <w:sz w:val="20"/>
                <w:szCs w:val="20"/>
              </w:rPr>
              <w:t xml:space="preserve">Recibió (firma)</w:t>
            </w:r>
          </w:p>
        </w:tc>
      </w:tr>
      <w:tr>
        <w:tc>
          <w:tcPr>
            <w:tcW w:w="814" w:type="dxa"/>
          </w:tcPr>
          <w:p>
            <w:pPr>
              <w:pStyle w:val="CeldaAPA"/>
            </w:pPr>
          </w:p>
        </w:tc>
        <w:tc>
          <w:tcPr>
            <w:tcW w:w="1000" w:type="dxa"/>
          </w:tcPr>
          <w:p>
            <w:pPr>
              <w:pStyle w:val="CeldaAPA"/>
            </w:pPr>
          </w:p>
        </w:tc>
        <w:tc>
          <w:tcPr>
            <w:tcW w:w="865" w:type="dxa"/>
          </w:tcPr>
          <w:p>
            <w:pPr>
              <w:pStyle w:val="CeldaAPA"/>
            </w:pPr>
          </w:p>
        </w:tc>
        <w:tc>
          <w:tcPr>
            <w:tcW w:w="1345" w:type="dxa"/>
          </w:tcPr>
          <w:p>
            <w:pPr>
              <w:pStyle w:val="CeldaAPA"/>
            </w:pPr>
          </w:p>
        </w:tc>
        <w:tc>
          <w:tcPr>
            <w:tcW w:w="1083" w:type="dxa"/>
          </w:tcPr>
          <w:p>
            <w:pPr>
              <w:pStyle w:val="CeldaAPA"/>
            </w:pPr>
          </w:p>
        </w:tc>
        <w:tc>
          <w:tcPr>
            <w:tcW w:w="1302" w:type="dxa"/>
          </w:tcPr>
          <w:p>
            <w:pPr>
              <w:pStyle w:val="CeldaAPA"/>
            </w:pPr>
          </w:p>
        </w:tc>
        <w:tc>
          <w:tcPr>
            <w:tcW w:w="1518" w:type="dxa"/>
          </w:tcPr>
          <w:p>
            <w:pPr>
              <w:pStyle w:val="CeldaAPA"/>
            </w:pPr>
          </w:p>
        </w:tc>
        <w:tc>
          <w:tcPr>
            <w:tcW w:w="1167" w:type="dxa"/>
          </w:tcPr>
          <w:p>
            <w:pPr>
              <w:pStyle w:val="CeldaAPA"/>
            </w:pPr>
          </w:p>
        </w:tc>
        <w:tc>
          <w:tcPr>
            <w:tcW w:w="1167" w:type="dxa"/>
          </w:tcPr>
          <w:p>
            <w:pPr>
              <w:pStyle w:val="CeldaAPA"/>
            </w:pPr>
          </w:p>
        </w:tc>
      </w:tr>
      <w:tr>
        <w:tc>
          <w:tcPr>
            <w:tcW w:w="814" w:type="dxa"/>
          </w:tcPr>
          <w:p>
            <w:pPr>
              <w:pStyle w:val="CeldaAPA"/>
            </w:pPr>
          </w:p>
        </w:tc>
        <w:tc>
          <w:tcPr>
            <w:tcW w:w="1000" w:type="dxa"/>
          </w:tcPr>
          <w:p>
            <w:pPr>
              <w:pStyle w:val="CeldaAPA"/>
            </w:pPr>
          </w:p>
        </w:tc>
        <w:tc>
          <w:tcPr>
            <w:tcW w:w="865" w:type="dxa"/>
          </w:tcPr>
          <w:p>
            <w:pPr>
              <w:pStyle w:val="CeldaAPA"/>
            </w:pPr>
          </w:p>
        </w:tc>
        <w:tc>
          <w:tcPr>
            <w:tcW w:w="1345" w:type="dxa"/>
          </w:tcPr>
          <w:p>
            <w:pPr>
              <w:pStyle w:val="CeldaAPA"/>
            </w:pPr>
          </w:p>
        </w:tc>
        <w:tc>
          <w:tcPr>
            <w:tcW w:w="1083" w:type="dxa"/>
          </w:tcPr>
          <w:p>
            <w:pPr>
              <w:pStyle w:val="CeldaAPA"/>
            </w:pPr>
          </w:p>
        </w:tc>
        <w:tc>
          <w:tcPr>
            <w:tcW w:w="1302" w:type="dxa"/>
          </w:tcPr>
          <w:p>
            <w:pPr>
              <w:pStyle w:val="CeldaAPA"/>
            </w:pPr>
          </w:p>
        </w:tc>
        <w:tc>
          <w:tcPr>
            <w:tcW w:w="1518" w:type="dxa"/>
          </w:tcPr>
          <w:p>
            <w:pPr>
              <w:pStyle w:val="CeldaAPA"/>
            </w:pPr>
          </w:p>
        </w:tc>
        <w:tc>
          <w:tcPr>
            <w:tcW w:w="1167" w:type="dxa"/>
          </w:tcPr>
          <w:p>
            <w:pPr>
              <w:pStyle w:val="CeldaAPA"/>
            </w:pPr>
          </w:p>
        </w:tc>
        <w:tc>
          <w:tcPr>
            <w:tcW w:w="1167" w:type="dxa"/>
          </w:tcPr>
          <w:p>
            <w:pPr>
              <w:pStyle w:val="CeldaAPA"/>
            </w:pPr>
          </w:p>
        </w:tc>
      </w:tr>
      <w:tr>
        <w:tc>
          <w:tcPr>
            <w:tcW w:w="814" w:type="dxa"/>
          </w:tcPr>
          <w:p>
            <w:pPr>
              <w:pStyle w:val="CeldaAPA"/>
            </w:pPr>
          </w:p>
        </w:tc>
        <w:tc>
          <w:tcPr>
            <w:tcW w:w="1000" w:type="dxa"/>
          </w:tcPr>
          <w:p>
            <w:pPr>
              <w:pStyle w:val="CeldaAPA"/>
            </w:pPr>
          </w:p>
        </w:tc>
        <w:tc>
          <w:tcPr>
            <w:tcW w:w="865" w:type="dxa"/>
          </w:tcPr>
          <w:p>
            <w:pPr>
              <w:pStyle w:val="CeldaAPA"/>
            </w:pPr>
          </w:p>
        </w:tc>
        <w:tc>
          <w:tcPr>
            <w:tcW w:w="1345" w:type="dxa"/>
          </w:tcPr>
          <w:p>
            <w:pPr>
              <w:pStyle w:val="CeldaAPA"/>
            </w:pPr>
          </w:p>
        </w:tc>
        <w:tc>
          <w:tcPr>
            <w:tcW w:w="1083" w:type="dxa"/>
          </w:tcPr>
          <w:p>
            <w:pPr>
              <w:pStyle w:val="CeldaAPA"/>
            </w:pPr>
          </w:p>
        </w:tc>
        <w:tc>
          <w:tcPr>
            <w:tcW w:w="1302" w:type="dxa"/>
          </w:tcPr>
          <w:p>
            <w:pPr>
              <w:pStyle w:val="CeldaAPA"/>
            </w:pPr>
          </w:p>
        </w:tc>
        <w:tc>
          <w:tcPr>
            <w:tcW w:w="1518" w:type="dxa"/>
          </w:tcPr>
          <w:p>
            <w:pPr>
              <w:pStyle w:val="CeldaAPA"/>
            </w:pPr>
          </w:p>
        </w:tc>
        <w:tc>
          <w:tcPr>
            <w:tcW w:w="1167" w:type="dxa"/>
          </w:tcPr>
          <w:p>
            <w:pPr>
              <w:pStyle w:val="CeldaAPA"/>
            </w:pPr>
          </w:p>
        </w:tc>
        <w:tc>
          <w:tcPr>
            <w:tcW w:w="1167" w:type="dxa"/>
          </w:tcPr>
          <w:p>
            <w:pPr>
              <w:pStyle w:val="CeldaAPA"/>
            </w:pPr>
          </w:p>
        </w:tc>
      </w:tr>
      <w:tr>
        <w:tc>
          <w:tcPr>
            <w:tcW w:w="814" w:type="dxa"/>
          </w:tcPr>
          <w:p>
            <w:pPr>
              <w:pStyle w:val="CeldaAPA"/>
            </w:pPr>
          </w:p>
        </w:tc>
        <w:tc>
          <w:tcPr>
            <w:tcW w:w="1000" w:type="dxa"/>
          </w:tcPr>
          <w:p>
            <w:pPr>
              <w:pStyle w:val="CeldaAPA"/>
            </w:pPr>
          </w:p>
        </w:tc>
        <w:tc>
          <w:tcPr>
            <w:tcW w:w="865" w:type="dxa"/>
          </w:tcPr>
          <w:p>
            <w:pPr>
              <w:pStyle w:val="CeldaAPA"/>
            </w:pPr>
          </w:p>
        </w:tc>
        <w:tc>
          <w:tcPr>
            <w:tcW w:w="1345" w:type="dxa"/>
          </w:tcPr>
          <w:p>
            <w:pPr>
              <w:pStyle w:val="CeldaAPA"/>
            </w:pPr>
          </w:p>
        </w:tc>
        <w:tc>
          <w:tcPr>
            <w:tcW w:w="1083" w:type="dxa"/>
          </w:tcPr>
          <w:p>
            <w:pPr>
              <w:pStyle w:val="CeldaAPA"/>
            </w:pPr>
          </w:p>
        </w:tc>
        <w:tc>
          <w:tcPr>
            <w:tcW w:w="1302" w:type="dxa"/>
          </w:tcPr>
          <w:p>
            <w:pPr>
              <w:pStyle w:val="CeldaAPA"/>
            </w:pPr>
          </w:p>
        </w:tc>
        <w:tc>
          <w:tcPr>
            <w:tcW w:w="1518" w:type="dxa"/>
          </w:tcPr>
          <w:p>
            <w:pPr>
              <w:pStyle w:val="CeldaAPA"/>
            </w:pPr>
          </w:p>
        </w:tc>
        <w:tc>
          <w:tcPr>
            <w:tcW w:w="1167" w:type="dxa"/>
          </w:tcPr>
          <w:p>
            <w:pPr>
              <w:pStyle w:val="CeldaAPA"/>
            </w:pPr>
          </w:p>
        </w:tc>
        <w:tc>
          <w:tcPr>
            <w:tcW w:w="1167" w:type="dxa"/>
          </w:tcPr>
          <w:p>
            <w:pPr>
              <w:pStyle w:val="CeldaAPA"/>
            </w:pPr>
          </w:p>
        </w:tc>
      </w:tr>
      <w:tr>
        <w:tc>
          <w:tcPr>
            <w:tcW w:w="814" w:type="dxa"/>
          </w:tcPr>
          <w:p>
            <w:pPr>
              <w:pStyle w:val="CeldaAPA"/>
            </w:pPr>
          </w:p>
        </w:tc>
        <w:tc>
          <w:tcPr>
            <w:tcW w:w="1000" w:type="dxa"/>
          </w:tcPr>
          <w:p>
            <w:pPr>
              <w:pStyle w:val="CeldaAPA"/>
            </w:pPr>
          </w:p>
        </w:tc>
        <w:tc>
          <w:tcPr>
            <w:tcW w:w="865" w:type="dxa"/>
          </w:tcPr>
          <w:p>
            <w:pPr>
              <w:pStyle w:val="CeldaAPA"/>
            </w:pPr>
          </w:p>
        </w:tc>
        <w:tc>
          <w:tcPr>
            <w:tcW w:w="1345" w:type="dxa"/>
          </w:tcPr>
          <w:p>
            <w:pPr>
              <w:pStyle w:val="CeldaAPA"/>
            </w:pPr>
          </w:p>
        </w:tc>
        <w:tc>
          <w:tcPr>
            <w:tcW w:w="1083" w:type="dxa"/>
          </w:tcPr>
          <w:p>
            <w:pPr>
              <w:pStyle w:val="CeldaAPA"/>
            </w:pPr>
          </w:p>
        </w:tc>
        <w:tc>
          <w:tcPr>
            <w:tcW w:w="1302" w:type="dxa"/>
          </w:tcPr>
          <w:p>
            <w:pPr>
              <w:pStyle w:val="CeldaAPA"/>
            </w:pPr>
          </w:p>
        </w:tc>
        <w:tc>
          <w:tcPr>
            <w:tcW w:w="1518" w:type="dxa"/>
          </w:tcPr>
          <w:p>
            <w:pPr>
              <w:pStyle w:val="CeldaAPA"/>
            </w:pPr>
          </w:p>
        </w:tc>
        <w:tc>
          <w:tcPr>
            <w:tcW w:w="1167" w:type="dxa"/>
          </w:tcPr>
          <w:p>
            <w:pPr>
              <w:pStyle w:val="CeldaAPA"/>
            </w:pPr>
          </w:p>
        </w:tc>
        <w:tc>
          <w:tcPr>
            <w:tcW w:w="1167" w:type="dxa"/>
          </w:tcPr>
          <w:p>
            <w:pPr>
              <w:pStyle w:val="CeldaAPA"/>
            </w:pPr>
          </w:p>
        </w:tc>
      </w:tr>
    </w:tbl>
    <w:p>
      <w:pPr>
        <w:pStyle w:val="BodyText"/>
        <w:spacing w:before="240"/>
      </w:pPr>
      <w:r>
        <w:rPr>
          <w:bCs/>
          <w:b/>
        </w:rPr>
        <w:t xml:space="preserve">(b) Kardex del material:</w:t>
      </w:r>
      <w:r>
        <w:t xml:space="preserve"> </w:t>
      </w:r>
      <w:r>
        <w:rPr>
          <w:u w:val="single"/>
        </w:rPr>
        <w:t xml:space="preserve"> </w:t>
      </w:r>
      <w:r>
        <w:t xml:space="preserve"> </w:t>
      </w:r>
      <w:r>
        <w:t xml:space="preserve">Unidad:</w:t>
      </w:r>
      <w:r>
        <w:t xml:space="preserve"> </w:t>
      </w:r>
      <w:r>
        <w:rPr>
          <w:u w:val="single"/>
        </w:rPr>
        <w:t xml:space="preserve"> </w:t>
      </w:r>
    </w:p>
    <w:tbl>
      <w:tblPr>
        <w:tblStyle w:val="Table"/>
        <w:tblW w:w="1028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1" w:lastRow="0" w:firstColumn="0" w:lastColumn="0" w:noHBand="0" w:noVBand="0" w:val="0020"/>
      </w:tblPr>
      <w:tblGrid>
        <w:gridCol w:w="1000"/>
        <w:gridCol w:w="1666"/>
        <w:gridCol w:w="1167"/>
        <w:gridCol w:w="1032"/>
        <w:gridCol w:w="1572"/>
        <w:gridCol w:w="948"/>
        <w:gridCol w:w="1434"/>
        <w:gridCol w:w="1469"/>
      </w:tblGrid>
      <w:tr>
        <w:trPr>
          <w:cantSplit/>
          <w:tblHeader w:val="true"/>
        </w:trPr>
        <w:tc>
          <w:tcPr>
            <w:tcW w:w="1000" w:type="dxa"/>
          </w:tcPr>
          <w:p>
            <w:pPr>
              <w:pStyle w:val="CeldaAPA"/>
              <w:jc w:val="center"/>
            </w:pPr>
            <w:r>
              <w:rPr>
                <w:bCs/>
                <w:b/>
                <w:sz w:val="20"/>
                <w:szCs w:val="20"/>
              </w:rPr>
              <w:t xml:space="preserve">Fecha</w:t>
            </w:r>
          </w:p>
        </w:tc>
        <w:tc>
          <w:tcPr>
            <w:tcW w:w="1666" w:type="dxa"/>
          </w:tcPr>
          <w:p>
            <w:pPr>
              <w:pStyle w:val="CeldaAPA"/>
              <w:jc w:val="left"/>
            </w:pPr>
            <w:r>
              <w:rPr>
                <w:bCs/>
                <w:b/>
                <w:sz w:val="20"/>
                <w:szCs w:val="20"/>
              </w:rPr>
              <w:t xml:space="preserve">Documento (C.3, vale, devolución)</w:t>
            </w:r>
          </w:p>
        </w:tc>
        <w:tc>
          <w:tcPr>
            <w:tcW w:w="1167" w:type="dxa"/>
          </w:tcPr>
          <w:p>
            <w:pPr>
              <w:pStyle w:val="CeldaAPA"/>
              <w:jc w:val="center"/>
            </w:pPr>
            <w:r>
              <w:rPr>
                <w:bCs/>
                <w:b/>
                <w:sz w:val="20"/>
                <w:szCs w:val="20"/>
              </w:rPr>
              <w:t xml:space="preserve">Entrada</w:t>
            </w:r>
          </w:p>
        </w:tc>
        <w:tc>
          <w:tcPr>
            <w:tcW w:w="1032" w:type="dxa"/>
          </w:tcPr>
          <w:p>
            <w:pPr>
              <w:pStyle w:val="CeldaAPA"/>
              <w:jc w:val="center"/>
            </w:pPr>
            <w:r>
              <w:rPr>
                <w:bCs/>
                <w:b/>
                <w:sz w:val="20"/>
                <w:szCs w:val="20"/>
              </w:rPr>
              <w:t xml:space="preserve">Salida</w:t>
            </w:r>
          </w:p>
        </w:tc>
        <w:tc>
          <w:tcPr>
            <w:tcW w:w="1572" w:type="dxa"/>
          </w:tcPr>
          <w:p>
            <w:pPr>
              <w:pStyle w:val="CeldaAPA"/>
              <w:jc w:val="center"/>
            </w:pPr>
            <w:r>
              <w:rPr>
                <w:bCs/>
                <w:b/>
                <w:sz w:val="20"/>
                <w:szCs w:val="20"/>
              </w:rPr>
              <w:t xml:space="preserve">Devolución</w:t>
            </w:r>
          </w:p>
        </w:tc>
        <w:tc>
          <w:tcPr>
            <w:tcW w:w="948" w:type="dxa"/>
          </w:tcPr>
          <w:p>
            <w:pPr>
              <w:pStyle w:val="CeldaAPA"/>
              <w:jc w:val="center"/>
            </w:pPr>
            <w:r>
              <w:rPr>
                <w:bCs/>
                <w:b/>
                <w:sz w:val="20"/>
                <w:szCs w:val="20"/>
              </w:rPr>
              <w:t xml:space="preserve">Saldo</w:t>
            </w:r>
          </w:p>
        </w:tc>
        <w:tc>
          <w:tcPr>
            <w:tcW w:w="1434" w:type="dxa"/>
          </w:tcPr>
          <w:p>
            <w:pPr>
              <w:pStyle w:val="CeldaAPA"/>
              <w:jc w:val="center"/>
            </w:pPr>
            <w:r>
              <w:rPr>
                <w:bCs/>
                <w:b/>
                <w:sz w:val="20"/>
                <w:szCs w:val="20"/>
              </w:rPr>
              <w:t xml:space="preserve">Inventario físico</w:t>
            </w:r>
          </w:p>
        </w:tc>
        <w:tc>
          <w:tcPr>
            <w:tcW w:w="1469" w:type="dxa"/>
          </w:tcPr>
          <w:p>
            <w:pPr>
              <w:pStyle w:val="CeldaAPA"/>
              <w:jc w:val="center"/>
            </w:pPr>
            <w:r>
              <w:rPr>
                <w:bCs/>
                <w:b/>
                <w:sz w:val="20"/>
                <w:szCs w:val="20"/>
              </w:rPr>
              <w:t xml:space="preserve">Diferencia</w:t>
            </w:r>
          </w:p>
        </w:tc>
      </w:tr>
      <w:tr>
        <w:tc>
          <w:tcPr>
            <w:tcW w:w="1000" w:type="dxa"/>
          </w:tcPr>
          <w:p>
            <w:pPr>
              <w:pStyle w:val="CeldaAPA"/>
            </w:pPr>
          </w:p>
        </w:tc>
        <w:tc>
          <w:tcPr>
            <w:tcW w:w="1666" w:type="dxa"/>
          </w:tcPr>
          <w:p>
            <w:pPr>
              <w:pStyle w:val="CeldaAPA"/>
            </w:pPr>
          </w:p>
        </w:tc>
        <w:tc>
          <w:tcPr>
            <w:tcW w:w="1167" w:type="dxa"/>
          </w:tcPr>
          <w:p>
            <w:pPr>
              <w:pStyle w:val="CeldaAPA"/>
            </w:pPr>
          </w:p>
        </w:tc>
        <w:tc>
          <w:tcPr>
            <w:tcW w:w="1032" w:type="dxa"/>
          </w:tcPr>
          <w:p>
            <w:pPr>
              <w:pStyle w:val="CeldaAPA"/>
            </w:pPr>
          </w:p>
        </w:tc>
        <w:tc>
          <w:tcPr>
            <w:tcW w:w="1572" w:type="dxa"/>
          </w:tcPr>
          <w:p>
            <w:pPr>
              <w:pStyle w:val="CeldaAPA"/>
            </w:pPr>
          </w:p>
        </w:tc>
        <w:tc>
          <w:tcPr>
            <w:tcW w:w="948" w:type="dxa"/>
          </w:tcPr>
          <w:p>
            <w:pPr>
              <w:pStyle w:val="CeldaAPA"/>
            </w:pPr>
          </w:p>
        </w:tc>
        <w:tc>
          <w:tcPr>
            <w:tcW w:w="1434" w:type="dxa"/>
          </w:tcPr>
          <w:p>
            <w:pPr>
              <w:pStyle w:val="CeldaAPA"/>
            </w:pPr>
          </w:p>
        </w:tc>
        <w:tc>
          <w:tcPr>
            <w:tcW w:w="1469" w:type="dxa"/>
          </w:tcPr>
          <w:p>
            <w:pPr>
              <w:pStyle w:val="CeldaAPA"/>
            </w:pPr>
          </w:p>
        </w:tc>
      </w:tr>
      <w:tr>
        <w:tc>
          <w:tcPr>
            <w:tcW w:w="1000" w:type="dxa"/>
          </w:tcPr>
          <w:p>
            <w:pPr>
              <w:pStyle w:val="CeldaAPA"/>
            </w:pPr>
          </w:p>
        </w:tc>
        <w:tc>
          <w:tcPr>
            <w:tcW w:w="1666" w:type="dxa"/>
          </w:tcPr>
          <w:p>
            <w:pPr>
              <w:pStyle w:val="CeldaAPA"/>
            </w:pPr>
          </w:p>
        </w:tc>
        <w:tc>
          <w:tcPr>
            <w:tcW w:w="1167" w:type="dxa"/>
          </w:tcPr>
          <w:p>
            <w:pPr>
              <w:pStyle w:val="CeldaAPA"/>
            </w:pPr>
          </w:p>
        </w:tc>
        <w:tc>
          <w:tcPr>
            <w:tcW w:w="1032" w:type="dxa"/>
          </w:tcPr>
          <w:p>
            <w:pPr>
              <w:pStyle w:val="CeldaAPA"/>
            </w:pPr>
          </w:p>
        </w:tc>
        <w:tc>
          <w:tcPr>
            <w:tcW w:w="1572" w:type="dxa"/>
          </w:tcPr>
          <w:p>
            <w:pPr>
              <w:pStyle w:val="CeldaAPA"/>
            </w:pPr>
          </w:p>
        </w:tc>
        <w:tc>
          <w:tcPr>
            <w:tcW w:w="948" w:type="dxa"/>
          </w:tcPr>
          <w:p>
            <w:pPr>
              <w:pStyle w:val="CeldaAPA"/>
            </w:pPr>
          </w:p>
        </w:tc>
        <w:tc>
          <w:tcPr>
            <w:tcW w:w="1434" w:type="dxa"/>
          </w:tcPr>
          <w:p>
            <w:pPr>
              <w:pStyle w:val="CeldaAPA"/>
            </w:pPr>
          </w:p>
        </w:tc>
        <w:tc>
          <w:tcPr>
            <w:tcW w:w="1469" w:type="dxa"/>
          </w:tcPr>
          <w:p>
            <w:pPr>
              <w:pStyle w:val="CeldaAPA"/>
            </w:pPr>
          </w:p>
        </w:tc>
      </w:tr>
      <w:tr>
        <w:tc>
          <w:tcPr>
            <w:tcW w:w="1000" w:type="dxa"/>
          </w:tcPr>
          <w:p>
            <w:pPr>
              <w:pStyle w:val="CeldaAPA"/>
            </w:pPr>
          </w:p>
        </w:tc>
        <w:tc>
          <w:tcPr>
            <w:tcW w:w="1666" w:type="dxa"/>
          </w:tcPr>
          <w:p>
            <w:pPr>
              <w:pStyle w:val="CeldaAPA"/>
            </w:pPr>
          </w:p>
        </w:tc>
        <w:tc>
          <w:tcPr>
            <w:tcW w:w="1167" w:type="dxa"/>
          </w:tcPr>
          <w:p>
            <w:pPr>
              <w:pStyle w:val="CeldaAPA"/>
            </w:pPr>
          </w:p>
        </w:tc>
        <w:tc>
          <w:tcPr>
            <w:tcW w:w="1032" w:type="dxa"/>
          </w:tcPr>
          <w:p>
            <w:pPr>
              <w:pStyle w:val="CeldaAPA"/>
            </w:pPr>
          </w:p>
        </w:tc>
        <w:tc>
          <w:tcPr>
            <w:tcW w:w="1572" w:type="dxa"/>
          </w:tcPr>
          <w:p>
            <w:pPr>
              <w:pStyle w:val="CeldaAPA"/>
            </w:pPr>
          </w:p>
        </w:tc>
        <w:tc>
          <w:tcPr>
            <w:tcW w:w="948" w:type="dxa"/>
          </w:tcPr>
          <w:p>
            <w:pPr>
              <w:pStyle w:val="CeldaAPA"/>
            </w:pPr>
          </w:p>
        </w:tc>
        <w:tc>
          <w:tcPr>
            <w:tcW w:w="1434" w:type="dxa"/>
          </w:tcPr>
          <w:p>
            <w:pPr>
              <w:pStyle w:val="CeldaAPA"/>
            </w:pPr>
          </w:p>
        </w:tc>
        <w:tc>
          <w:tcPr>
            <w:tcW w:w="1469" w:type="dxa"/>
          </w:tcPr>
          <w:p>
            <w:pPr>
              <w:pStyle w:val="CeldaAPA"/>
            </w:pPr>
          </w:p>
        </w:tc>
      </w:tr>
      <w:tr>
        <w:tc>
          <w:tcPr>
            <w:tcW w:w="1000" w:type="dxa"/>
          </w:tcPr>
          <w:p>
            <w:pPr>
              <w:pStyle w:val="CeldaAPA"/>
            </w:pPr>
          </w:p>
        </w:tc>
        <w:tc>
          <w:tcPr>
            <w:tcW w:w="1666" w:type="dxa"/>
          </w:tcPr>
          <w:p>
            <w:pPr>
              <w:pStyle w:val="CeldaAPA"/>
            </w:pPr>
          </w:p>
        </w:tc>
        <w:tc>
          <w:tcPr>
            <w:tcW w:w="1167" w:type="dxa"/>
          </w:tcPr>
          <w:p>
            <w:pPr>
              <w:pStyle w:val="CeldaAPA"/>
            </w:pPr>
          </w:p>
        </w:tc>
        <w:tc>
          <w:tcPr>
            <w:tcW w:w="1032" w:type="dxa"/>
          </w:tcPr>
          <w:p>
            <w:pPr>
              <w:pStyle w:val="CeldaAPA"/>
            </w:pPr>
          </w:p>
        </w:tc>
        <w:tc>
          <w:tcPr>
            <w:tcW w:w="1572" w:type="dxa"/>
          </w:tcPr>
          <w:p>
            <w:pPr>
              <w:pStyle w:val="CeldaAPA"/>
            </w:pPr>
          </w:p>
        </w:tc>
        <w:tc>
          <w:tcPr>
            <w:tcW w:w="948" w:type="dxa"/>
          </w:tcPr>
          <w:p>
            <w:pPr>
              <w:pStyle w:val="CeldaAPA"/>
            </w:pPr>
          </w:p>
        </w:tc>
        <w:tc>
          <w:tcPr>
            <w:tcW w:w="1434" w:type="dxa"/>
          </w:tcPr>
          <w:p>
            <w:pPr>
              <w:pStyle w:val="CeldaAPA"/>
            </w:pPr>
          </w:p>
        </w:tc>
        <w:tc>
          <w:tcPr>
            <w:tcW w:w="1469" w:type="dxa"/>
          </w:tcPr>
          <w:p>
            <w:pPr>
              <w:pStyle w:val="CeldaAPA"/>
            </w:pPr>
          </w:p>
        </w:tc>
      </w:tr>
      <w:tr>
        <w:tc>
          <w:tcPr>
            <w:tcW w:w="1000" w:type="dxa"/>
          </w:tcPr>
          <w:p>
            <w:pPr>
              <w:pStyle w:val="CeldaAPA"/>
            </w:pPr>
          </w:p>
        </w:tc>
        <w:tc>
          <w:tcPr>
            <w:tcW w:w="1666" w:type="dxa"/>
          </w:tcPr>
          <w:p>
            <w:pPr>
              <w:pStyle w:val="CeldaAPA"/>
            </w:pPr>
          </w:p>
        </w:tc>
        <w:tc>
          <w:tcPr>
            <w:tcW w:w="1167" w:type="dxa"/>
          </w:tcPr>
          <w:p>
            <w:pPr>
              <w:pStyle w:val="CeldaAPA"/>
            </w:pPr>
          </w:p>
        </w:tc>
        <w:tc>
          <w:tcPr>
            <w:tcW w:w="1032" w:type="dxa"/>
          </w:tcPr>
          <w:p>
            <w:pPr>
              <w:pStyle w:val="CeldaAPA"/>
            </w:pPr>
          </w:p>
        </w:tc>
        <w:tc>
          <w:tcPr>
            <w:tcW w:w="1572" w:type="dxa"/>
          </w:tcPr>
          <w:p>
            <w:pPr>
              <w:pStyle w:val="CeldaAPA"/>
            </w:pPr>
          </w:p>
        </w:tc>
        <w:tc>
          <w:tcPr>
            <w:tcW w:w="948" w:type="dxa"/>
          </w:tcPr>
          <w:p>
            <w:pPr>
              <w:pStyle w:val="CeldaAPA"/>
            </w:pPr>
          </w:p>
        </w:tc>
        <w:tc>
          <w:tcPr>
            <w:tcW w:w="1434" w:type="dxa"/>
          </w:tcPr>
          <w:p>
            <w:pPr>
              <w:pStyle w:val="CeldaAPA"/>
            </w:pPr>
          </w:p>
        </w:tc>
        <w:tc>
          <w:tcPr>
            <w:tcW w:w="1469" w:type="dxa"/>
          </w:tcPr>
          <w:p>
            <w:pPr>
              <w:pStyle w:val="CeldaAPA"/>
            </w:pPr>
          </w:p>
        </w:tc>
      </w:tr>
      <w:tr>
        <w:tc>
          <w:tcPr>
            <w:tcW w:w="1000" w:type="dxa"/>
          </w:tcPr>
          <w:p>
            <w:pPr>
              <w:pStyle w:val="CeldaAPA"/>
            </w:pPr>
          </w:p>
        </w:tc>
        <w:tc>
          <w:tcPr>
            <w:tcW w:w="1666" w:type="dxa"/>
          </w:tcPr>
          <w:p>
            <w:pPr>
              <w:pStyle w:val="CeldaAPA"/>
            </w:pPr>
          </w:p>
        </w:tc>
        <w:tc>
          <w:tcPr>
            <w:tcW w:w="1167" w:type="dxa"/>
          </w:tcPr>
          <w:p>
            <w:pPr>
              <w:pStyle w:val="CeldaAPA"/>
            </w:pPr>
          </w:p>
        </w:tc>
        <w:tc>
          <w:tcPr>
            <w:tcW w:w="1032" w:type="dxa"/>
          </w:tcPr>
          <w:p>
            <w:pPr>
              <w:pStyle w:val="CeldaAPA"/>
            </w:pPr>
          </w:p>
        </w:tc>
        <w:tc>
          <w:tcPr>
            <w:tcW w:w="1572" w:type="dxa"/>
          </w:tcPr>
          <w:p>
            <w:pPr>
              <w:pStyle w:val="CeldaAPA"/>
            </w:pPr>
          </w:p>
        </w:tc>
        <w:tc>
          <w:tcPr>
            <w:tcW w:w="948" w:type="dxa"/>
          </w:tcPr>
          <w:p>
            <w:pPr>
              <w:pStyle w:val="CeldaAPA"/>
            </w:pPr>
          </w:p>
        </w:tc>
        <w:tc>
          <w:tcPr>
            <w:tcW w:w="1434" w:type="dxa"/>
          </w:tcPr>
          <w:p>
            <w:pPr>
              <w:pStyle w:val="CeldaAPA"/>
            </w:pPr>
          </w:p>
        </w:tc>
        <w:tc>
          <w:tcPr>
            <w:tcW w:w="1469" w:type="dxa"/>
          </w:tcPr>
          <w:p>
            <w:pPr>
              <w:pStyle w:val="CeldaAPA"/>
            </w:pPr>
          </w:p>
        </w:tc>
      </w:tr>
    </w:tbl>
    <w:p>
      <w:pPr>
        <w:pStyle w:val="BodyText"/>
        <w:spacing w:before="240"/>
      </w:pPr>
      <w:r>
        <w:rPr>
          <w:bCs/>
          <w:b/>
        </w:rPr>
        <w:t xml:space="preserve">(c) Conciliación del paño</w:t>
      </w:r>
      <w:r>
        <w:t xml:space="preserve"> </w:t>
      </w:r>
      <w:r>
        <w:t xml:space="preserve">Losa N.</w:t>
      </w:r>
      <w:r>
        <w:rPr>
          <w:vertAlign w:val="superscript"/>
        </w:rPr>
        <w:t xml:space="preserve">o</w:t>
      </w:r>
      <w:r>
        <w:t xml:space="preserve"> </w:t>
      </w:r>
      <w:r>
        <w:rPr>
          <w:u w:val="single"/>
        </w:rPr>
        <w:t xml:space="preserve"> </w:t>
      </w:r>
      <w:r>
        <w:t xml:space="preserve"> </w:t>
      </w:r>
      <w:r>
        <w:t xml:space="preserve">Paño N.</w:t>
      </w:r>
      <w:r>
        <w:rPr>
          <w:vertAlign w:val="superscript"/>
        </w:rPr>
        <w:t xml:space="preserve">o</w:t>
      </w:r>
      <w:r>
        <w:t xml:space="preserve"> </w:t>
      </w:r>
      <w:r>
        <w:rPr>
          <w:u w:val="single"/>
        </w:rPr>
        <w:t xml:space="preserve"> </w:t>
      </w:r>
      <w:r>
        <w:t xml:space="preserve"> </w:t>
      </w:r>
      <w:r>
        <w:t xml:space="preserve">Área (m</w:t>
      </w:r>
      <w:r>
        <w:rPr>
          <w:vertAlign w:val="superscript"/>
        </w:rPr>
        <w:t xml:space="preserve">2</w:t>
      </w:r>
      <w:r>
        <w:t xml:space="preserve">)</w:t>
      </w:r>
      <w:r>
        <w:t xml:space="preserve"> </w:t>
      </w:r>
      <w:r>
        <w:rPr>
          <w:u w:val="single"/>
        </w:rPr>
        <w:t xml:space="preserve"> </w:t>
      </w:r>
      <w:r>
        <w:t xml:space="preserve"> </w:t>
      </w:r>
      <w:r>
        <w:t xml:space="preserve">Fechas</w:t>
      </w:r>
      <w:r>
        <w:t xml:space="preserve"> </w:t>
      </w:r>
      <w:r>
        <w:rPr>
          <w:u w:val="single"/>
        </w:rPr>
        <w:t xml:space="preserve"> </w:t>
      </w:r>
    </w:p>
    <w:tbl>
      <w:tblPr>
        <w:tblStyle w:val="Table"/>
        <w:tblW w:w="12163"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1" w:lastRow="0" w:firstColumn="0" w:lastColumn="0" w:noHBand="0" w:noVBand="0" w:val="0020"/>
      </w:tblPr>
      <w:tblGrid>
        <w:gridCol w:w="1725"/>
        <w:gridCol w:w="1083"/>
        <w:gridCol w:w="1275"/>
        <w:gridCol w:w="1140"/>
        <w:gridCol w:w="1261"/>
        <w:gridCol w:w="650"/>
        <w:gridCol w:w="811"/>
        <w:gridCol w:w="873"/>
        <w:gridCol w:w="1394"/>
        <w:gridCol w:w="857"/>
        <w:gridCol w:w="1094"/>
      </w:tblGrid>
      <w:tr>
        <w:trPr>
          <w:cantSplit/>
          <w:tblHeader w:val="true"/>
        </w:trPr>
        <w:tc>
          <w:tcPr>
            <w:tcW w:w="1725" w:type="dxa"/>
          </w:tcPr>
          <w:p>
            <w:pPr>
              <w:pStyle w:val="CeldaAPA"/>
              <w:jc w:val="left"/>
            </w:pPr>
            <w:r>
              <w:rPr>
                <w:bCs/>
                <w:b/>
                <w:sz w:val="20"/>
                <w:szCs w:val="20"/>
              </w:rPr>
              <w:t xml:space="preserve">Material</w:t>
            </w:r>
          </w:p>
        </w:tc>
        <w:tc>
          <w:tcPr>
            <w:tcW w:w="1083" w:type="dxa"/>
          </w:tcPr>
          <w:p>
            <w:pPr>
              <w:pStyle w:val="CeldaAPA"/>
              <w:jc w:val="center"/>
            </w:pPr>
            <w:r>
              <w:rPr>
                <w:bCs/>
                <w:b/>
                <w:sz w:val="20"/>
                <w:szCs w:val="20"/>
              </w:rPr>
              <w:t xml:space="preserve">Unidad</w:t>
            </w:r>
          </w:p>
        </w:tc>
        <w:tc>
          <w:tcPr>
            <w:tcW w:w="1275" w:type="dxa"/>
          </w:tcPr>
          <w:p>
            <w:pPr>
              <w:pStyle w:val="CeldaAPA"/>
              <w:jc w:val="center"/>
            </w:pPr>
            <m:oMath>
              <m:sSub>
                <m:e>
                  <m:r>
                    <m:t>Q</m:t>
                  </m:r>
                </m:e>
                <m:sub>
                  <m:r>
                    <m:t>T</m:t>
                  </m:r>
                </m:sub>
              </m:sSub>
            </m:oMath>
            <w:r>
              <w:rPr>
                <w:bCs/>
                <w:b/>
                <w:sz w:val="20"/>
                <w:szCs w:val="20"/>
              </w:rPr>
              <w:t xml:space="preserve"> </w:t>
            </w:r>
            <w:r>
              <w:rPr>
                <w:bCs/>
                <w:b/>
                <w:sz w:val="20"/>
                <w:szCs w:val="20"/>
              </w:rPr>
              <w:t xml:space="preserve">(planos)</w:t>
            </w:r>
          </w:p>
        </w:tc>
        <w:tc>
          <w:tcPr>
            <w:tcW w:w="1140" w:type="dxa"/>
          </w:tcPr>
          <w:p>
            <w:pPr>
              <w:pStyle w:val="CeldaAPA"/>
              <w:jc w:val="center"/>
            </w:pPr>
            <m:oMath>
              <m:sSub>
                <m:e>
                  <m:r>
                    <m:t>Q</m:t>
                  </m:r>
                </m:e>
                <m:sub>
                  <m:r>
                    <m:t>D</m:t>
                  </m:r>
                </m:sub>
              </m:sSub>
            </m:oMath>
            <w:r>
              <w:rPr>
                <w:bCs/>
                <w:b/>
                <w:sz w:val="20"/>
                <w:szCs w:val="20"/>
              </w:rPr>
              <w:t xml:space="preserve"> </w:t>
            </w:r>
            <w:r>
              <w:rPr>
                <w:bCs/>
                <w:b/>
                <w:sz w:val="20"/>
                <w:szCs w:val="20"/>
              </w:rPr>
              <w:t xml:space="preserve">(vales)</w:t>
            </w:r>
          </w:p>
        </w:tc>
        <w:tc>
          <w:tcPr>
            <w:tcW w:w="1261" w:type="dxa"/>
          </w:tcPr>
          <w:p>
            <w:pPr>
              <w:pStyle w:val="CeldaAPA"/>
              <w:jc w:val="center"/>
            </w:pPr>
            <m:oMath>
              <m:sSub>
                <m:e>
                  <m:r>
                    <m:t>Q</m:t>
                  </m:r>
                </m:e>
                <m:sub>
                  <m:r>
                    <m:t>V</m:t>
                  </m:r>
                </m:sub>
              </m:sSub>
            </m:oMath>
            <w:r>
              <w:rPr>
                <w:bCs/>
                <w:b/>
                <w:sz w:val="20"/>
                <w:szCs w:val="20"/>
              </w:rPr>
              <w:t xml:space="preserve"> </w:t>
            </w:r>
            <w:r>
              <w:rPr>
                <w:bCs/>
                <w:b/>
                <w:sz w:val="20"/>
                <w:szCs w:val="20"/>
              </w:rPr>
              <w:t xml:space="preserve">(devol.)</w:t>
            </w:r>
          </w:p>
        </w:tc>
        <w:tc>
          <w:tcPr>
            <w:tcW w:w="650" w:type="dxa"/>
          </w:tcPr>
          <w:p>
            <w:pPr>
              <w:pStyle w:val="CeldaAPA"/>
              <w:jc w:val="center"/>
            </w:pPr>
            <m:oMath>
              <m:sSub>
                <m:e>
                  <m:r>
                    <m:t>Q</m:t>
                  </m:r>
                </m:e>
                <m:sub>
                  <m:r>
                    <m:t>C</m:t>
                  </m:r>
                </m:sub>
              </m:sSub>
            </m:oMath>
          </w:p>
        </w:tc>
        <w:tc>
          <w:tcPr>
            <w:tcW w:w="811" w:type="dxa"/>
          </w:tcPr>
          <w:p>
            <w:pPr>
              <w:pStyle w:val="CeldaAPA"/>
              <w:jc w:val="center"/>
            </w:pPr>
            <m:oMath>
              <m:r>
                <m:t>I</m:t>
              </m:r>
              <m:r>
                <m:t>D</m:t>
              </m:r>
              <m:r>
                <m:t>M</m:t>
              </m:r>
            </m:oMath>
            <w:r>
              <w:rPr>
                <w:bCs/>
                <w:b/>
                <w:sz w:val="20"/>
                <w:szCs w:val="20"/>
              </w:rPr>
              <w:t xml:space="preserve"> </w:t>
            </w:r>
            <w:r>
              <w:rPr>
                <w:bCs/>
                <w:b/>
                <w:sz w:val="20"/>
                <w:szCs w:val="20"/>
              </w:rPr>
              <w:t xml:space="preserve">(%)</w:t>
            </w:r>
          </w:p>
        </w:tc>
        <w:tc>
          <w:tcPr>
            <w:tcW w:w="873" w:type="dxa"/>
          </w:tcPr>
          <w:p>
            <w:pPr>
              <w:pStyle w:val="CeldaAPA"/>
              <w:jc w:val="center"/>
            </w:pPr>
            <w:r>
              <w:rPr>
                <w:bCs/>
                <w:b/>
                <w:sz w:val="20"/>
                <w:szCs w:val="20"/>
              </w:rPr>
              <w:t xml:space="preserve">Meta (%)</w:t>
            </w:r>
          </w:p>
        </w:tc>
        <w:tc>
          <w:tcPr>
            <w:tcW w:w="1394" w:type="dxa"/>
          </w:tcPr>
          <w:p>
            <w:pPr>
              <w:pStyle w:val="CeldaAPA"/>
              <w:jc w:val="center"/>
            </w:pPr>
            <m:oMath>
              <m:sSub>
                <m:e>
                  <m:r>
                    <m:t>Q</m:t>
                  </m:r>
                </m:e>
                <m:sub>
                  <m:r>
                    <m:t>M</m:t>
                  </m:r>
                </m:sub>
              </m:sSub>
            </m:oMath>
            <w:r>
              <w:rPr>
                <w:bCs/>
                <w:b/>
                <w:sz w:val="20"/>
                <w:szCs w:val="20"/>
              </w:rPr>
              <w:t xml:space="preserve"> </w:t>
            </w:r>
            <w:r>
              <w:rPr>
                <w:bCs/>
                <w:b/>
                <w:sz w:val="20"/>
                <w:szCs w:val="20"/>
              </w:rPr>
              <w:t xml:space="preserve">(medida)</w:t>
            </w:r>
          </w:p>
        </w:tc>
        <w:tc>
          <w:tcPr>
            <w:tcW w:w="857" w:type="dxa"/>
          </w:tcPr>
          <w:p>
            <w:pPr>
              <w:pStyle w:val="CeldaAPA"/>
              <w:jc w:val="center"/>
            </w:pPr>
            <m:oMath>
              <m:sSub>
                <m:e>
                  <m:r>
                    <m:t>δ</m:t>
                  </m:r>
                </m:e>
                <m:sub>
                  <m:r>
                    <m:t>M</m:t>
                  </m:r>
                  <m:r>
                    <m:rPr>
                      <m:sty m:val="p"/>
                    </m:rPr>
                    <m:t>/</m:t>
                  </m:r>
                  <m:r>
                    <m:t>T</m:t>
                  </m:r>
                </m:sub>
              </m:sSub>
            </m:oMath>
            <w:r>
              <w:rPr>
                <w:bCs/>
                <w:b/>
                <w:sz w:val="20"/>
                <w:szCs w:val="20"/>
              </w:rPr>
              <w:t xml:space="preserve"> </w:t>
            </w:r>
            <w:r>
              <w:rPr>
                <w:bCs/>
                <w:b/>
                <w:sz w:val="20"/>
                <w:szCs w:val="20"/>
              </w:rPr>
              <w:t xml:space="preserve">(%)</w:t>
            </w:r>
          </w:p>
        </w:tc>
        <w:tc>
          <w:tcPr>
            <w:tcW w:w="1094" w:type="dxa"/>
          </w:tcPr>
          <w:p>
            <w:pPr>
              <w:pStyle w:val="CeldaAPA"/>
              <w:jc w:val="center"/>
            </w:pPr>
            <w:r>
              <w:rPr>
                <w:bCs/>
                <w:b/>
                <w:sz w:val="20"/>
                <w:szCs w:val="20"/>
              </w:rPr>
              <w:t xml:space="preserve">Alerta (S/N)</w:t>
            </w:r>
          </w:p>
        </w:tc>
      </w:tr>
      <w:tr>
        <w:tc>
          <w:tcPr>
            <w:tcW w:w="1725" w:type="dxa"/>
          </w:tcPr>
          <w:p>
            <w:pPr>
              <w:pStyle w:val="CeldaAPA"/>
              <w:jc w:val="left"/>
            </w:pPr>
            <w:r>
              <w:rPr>
                <w:sz w:val="20"/>
                <w:szCs w:val="20"/>
              </w:rPr>
              <w:t xml:space="preserve">Viguetas tipo</w:t>
            </w:r>
            <w:r>
              <w:rPr>
                <w:sz w:val="20"/>
                <w:szCs w:val="20"/>
              </w:rPr>
              <w:t xml:space="preserve"> </w:t>
            </w:r>
            <w:r>
              <w:rPr>
                <w:u w:val="single"/>
                <w:sz w:val="20"/>
                <w:szCs w:val="20"/>
              </w:rPr>
              <w:t xml:space="preserve"> </w:t>
            </w:r>
          </w:p>
        </w:tc>
        <w:tc>
          <w:tcPr>
            <w:tcW w:w="1083" w:type="dxa"/>
          </w:tcPr>
          <w:p>
            <w:pPr>
              <w:pStyle w:val="CeldaAPA"/>
              <w:jc w:val="center"/>
            </w:pPr>
            <w:r>
              <w:rPr>
                <w:sz w:val="20"/>
                <w:szCs w:val="20"/>
              </w:rPr>
              <w:t xml:space="preserve">m</w:t>
            </w:r>
          </w:p>
        </w:tc>
        <w:tc>
          <w:tcPr>
            <w:tcW w:w="1275" w:type="dxa"/>
          </w:tcPr>
          <w:p>
            <w:pPr>
              <w:pStyle w:val="CeldaAPA"/>
            </w:pPr>
          </w:p>
        </w:tc>
        <w:tc>
          <w:tcPr>
            <w:tcW w:w="1140" w:type="dxa"/>
          </w:tcPr>
          <w:p>
            <w:pPr>
              <w:pStyle w:val="CeldaAPA"/>
            </w:pPr>
          </w:p>
        </w:tc>
        <w:tc>
          <w:tcPr>
            <w:tcW w:w="1261" w:type="dxa"/>
          </w:tcPr>
          <w:p>
            <w:pPr>
              <w:pStyle w:val="CeldaAPA"/>
            </w:pPr>
          </w:p>
        </w:tc>
        <w:tc>
          <w:tcPr>
            <w:tcW w:w="650" w:type="dxa"/>
          </w:tcPr>
          <w:p>
            <w:pPr>
              <w:pStyle w:val="CeldaAPA"/>
            </w:pPr>
          </w:p>
        </w:tc>
        <w:tc>
          <w:tcPr>
            <w:tcW w:w="811" w:type="dxa"/>
          </w:tcPr>
          <w:p>
            <w:pPr>
              <w:pStyle w:val="CeldaAPA"/>
            </w:pPr>
          </w:p>
        </w:tc>
        <w:tc>
          <w:tcPr>
            <w:tcW w:w="873" w:type="dxa"/>
          </w:tcPr>
          <w:p>
            <w:pPr>
              <w:pStyle w:val="CeldaAPA"/>
              <w:jc w:val="center"/>
            </w:pPr>
            <w:r>
              <w:rPr>
                <w:sz w:val="20"/>
                <w:szCs w:val="20"/>
              </w:rPr>
              <w:t xml:space="preserve">1</w:t>
            </w:r>
          </w:p>
        </w:tc>
        <w:tc>
          <w:tcPr>
            <w:tcW w:w="1394" w:type="dxa"/>
          </w:tcPr>
          <w:p>
            <w:pPr>
              <w:pStyle w:val="CeldaAPA"/>
            </w:pPr>
          </w:p>
        </w:tc>
        <w:tc>
          <w:tcPr>
            <w:tcW w:w="857" w:type="dxa"/>
          </w:tcPr>
          <w:p>
            <w:pPr>
              <w:pStyle w:val="CeldaAPA"/>
            </w:pPr>
          </w:p>
        </w:tc>
        <w:tc>
          <w:tcPr>
            <w:tcW w:w="1094" w:type="dxa"/>
          </w:tcPr>
          <w:p>
            <w:pPr>
              <w:pStyle w:val="CeldaAPA"/>
            </w:pPr>
          </w:p>
        </w:tc>
      </w:tr>
      <w:tr>
        <w:tc>
          <w:tcPr>
            <w:tcW w:w="1725" w:type="dxa"/>
          </w:tcPr>
          <w:p>
            <w:pPr>
              <w:pStyle w:val="CeldaAPA"/>
              <w:jc w:val="left"/>
            </w:pPr>
            <w:r>
              <w:rPr>
                <w:sz w:val="20"/>
                <w:szCs w:val="20"/>
              </w:rPr>
              <w:t xml:space="preserve">Viguetas tipo</w:t>
            </w:r>
            <w:r>
              <w:rPr>
                <w:sz w:val="20"/>
                <w:szCs w:val="20"/>
              </w:rPr>
              <w:t xml:space="preserve"> </w:t>
            </w:r>
            <w:r>
              <w:rPr>
                <w:u w:val="single"/>
                <w:sz w:val="20"/>
                <w:szCs w:val="20"/>
              </w:rPr>
              <w:t xml:space="preserve"> </w:t>
            </w:r>
          </w:p>
        </w:tc>
        <w:tc>
          <w:tcPr>
            <w:tcW w:w="1083" w:type="dxa"/>
          </w:tcPr>
          <w:p>
            <w:pPr>
              <w:pStyle w:val="CeldaAPA"/>
              <w:jc w:val="center"/>
            </w:pPr>
            <w:r>
              <w:rPr>
                <w:sz w:val="20"/>
                <w:szCs w:val="20"/>
              </w:rPr>
              <w:t xml:space="preserve">m</w:t>
            </w:r>
          </w:p>
        </w:tc>
        <w:tc>
          <w:tcPr>
            <w:tcW w:w="1275" w:type="dxa"/>
          </w:tcPr>
          <w:p>
            <w:pPr>
              <w:pStyle w:val="CeldaAPA"/>
            </w:pPr>
          </w:p>
        </w:tc>
        <w:tc>
          <w:tcPr>
            <w:tcW w:w="1140" w:type="dxa"/>
          </w:tcPr>
          <w:p>
            <w:pPr>
              <w:pStyle w:val="CeldaAPA"/>
            </w:pPr>
          </w:p>
        </w:tc>
        <w:tc>
          <w:tcPr>
            <w:tcW w:w="1261" w:type="dxa"/>
          </w:tcPr>
          <w:p>
            <w:pPr>
              <w:pStyle w:val="CeldaAPA"/>
            </w:pPr>
          </w:p>
        </w:tc>
        <w:tc>
          <w:tcPr>
            <w:tcW w:w="650" w:type="dxa"/>
          </w:tcPr>
          <w:p>
            <w:pPr>
              <w:pStyle w:val="CeldaAPA"/>
            </w:pPr>
          </w:p>
        </w:tc>
        <w:tc>
          <w:tcPr>
            <w:tcW w:w="811" w:type="dxa"/>
          </w:tcPr>
          <w:p>
            <w:pPr>
              <w:pStyle w:val="CeldaAPA"/>
            </w:pPr>
          </w:p>
        </w:tc>
        <w:tc>
          <w:tcPr>
            <w:tcW w:w="873" w:type="dxa"/>
          </w:tcPr>
          <w:p>
            <w:pPr>
              <w:pStyle w:val="CeldaAPA"/>
              <w:jc w:val="center"/>
            </w:pPr>
            <w:r>
              <w:rPr>
                <w:sz w:val="20"/>
                <w:szCs w:val="20"/>
              </w:rPr>
              <w:t xml:space="preserve">1</w:t>
            </w:r>
          </w:p>
        </w:tc>
        <w:tc>
          <w:tcPr>
            <w:tcW w:w="1394" w:type="dxa"/>
          </w:tcPr>
          <w:p>
            <w:pPr>
              <w:pStyle w:val="CeldaAPA"/>
            </w:pPr>
          </w:p>
        </w:tc>
        <w:tc>
          <w:tcPr>
            <w:tcW w:w="857" w:type="dxa"/>
          </w:tcPr>
          <w:p>
            <w:pPr>
              <w:pStyle w:val="CeldaAPA"/>
            </w:pPr>
          </w:p>
        </w:tc>
        <w:tc>
          <w:tcPr>
            <w:tcW w:w="1094" w:type="dxa"/>
          </w:tcPr>
          <w:p>
            <w:pPr>
              <w:pStyle w:val="CeldaAPA"/>
            </w:pPr>
          </w:p>
        </w:tc>
      </w:tr>
      <w:tr>
        <w:tc>
          <w:tcPr>
            <w:tcW w:w="1725" w:type="dxa"/>
          </w:tcPr>
          <w:p>
            <w:pPr>
              <w:pStyle w:val="CeldaAPA"/>
              <w:jc w:val="left"/>
            </w:pPr>
            <w:r>
              <w:rPr>
                <w:sz w:val="20"/>
                <w:szCs w:val="20"/>
              </w:rPr>
              <w:t xml:space="preserve">Complemento EPS</w:t>
            </w:r>
          </w:p>
        </w:tc>
        <w:tc>
          <w:tcPr>
            <w:tcW w:w="1083" w:type="dxa"/>
          </w:tcPr>
          <w:p>
            <w:pPr>
              <w:pStyle w:val="CeldaAPA"/>
              <w:jc w:val="center"/>
            </w:pPr>
            <w:r>
              <w:rPr>
                <w:sz w:val="20"/>
                <w:szCs w:val="20"/>
              </w:rPr>
              <w:t xml:space="preserve">pza</w:t>
            </w:r>
          </w:p>
        </w:tc>
        <w:tc>
          <w:tcPr>
            <w:tcW w:w="1275" w:type="dxa"/>
          </w:tcPr>
          <w:p>
            <w:pPr>
              <w:pStyle w:val="CeldaAPA"/>
            </w:pPr>
          </w:p>
        </w:tc>
        <w:tc>
          <w:tcPr>
            <w:tcW w:w="1140" w:type="dxa"/>
          </w:tcPr>
          <w:p>
            <w:pPr>
              <w:pStyle w:val="CeldaAPA"/>
            </w:pPr>
          </w:p>
        </w:tc>
        <w:tc>
          <w:tcPr>
            <w:tcW w:w="1261" w:type="dxa"/>
          </w:tcPr>
          <w:p>
            <w:pPr>
              <w:pStyle w:val="CeldaAPA"/>
            </w:pPr>
          </w:p>
        </w:tc>
        <w:tc>
          <w:tcPr>
            <w:tcW w:w="650" w:type="dxa"/>
          </w:tcPr>
          <w:p>
            <w:pPr>
              <w:pStyle w:val="CeldaAPA"/>
            </w:pPr>
          </w:p>
        </w:tc>
        <w:tc>
          <w:tcPr>
            <w:tcW w:w="811" w:type="dxa"/>
          </w:tcPr>
          <w:p>
            <w:pPr>
              <w:pStyle w:val="CeldaAPA"/>
            </w:pPr>
          </w:p>
        </w:tc>
        <w:tc>
          <w:tcPr>
            <w:tcW w:w="873" w:type="dxa"/>
          </w:tcPr>
          <w:p>
            <w:pPr>
              <w:pStyle w:val="CeldaAPA"/>
              <w:jc w:val="center"/>
            </w:pPr>
            <w:r>
              <w:rPr>
                <w:sz w:val="20"/>
                <w:szCs w:val="20"/>
              </w:rPr>
              <w:t xml:space="preserve">3</w:t>
            </w:r>
          </w:p>
        </w:tc>
        <w:tc>
          <w:tcPr>
            <w:tcW w:w="1394" w:type="dxa"/>
          </w:tcPr>
          <w:p>
            <w:pPr>
              <w:pStyle w:val="CeldaAPA"/>
            </w:pPr>
          </w:p>
        </w:tc>
        <w:tc>
          <w:tcPr>
            <w:tcW w:w="857" w:type="dxa"/>
          </w:tcPr>
          <w:p>
            <w:pPr>
              <w:pStyle w:val="CeldaAPA"/>
            </w:pPr>
          </w:p>
        </w:tc>
        <w:tc>
          <w:tcPr>
            <w:tcW w:w="1094" w:type="dxa"/>
          </w:tcPr>
          <w:p>
            <w:pPr>
              <w:pStyle w:val="CeldaAPA"/>
            </w:pPr>
          </w:p>
        </w:tc>
      </w:tr>
      <w:tr>
        <w:tc>
          <w:tcPr>
            <w:tcW w:w="1725" w:type="dxa"/>
          </w:tcPr>
          <w:p>
            <w:pPr>
              <w:pStyle w:val="CeldaAPA"/>
              <w:jc w:val="left"/>
            </w:pPr>
            <w:r>
              <w:rPr>
                <w:sz w:val="20"/>
                <w:szCs w:val="20"/>
              </w:rPr>
              <w:t xml:space="preserve">Acero</w:t>
            </w:r>
            <w:r>
              <w:rPr>
                <w:sz w:val="20"/>
                <w:szCs w:val="20"/>
              </w:rPr>
              <w:t xml:space="preserve"> </w:t>
            </w:r>
            <m:oMath>
              <m:r>
                <m:t>ϕ</m:t>
              </m:r>
            </m:oMath>
            <w:r>
              <w:rPr>
                <w:sz w:val="20"/>
                <w:szCs w:val="20"/>
              </w:rPr>
              <w:t xml:space="preserve">6 (parrilla)</w:t>
            </w:r>
          </w:p>
        </w:tc>
        <w:tc>
          <w:tcPr>
            <w:tcW w:w="1083" w:type="dxa"/>
          </w:tcPr>
          <w:p>
            <w:pPr>
              <w:pStyle w:val="CeldaAPA"/>
              <w:jc w:val="center"/>
            </w:pPr>
            <w:r>
              <w:rPr>
                <w:sz w:val="20"/>
                <w:szCs w:val="20"/>
              </w:rPr>
              <w:t xml:space="preserve">kg</w:t>
            </w:r>
          </w:p>
        </w:tc>
        <w:tc>
          <w:tcPr>
            <w:tcW w:w="1275" w:type="dxa"/>
          </w:tcPr>
          <w:p>
            <w:pPr>
              <w:pStyle w:val="CeldaAPA"/>
            </w:pPr>
          </w:p>
        </w:tc>
        <w:tc>
          <w:tcPr>
            <w:tcW w:w="1140" w:type="dxa"/>
          </w:tcPr>
          <w:p>
            <w:pPr>
              <w:pStyle w:val="CeldaAPA"/>
            </w:pPr>
          </w:p>
        </w:tc>
        <w:tc>
          <w:tcPr>
            <w:tcW w:w="1261" w:type="dxa"/>
          </w:tcPr>
          <w:p>
            <w:pPr>
              <w:pStyle w:val="CeldaAPA"/>
            </w:pPr>
          </w:p>
        </w:tc>
        <w:tc>
          <w:tcPr>
            <w:tcW w:w="650" w:type="dxa"/>
          </w:tcPr>
          <w:p>
            <w:pPr>
              <w:pStyle w:val="CeldaAPA"/>
            </w:pPr>
          </w:p>
        </w:tc>
        <w:tc>
          <w:tcPr>
            <w:tcW w:w="811" w:type="dxa"/>
          </w:tcPr>
          <w:p>
            <w:pPr>
              <w:pStyle w:val="CeldaAPA"/>
            </w:pPr>
          </w:p>
        </w:tc>
        <w:tc>
          <w:tcPr>
            <w:tcW w:w="873" w:type="dxa"/>
          </w:tcPr>
          <w:p>
            <w:pPr>
              <w:pStyle w:val="CeldaAPA"/>
              <w:jc w:val="center"/>
            </w:pPr>
            <w:r>
              <w:rPr>
                <w:sz w:val="20"/>
                <w:szCs w:val="20"/>
              </w:rPr>
              <w:t xml:space="preserve">4</w:t>
            </w:r>
          </w:p>
        </w:tc>
        <w:tc>
          <w:tcPr>
            <w:tcW w:w="1394" w:type="dxa"/>
          </w:tcPr>
          <w:p>
            <w:pPr>
              <w:pStyle w:val="CeldaAPA"/>
            </w:pPr>
          </w:p>
        </w:tc>
        <w:tc>
          <w:tcPr>
            <w:tcW w:w="857" w:type="dxa"/>
          </w:tcPr>
          <w:p>
            <w:pPr>
              <w:pStyle w:val="CeldaAPA"/>
            </w:pPr>
          </w:p>
        </w:tc>
        <w:tc>
          <w:tcPr>
            <w:tcW w:w="1094" w:type="dxa"/>
          </w:tcPr>
          <w:p>
            <w:pPr>
              <w:pStyle w:val="CeldaAPA"/>
            </w:pPr>
          </w:p>
        </w:tc>
      </w:tr>
      <w:tr>
        <w:tc>
          <w:tcPr>
            <w:tcW w:w="1725" w:type="dxa"/>
          </w:tcPr>
          <w:p>
            <w:pPr>
              <w:pStyle w:val="CeldaAPA"/>
              <w:jc w:val="left"/>
            </w:pPr>
            <w:r>
              <w:rPr>
                <w:sz w:val="20"/>
                <w:szCs w:val="20"/>
              </w:rPr>
              <w:t xml:space="preserve">Acero</w:t>
            </w:r>
            <w:r>
              <w:rPr>
                <w:sz w:val="20"/>
                <w:szCs w:val="20"/>
              </w:rPr>
              <w:t xml:space="preserve"> </w:t>
            </w:r>
            <m:oMath>
              <m:r>
                <m:t>ϕ</m:t>
              </m:r>
            </m:oMath>
            <w:r>
              <w:rPr>
                <w:sz w:val="20"/>
                <w:szCs w:val="20"/>
              </w:rPr>
              <w:t xml:space="preserve"> </w:t>
            </w:r>
            <w:r>
              <w:rPr>
                <w:u w:val="single"/>
                <w:sz w:val="20"/>
                <w:szCs w:val="20"/>
              </w:rPr>
              <w:t xml:space="preserve"> </w:t>
            </w:r>
            <w:r>
              <w:rPr>
                <w:sz w:val="20"/>
                <w:szCs w:val="20"/>
              </w:rPr>
              <w:t xml:space="preserve"> </w:t>
            </w:r>
            <w:r>
              <w:rPr>
                <w:sz w:val="20"/>
                <w:szCs w:val="20"/>
              </w:rPr>
              <w:t xml:space="preserve">(nervios)</w:t>
            </w:r>
          </w:p>
        </w:tc>
        <w:tc>
          <w:tcPr>
            <w:tcW w:w="1083" w:type="dxa"/>
          </w:tcPr>
          <w:p>
            <w:pPr>
              <w:pStyle w:val="CeldaAPA"/>
              <w:jc w:val="center"/>
            </w:pPr>
            <w:r>
              <w:rPr>
                <w:sz w:val="20"/>
                <w:szCs w:val="20"/>
              </w:rPr>
              <w:t xml:space="preserve">kg</w:t>
            </w:r>
          </w:p>
        </w:tc>
        <w:tc>
          <w:tcPr>
            <w:tcW w:w="1275" w:type="dxa"/>
          </w:tcPr>
          <w:p>
            <w:pPr>
              <w:pStyle w:val="CeldaAPA"/>
            </w:pPr>
          </w:p>
        </w:tc>
        <w:tc>
          <w:tcPr>
            <w:tcW w:w="1140" w:type="dxa"/>
          </w:tcPr>
          <w:p>
            <w:pPr>
              <w:pStyle w:val="CeldaAPA"/>
            </w:pPr>
          </w:p>
        </w:tc>
        <w:tc>
          <w:tcPr>
            <w:tcW w:w="1261" w:type="dxa"/>
          </w:tcPr>
          <w:p>
            <w:pPr>
              <w:pStyle w:val="CeldaAPA"/>
            </w:pPr>
          </w:p>
        </w:tc>
        <w:tc>
          <w:tcPr>
            <w:tcW w:w="650" w:type="dxa"/>
          </w:tcPr>
          <w:p>
            <w:pPr>
              <w:pStyle w:val="CeldaAPA"/>
            </w:pPr>
          </w:p>
        </w:tc>
        <w:tc>
          <w:tcPr>
            <w:tcW w:w="811" w:type="dxa"/>
          </w:tcPr>
          <w:p>
            <w:pPr>
              <w:pStyle w:val="CeldaAPA"/>
            </w:pPr>
          </w:p>
        </w:tc>
        <w:tc>
          <w:tcPr>
            <w:tcW w:w="873" w:type="dxa"/>
          </w:tcPr>
          <w:p>
            <w:pPr>
              <w:pStyle w:val="CeldaAPA"/>
              <w:jc w:val="center"/>
            </w:pPr>
            <w:r>
              <w:rPr>
                <w:sz w:val="20"/>
                <w:szCs w:val="20"/>
              </w:rPr>
              <w:t xml:space="preserve">4</w:t>
            </w:r>
          </w:p>
        </w:tc>
        <w:tc>
          <w:tcPr>
            <w:tcW w:w="1394" w:type="dxa"/>
          </w:tcPr>
          <w:p>
            <w:pPr>
              <w:pStyle w:val="CeldaAPA"/>
            </w:pPr>
          </w:p>
        </w:tc>
        <w:tc>
          <w:tcPr>
            <w:tcW w:w="857" w:type="dxa"/>
          </w:tcPr>
          <w:p>
            <w:pPr>
              <w:pStyle w:val="CeldaAPA"/>
            </w:pPr>
          </w:p>
        </w:tc>
        <w:tc>
          <w:tcPr>
            <w:tcW w:w="1094" w:type="dxa"/>
          </w:tcPr>
          <w:p>
            <w:pPr>
              <w:pStyle w:val="CeldaAPA"/>
            </w:pPr>
          </w:p>
        </w:tc>
      </w:tr>
      <w:tr>
        <w:tc>
          <w:tcPr>
            <w:tcW w:w="1725" w:type="dxa"/>
          </w:tcPr>
          <w:p>
            <w:pPr>
              <w:pStyle w:val="CeldaAPA"/>
              <w:jc w:val="left"/>
            </w:pPr>
            <w:r>
              <w:rPr>
                <w:sz w:val="20"/>
                <w:szCs w:val="20"/>
              </w:rPr>
              <w:t xml:space="preserve">Acero</w:t>
            </w:r>
            <w:r>
              <w:rPr>
                <w:sz w:val="20"/>
                <w:szCs w:val="20"/>
              </w:rPr>
              <w:t xml:space="preserve"> </w:t>
            </w:r>
            <m:oMath>
              <m:r>
                <m:t>ϕ</m:t>
              </m:r>
            </m:oMath>
            <w:r>
              <w:rPr>
                <w:sz w:val="20"/>
                <w:szCs w:val="20"/>
              </w:rPr>
              <w:t xml:space="preserve"> </w:t>
            </w:r>
            <w:r>
              <w:rPr>
                <w:u w:val="single"/>
                <w:sz w:val="20"/>
                <w:szCs w:val="20"/>
              </w:rPr>
              <w:t xml:space="preserve"> </w:t>
            </w:r>
            <w:r>
              <w:rPr>
                <w:sz w:val="20"/>
                <w:szCs w:val="20"/>
              </w:rPr>
              <w:t xml:space="preserve"> </w:t>
            </w:r>
            <w:r>
              <w:rPr>
                <w:sz w:val="20"/>
                <w:szCs w:val="20"/>
              </w:rPr>
              <w:t xml:space="preserve">(negativos)</w:t>
            </w:r>
          </w:p>
        </w:tc>
        <w:tc>
          <w:tcPr>
            <w:tcW w:w="1083" w:type="dxa"/>
          </w:tcPr>
          <w:p>
            <w:pPr>
              <w:pStyle w:val="CeldaAPA"/>
              <w:jc w:val="center"/>
            </w:pPr>
            <w:r>
              <w:rPr>
                <w:sz w:val="20"/>
                <w:szCs w:val="20"/>
              </w:rPr>
              <w:t xml:space="preserve">kg</w:t>
            </w:r>
          </w:p>
        </w:tc>
        <w:tc>
          <w:tcPr>
            <w:tcW w:w="1275" w:type="dxa"/>
          </w:tcPr>
          <w:p>
            <w:pPr>
              <w:pStyle w:val="CeldaAPA"/>
            </w:pPr>
          </w:p>
        </w:tc>
        <w:tc>
          <w:tcPr>
            <w:tcW w:w="1140" w:type="dxa"/>
          </w:tcPr>
          <w:p>
            <w:pPr>
              <w:pStyle w:val="CeldaAPA"/>
            </w:pPr>
          </w:p>
        </w:tc>
        <w:tc>
          <w:tcPr>
            <w:tcW w:w="1261" w:type="dxa"/>
          </w:tcPr>
          <w:p>
            <w:pPr>
              <w:pStyle w:val="CeldaAPA"/>
            </w:pPr>
          </w:p>
        </w:tc>
        <w:tc>
          <w:tcPr>
            <w:tcW w:w="650" w:type="dxa"/>
          </w:tcPr>
          <w:p>
            <w:pPr>
              <w:pStyle w:val="CeldaAPA"/>
            </w:pPr>
          </w:p>
        </w:tc>
        <w:tc>
          <w:tcPr>
            <w:tcW w:w="811" w:type="dxa"/>
          </w:tcPr>
          <w:p>
            <w:pPr>
              <w:pStyle w:val="CeldaAPA"/>
            </w:pPr>
          </w:p>
        </w:tc>
        <w:tc>
          <w:tcPr>
            <w:tcW w:w="873" w:type="dxa"/>
          </w:tcPr>
          <w:p>
            <w:pPr>
              <w:pStyle w:val="CeldaAPA"/>
              <w:jc w:val="center"/>
            </w:pPr>
            <w:r>
              <w:rPr>
                <w:sz w:val="20"/>
                <w:szCs w:val="20"/>
              </w:rPr>
              <w:t xml:space="preserve">4</w:t>
            </w:r>
          </w:p>
        </w:tc>
        <w:tc>
          <w:tcPr>
            <w:tcW w:w="1394" w:type="dxa"/>
          </w:tcPr>
          <w:p>
            <w:pPr>
              <w:pStyle w:val="CeldaAPA"/>
            </w:pPr>
          </w:p>
        </w:tc>
        <w:tc>
          <w:tcPr>
            <w:tcW w:w="857" w:type="dxa"/>
          </w:tcPr>
          <w:p>
            <w:pPr>
              <w:pStyle w:val="CeldaAPA"/>
            </w:pPr>
          </w:p>
        </w:tc>
        <w:tc>
          <w:tcPr>
            <w:tcW w:w="1094" w:type="dxa"/>
          </w:tcPr>
          <w:p>
            <w:pPr>
              <w:pStyle w:val="CeldaAPA"/>
            </w:pPr>
          </w:p>
        </w:tc>
      </w:tr>
      <w:tr>
        <w:tc>
          <w:tcPr>
            <w:tcW w:w="1725" w:type="dxa"/>
          </w:tcPr>
          <w:p>
            <w:pPr>
              <w:pStyle w:val="CeldaAPA"/>
              <w:jc w:val="left"/>
            </w:pPr>
            <w:r>
              <w:rPr>
                <w:sz w:val="20"/>
                <w:szCs w:val="20"/>
              </w:rPr>
              <w:t xml:space="preserve">Hormigón H25</w:t>
            </w:r>
          </w:p>
        </w:tc>
        <w:tc>
          <w:tcPr>
            <w:tcW w:w="1083" w:type="dxa"/>
          </w:tcPr>
          <w:p>
            <w:pPr>
              <w:pStyle w:val="CeldaAPA"/>
              <w:jc w:val="center"/>
            </w:pPr>
            <w:r>
              <w:rPr>
                <w:sz w:val="20"/>
                <w:szCs w:val="20"/>
              </w:rPr>
              <w:t xml:space="preserve">m</w:t>
            </w:r>
            <w:r>
              <w:rPr>
                <w:vertAlign w:val="superscript"/>
                <w:sz w:val="20"/>
                <w:szCs w:val="20"/>
              </w:rPr>
              <w:t xml:space="preserve">3</w:t>
            </w:r>
          </w:p>
        </w:tc>
        <w:tc>
          <w:tcPr>
            <w:tcW w:w="1275" w:type="dxa"/>
          </w:tcPr>
          <w:p>
            <w:pPr>
              <w:pStyle w:val="CeldaAPA"/>
            </w:pPr>
          </w:p>
        </w:tc>
        <w:tc>
          <w:tcPr>
            <w:tcW w:w="1140" w:type="dxa"/>
          </w:tcPr>
          <w:p>
            <w:pPr>
              <w:pStyle w:val="CeldaAPA"/>
            </w:pPr>
          </w:p>
        </w:tc>
        <w:tc>
          <w:tcPr>
            <w:tcW w:w="1261" w:type="dxa"/>
          </w:tcPr>
          <w:p>
            <w:pPr>
              <w:pStyle w:val="CeldaAPA"/>
            </w:pPr>
          </w:p>
        </w:tc>
        <w:tc>
          <w:tcPr>
            <w:tcW w:w="650" w:type="dxa"/>
          </w:tcPr>
          <w:p>
            <w:pPr>
              <w:pStyle w:val="CeldaAPA"/>
            </w:pPr>
          </w:p>
        </w:tc>
        <w:tc>
          <w:tcPr>
            <w:tcW w:w="811" w:type="dxa"/>
          </w:tcPr>
          <w:p>
            <w:pPr>
              <w:pStyle w:val="CeldaAPA"/>
            </w:pPr>
          </w:p>
        </w:tc>
        <w:tc>
          <w:tcPr>
            <w:tcW w:w="873" w:type="dxa"/>
          </w:tcPr>
          <w:p>
            <w:pPr>
              <w:pStyle w:val="CeldaAPA"/>
              <w:jc w:val="center"/>
            </w:pPr>
            <w:r>
              <w:rPr>
                <w:sz w:val="20"/>
                <w:szCs w:val="20"/>
              </w:rPr>
              <w:t xml:space="preserve">3</w:t>
            </w:r>
          </w:p>
        </w:tc>
        <w:tc>
          <w:tcPr>
            <w:tcW w:w="1394" w:type="dxa"/>
          </w:tcPr>
          <w:p>
            <w:pPr>
              <w:pStyle w:val="CeldaAPA"/>
            </w:pPr>
          </w:p>
        </w:tc>
        <w:tc>
          <w:tcPr>
            <w:tcW w:w="857" w:type="dxa"/>
          </w:tcPr>
          <w:p>
            <w:pPr>
              <w:pStyle w:val="CeldaAPA"/>
            </w:pPr>
          </w:p>
        </w:tc>
        <w:tc>
          <w:tcPr>
            <w:tcW w:w="1094" w:type="dxa"/>
          </w:tcPr>
          <w:p>
            <w:pPr>
              <w:pStyle w:val="CeldaAPA"/>
            </w:pPr>
          </w:p>
        </w:tc>
      </w:tr>
      <w:tr>
        <w:tc>
          <w:tcPr>
            <w:tcW w:w="1725" w:type="dxa"/>
          </w:tcPr>
          <w:p>
            <w:pPr>
              <w:pStyle w:val="CeldaAPA"/>
              <w:jc w:val="left"/>
            </w:pPr>
            <w:r>
              <w:rPr>
                <w:sz w:val="20"/>
                <w:szCs w:val="20"/>
              </w:rPr>
              <w:t xml:space="preserve">Cemento</w:t>
            </w:r>
          </w:p>
        </w:tc>
        <w:tc>
          <w:tcPr>
            <w:tcW w:w="1083" w:type="dxa"/>
          </w:tcPr>
          <w:p>
            <w:pPr>
              <w:pStyle w:val="CeldaAPA"/>
              <w:jc w:val="center"/>
            </w:pPr>
            <w:r>
              <w:rPr>
                <w:sz w:val="20"/>
                <w:szCs w:val="20"/>
              </w:rPr>
              <w:t xml:space="preserve">bolsa</w:t>
            </w:r>
          </w:p>
        </w:tc>
        <w:tc>
          <w:tcPr>
            <w:tcW w:w="1275" w:type="dxa"/>
          </w:tcPr>
          <w:p>
            <w:pPr>
              <w:pStyle w:val="CeldaAPA"/>
            </w:pPr>
          </w:p>
        </w:tc>
        <w:tc>
          <w:tcPr>
            <w:tcW w:w="1140" w:type="dxa"/>
          </w:tcPr>
          <w:p>
            <w:pPr>
              <w:pStyle w:val="CeldaAPA"/>
            </w:pPr>
          </w:p>
        </w:tc>
        <w:tc>
          <w:tcPr>
            <w:tcW w:w="1261" w:type="dxa"/>
          </w:tcPr>
          <w:p>
            <w:pPr>
              <w:pStyle w:val="CeldaAPA"/>
            </w:pPr>
          </w:p>
        </w:tc>
        <w:tc>
          <w:tcPr>
            <w:tcW w:w="650" w:type="dxa"/>
          </w:tcPr>
          <w:p>
            <w:pPr>
              <w:pStyle w:val="CeldaAPA"/>
            </w:pPr>
          </w:p>
        </w:tc>
        <w:tc>
          <w:tcPr>
            <w:tcW w:w="811" w:type="dxa"/>
          </w:tcPr>
          <w:p>
            <w:pPr>
              <w:pStyle w:val="CeldaAPA"/>
            </w:pPr>
          </w:p>
        </w:tc>
        <w:tc>
          <w:tcPr>
            <w:tcW w:w="873" w:type="dxa"/>
          </w:tcPr>
          <w:p>
            <w:pPr>
              <w:pStyle w:val="CeldaAPA"/>
            </w:pPr>
          </w:p>
        </w:tc>
        <w:tc>
          <w:tcPr>
            <w:tcW w:w="1394" w:type="dxa"/>
          </w:tcPr>
          <w:p>
            <w:pPr>
              <w:pStyle w:val="CeldaAPA"/>
            </w:pPr>
          </w:p>
        </w:tc>
        <w:tc>
          <w:tcPr>
            <w:tcW w:w="857" w:type="dxa"/>
          </w:tcPr>
          <w:p>
            <w:pPr>
              <w:pStyle w:val="CeldaAPA"/>
            </w:pPr>
          </w:p>
        </w:tc>
        <w:tc>
          <w:tcPr>
            <w:tcW w:w="1094" w:type="dxa"/>
          </w:tcPr>
          <w:p>
            <w:pPr>
              <w:pStyle w:val="CeldaAPA"/>
            </w:pPr>
          </w:p>
        </w:tc>
      </w:tr>
      <w:tr>
        <w:tc>
          <w:tcPr>
            <w:tcW w:w="1725" w:type="dxa"/>
          </w:tcPr>
          <w:p>
            <w:pPr>
              <w:pStyle w:val="CeldaAPA"/>
              <w:jc w:val="left"/>
            </w:pPr>
            <w:r>
              <w:rPr>
                <w:sz w:val="20"/>
                <w:szCs w:val="20"/>
              </w:rPr>
              <w:t xml:space="preserve">Arena</w:t>
            </w:r>
          </w:p>
        </w:tc>
        <w:tc>
          <w:tcPr>
            <w:tcW w:w="1083" w:type="dxa"/>
          </w:tcPr>
          <w:p>
            <w:pPr>
              <w:pStyle w:val="CeldaAPA"/>
              <w:jc w:val="center"/>
            </w:pPr>
            <w:r>
              <w:rPr>
                <w:sz w:val="20"/>
                <w:szCs w:val="20"/>
              </w:rPr>
              <w:t xml:space="preserve">m</w:t>
            </w:r>
            <w:r>
              <w:rPr>
                <w:vertAlign w:val="superscript"/>
                <w:sz w:val="20"/>
                <w:szCs w:val="20"/>
              </w:rPr>
              <w:t xml:space="preserve">3</w:t>
            </w:r>
          </w:p>
        </w:tc>
        <w:tc>
          <w:tcPr>
            <w:tcW w:w="1275" w:type="dxa"/>
          </w:tcPr>
          <w:p>
            <w:pPr>
              <w:pStyle w:val="CeldaAPA"/>
            </w:pPr>
          </w:p>
        </w:tc>
        <w:tc>
          <w:tcPr>
            <w:tcW w:w="1140" w:type="dxa"/>
          </w:tcPr>
          <w:p>
            <w:pPr>
              <w:pStyle w:val="CeldaAPA"/>
            </w:pPr>
          </w:p>
        </w:tc>
        <w:tc>
          <w:tcPr>
            <w:tcW w:w="1261" w:type="dxa"/>
          </w:tcPr>
          <w:p>
            <w:pPr>
              <w:pStyle w:val="CeldaAPA"/>
            </w:pPr>
          </w:p>
        </w:tc>
        <w:tc>
          <w:tcPr>
            <w:tcW w:w="650" w:type="dxa"/>
          </w:tcPr>
          <w:p>
            <w:pPr>
              <w:pStyle w:val="CeldaAPA"/>
            </w:pPr>
          </w:p>
        </w:tc>
        <w:tc>
          <w:tcPr>
            <w:tcW w:w="811" w:type="dxa"/>
          </w:tcPr>
          <w:p>
            <w:pPr>
              <w:pStyle w:val="CeldaAPA"/>
            </w:pPr>
          </w:p>
        </w:tc>
        <w:tc>
          <w:tcPr>
            <w:tcW w:w="873" w:type="dxa"/>
          </w:tcPr>
          <w:p>
            <w:pPr>
              <w:pStyle w:val="CeldaAPA"/>
            </w:pPr>
          </w:p>
        </w:tc>
        <w:tc>
          <w:tcPr>
            <w:tcW w:w="1394" w:type="dxa"/>
          </w:tcPr>
          <w:p>
            <w:pPr>
              <w:pStyle w:val="CeldaAPA"/>
            </w:pPr>
          </w:p>
        </w:tc>
        <w:tc>
          <w:tcPr>
            <w:tcW w:w="857" w:type="dxa"/>
          </w:tcPr>
          <w:p>
            <w:pPr>
              <w:pStyle w:val="CeldaAPA"/>
            </w:pPr>
          </w:p>
        </w:tc>
        <w:tc>
          <w:tcPr>
            <w:tcW w:w="1094" w:type="dxa"/>
          </w:tcPr>
          <w:p>
            <w:pPr>
              <w:pStyle w:val="CeldaAPA"/>
            </w:pPr>
          </w:p>
        </w:tc>
      </w:tr>
      <w:tr>
        <w:tc>
          <w:tcPr>
            <w:tcW w:w="1725" w:type="dxa"/>
          </w:tcPr>
          <w:p>
            <w:pPr>
              <w:pStyle w:val="CeldaAPA"/>
              <w:jc w:val="left"/>
            </w:pPr>
            <w:r>
              <w:rPr>
                <w:sz w:val="20"/>
                <w:szCs w:val="20"/>
              </w:rPr>
              <w:t xml:space="preserve">Grava</w:t>
            </w:r>
          </w:p>
        </w:tc>
        <w:tc>
          <w:tcPr>
            <w:tcW w:w="1083" w:type="dxa"/>
          </w:tcPr>
          <w:p>
            <w:pPr>
              <w:pStyle w:val="CeldaAPA"/>
              <w:jc w:val="center"/>
            </w:pPr>
            <w:r>
              <w:rPr>
                <w:sz w:val="20"/>
                <w:szCs w:val="20"/>
              </w:rPr>
              <w:t xml:space="preserve">m</w:t>
            </w:r>
            <w:r>
              <w:rPr>
                <w:vertAlign w:val="superscript"/>
                <w:sz w:val="20"/>
                <w:szCs w:val="20"/>
              </w:rPr>
              <w:t xml:space="preserve">3</w:t>
            </w:r>
          </w:p>
        </w:tc>
        <w:tc>
          <w:tcPr>
            <w:tcW w:w="1275" w:type="dxa"/>
          </w:tcPr>
          <w:p>
            <w:pPr>
              <w:pStyle w:val="CeldaAPA"/>
            </w:pPr>
          </w:p>
        </w:tc>
        <w:tc>
          <w:tcPr>
            <w:tcW w:w="1140" w:type="dxa"/>
          </w:tcPr>
          <w:p>
            <w:pPr>
              <w:pStyle w:val="CeldaAPA"/>
            </w:pPr>
          </w:p>
        </w:tc>
        <w:tc>
          <w:tcPr>
            <w:tcW w:w="1261" w:type="dxa"/>
          </w:tcPr>
          <w:p>
            <w:pPr>
              <w:pStyle w:val="CeldaAPA"/>
            </w:pPr>
          </w:p>
        </w:tc>
        <w:tc>
          <w:tcPr>
            <w:tcW w:w="650" w:type="dxa"/>
          </w:tcPr>
          <w:p>
            <w:pPr>
              <w:pStyle w:val="CeldaAPA"/>
            </w:pPr>
          </w:p>
        </w:tc>
        <w:tc>
          <w:tcPr>
            <w:tcW w:w="811" w:type="dxa"/>
          </w:tcPr>
          <w:p>
            <w:pPr>
              <w:pStyle w:val="CeldaAPA"/>
            </w:pPr>
          </w:p>
        </w:tc>
        <w:tc>
          <w:tcPr>
            <w:tcW w:w="873" w:type="dxa"/>
          </w:tcPr>
          <w:p>
            <w:pPr>
              <w:pStyle w:val="CeldaAPA"/>
            </w:pPr>
          </w:p>
        </w:tc>
        <w:tc>
          <w:tcPr>
            <w:tcW w:w="1394" w:type="dxa"/>
          </w:tcPr>
          <w:p>
            <w:pPr>
              <w:pStyle w:val="CeldaAPA"/>
            </w:pPr>
          </w:p>
        </w:tc>
        <w:tc>
          <w:tcPr>
            <w:tcW w:w="857" w:type="dxa"/>
          </w:tcPr>
          <w:p>
            <w:pPr>
              <w:pStyle w:val="CeldaAPA"/>
            </w:pPr>
          </w:p>
        </w:tc>
        <w:tc>
          <w:tcPr>
            <w:tcW w:w="1094" w:type="dxa"/>
          </w:tcPr>
          <w:p>
            <w:pPr>
              <w:pStyle w:val="CeldaAPA"/>
            </w:pPr>
          </w:p>
        </w:tc>
      </w:tr>
      <w:tr>
        <w:tc>
          <w:tcPr>
            <w:tcW w:w="1725" w:type="dxa"/>
          </w:tcPr>
          <w:p>
            <w:pPr>
              <w:pStyle w:val="CeldaAPA"/>
              <w:jc w:val="left"/>
            </w:pPr>
            <w:r>
              <w:rPr>
                <w:sz w:val="20"/>
                <w:szCs w:val="20"/>
              </w:rPr>
              <w:t xml:space="preserve">Alambre de amarre</w:t>
            </w:r>
          </w:p>
        </w:tc>
        <w:tc>
          <w:tcPr>
            <w:tcW w:w="1083" w:type="dxa"/>
          </w:tcPr>
          <w:p>
            <w:pPr>
              <w:pStyle w:val="CeldaAPA"/>
              <w:jc w:val="center"/>
            </w:pPr>
            <w:r>
              <w:rPr>
                <w:sz w:val="20"/>
                <w:szCs w:val="20"/>
              </w:rPr>
              <w:t xml:space="preserve">kg</w:t>
            </w:r>
          </w:p>
        </w:tc>
        <w:tc>
          <w:tcPr>
            <w:tcW w:w="1275" w:type="dxa"/>
          </w:tcPr>
          <w:p>
            <w:pPr>
              <w:pStyle w:val="CeldaAPA"/>
            </w:pPr>
          </w:p>
        </w:tc>
        <w:tc>
          <w:tcPr>
            <w:tcW w:w="1140" w:type="dxa"/>
          </w:tcPr>
          <w:p>
            <w:pPr>
              <w:pStyle w:val="CeldaAPA"/>
            </w:pPr>
          </w:p>
        </w:tc>
        <w:tc>
          <w:tcPr>
            <w:tcW w:w="1261" w:type="dxa"/>
          </w:tcPr>
          <w:p>
            <w:pPr>
              <w:pStyle w:val="CeldaAPA"/>
            </w:pPr>
          </w:p>
        </w:tc>
        <w:tc>
          <w:tcPr>
            <w:tcW w:w="650" w:type="dxa"/>
          </w:tcPr>
          <w:p>
            <w:pPr>
              <w:pStyle w:val="CeldaAPA"/>
            </w:pPr>
          </w:p>
        </w:tc>
        <w:tc>
          <w:tcPr>
            <w:tcW w:w="811" w:type="dxa"/>
          </w:tcPr>
          <w:p>
            <w:pPr>
              <w:pStyle w:val="CeldaAPA"/>
            </w:pPr>
          </w:p>
        </w:tc>
        <w:tc>
          <w:tcPr>
            <w:tcW w:w="873" w:type="dxa"/>
          </w:tcPr>
          <w:p>
            <w:pPr>
              <w:pStyle w:val="CeldaAPA"/>
            </w:pPr>
          </w:p>
        </w:tc>
        <w:tc>
          <w:tcPr>
            <w:tcW w:w="1394" w:type="dxa"/>
          </w:tcPr>
          <w:p>
            <w:pPr>
              <w:pStyle w:val="CeldaAPA"/>
            </w:pPr>
          </w:p>
        </w:tc>
        <w:tc>
          <w:tcPr>
            <w:tcW w:w="857" w:type="dxa"/>
          </w:tcPr>
          <w:p>
            <w:pPr>
              <w:pStyle w:val="CeldaAPA"/>
            </w:pPr>
          </w:p>
        </w:tc>
        <w:tc>
          <w:tcPr>
            <w:tcW w:w="1094" w:type="dxa"/>
          </w:tcPr>
          <w:p>
            <w:pPr>
              <w:pStyle w:val="CeldaAPA"/>
            </w:pPr>
          </w:p>
        </w:tc>
      </w:tr>
    </w:tbl>
    <w:p>
      <w:pPr>
        <w:pStyle w:val="BodyText"/>
        <w:spacing w:before="240"/>
      </w:pPr>
      <w:r>
        <w:rPr>
          <w:bCs/>
          <w:b/>
        </w:rPr>
        <w:t xml:space="preserve">(d) Conciliación acumulada para la planilla de avance N.</w:t>
      </w:r>
      <w:r>
        <w:rPr>
          <w:vertAlign w:val="superscript"/>
          <w:bCs/>
          <w:b/>
        </w:rPr>
        <w:t xml:space="preserve">o</w:t>
      </w:r>
      <w:r>
        <w:t xml:space="preserve"> </w:t>
      </w:r>
      <w:r>
        <w:rPr>
          <w:u w:val="single"/>
        </w:rPr>
        <w:t xml:space="preserve"> </w:t>
      </w:r>
      <w:r>
        <w:t xml:space="preserve"> </w:t>
      </w:r>
      <w:r>
        <w:t xml:space="preserve">Periodo</w:t>
      </w:r>
      <w:r>
        <w:t xml:space="preserve"> </w:t>
      </w:r>
      <w:r>
        <w:rPr>
          <w:u w:val="single"/>
        </w:rPr>
        <w:t xml:space="preserve"> </w:t>
      </w:r>
    </w:p>
    <w:tbl>
      <w:tblPr>
        <w:tblStyle w:val="Table"/>
        <w:tblW w:w="10367"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1" w:lastRow="0" w:firstColumn="0" w:lastColumn="0" w:noHBand="0" w:noVBand="0" w:val="0020"/>
      </w:tblPr>
      <w:tblGrid>
        <w:gridCol w:w="1725"/>
        <w:gridCol w:w="650"/>
        <w:gridCol w:w="1226"/>
        <w:gridCol w:w="1140"/>
        <w:gridCol w:w="684"/>
        <w:gridCol w:w="684"/>
        <w:gridCol w:w="709"/>
        <w:gridCol w:w="684"/>
        <w:gridCol w:w="857"/>
        <w:gridCol w:w="1027"/>
        <w:gridCol w:w="981"/>
      </w:tblGrid>
      <w:tr>
        <w:trPr>
          <w:cantSplit/>
          <w:tblHeader w:val="true"/>
        </w:trPr>
        <w:tc>
          <w:tcPr>
            <w:tcW w:w="1725" w:type="dxa"/>
          </w:tcPr>
          <w:p>
            <w:pPr>
              <w:pStyle w:val="CeldaAPA"/>
              <w:jc w:val="left"/>
            </w:pPr>
            <w:r>
              <w:rPr>
                <w:bCs/>
                <w:b/>
                <w:sz w:val="20"/>
                <w:szCs w:val="20"/>
              </w:rPr>
              <w:t xml:space="preserve">Ítem o material (ítem de pago)</w:t>
            </w:r>
          </w:p>
        </w:tc>
        <w:tc>
          <w:tcPr>
            <w:tcW w:w="650" w:type="dxa"/>
          </w:tcPr>
          <w:p>
            <w:pPr>
              <w:pStyle w:val="CeldaAPA"/>
              <w:jc w:val="center"/>
            </w:pPr>
            <m:oMath>
              <m:sSub>
                <m:e>
                  <m:r>
                    <m:t>Q</m:t>
                  </m:r>
                </m:e>
                <m:sub>
                  <m:r>
                    <m:t>T</m:t>
                  </m:r>
                </m:sub>
              </m:sSub>
            </m:oMath>
          </w:p>
        </w:tc>
        <w:tc>
          <w:tcPr>
            <w:tcW w:w="1226" w:type="dxa"/>
          </w:tcPr>
          <w:p>
            <w:pPr>
              <w:pStyle w:val="CeldaAPA"/>
              <w:jc w:val="center"/>
            </w:pPr>
            <m:oMath>
              <m:sSub>
                <m:e>
                  <m:r>
                    <m:t>Q</m:t>
                  </m:r>
                </m:e>
                <m:sub>
                  <m:r>
                    <m:t>E</m:t>
                  </m:r>
                </m:sub>
              </m:sSub>
            </m:oMath>
            <w:r>
              <w:rPr>
                <w:bCs/>
                <w:b/>
                <w:sz w:val="20"/>
                <w:szCs w:val="20"/>
              </w:rPr>
              <w:t xml:space="preserve"> </w:t>
            </w:r>
            <w:r>
              <w:rPr>
                <w:bCs/>
                <w:b/>
                <w:sz w:val="20"/>
                <w:szCs w:val="20"/>
              </w:rPr>
              <w:t xml:space="preserve">(remis.)</w:t>
            </w:r>
          </w:p>
        </w:tc>
        <w:tc>
          <w:tcPr>
            <w:tcW w:w="1140" w:type="dxa"/>
          </w:tcPr>
          <w:p>
            <w:pPr>
              <w:pStyle w:val="CeldaAPA"/>
              <w:jc w:val="center"/>
            </w:pPr>
            <m:oMath>
              <m:sSub>
                <m:e>
                  <m:r>
                    <m:t>Q</m:t>
                  </m:r>
                </m:e>
                <m:sub>
                  <m:r>
                    <m:t>C</m:t>
                  </m:r>
                </m:sub>
              </m:sSub>
            </m:oMath>
            <w:r>
              <w:rPr>
                <w:bCs/>
                <w:b/>
                <w:sz w:val="20"/>
                <w:szCs w:val="20"/>
              </w:rPr>
              <w:t xml:space="preserve"> </w:t>
            </w:r>
            <w:r>
              <w:rPr>
                <w:bCs/>
                <w:b/>
                <w:sz w:val="20"/>
                <w:szCs w:val="20"/>
              </w:rPr>
              <w:t xml:space="preserve">(vales)</w:t>
            </w:r>
          </w:p>
        </w:tc>
        <w:tc>
          <w:tcPr>
            <w:tcW w:w="684" w:type="dxa"/>
          </w:tcPr>
          <w:p>
            <w:pPr>
              <w:pStyle w:val="CeldaAPA"/>
              <w:jc w:val="center"/>
            </w:pPr>
            <m:oMath>
              <m:sSub>
                <m:e>
                  <m:r>
                    <m:t>I</m:t>
                  </m:r>
                </m:e>
                <m:sub>
                  <m:r>
                    <m:t>F</m:t>
                  </m:r>
                </m:sub>
              </m:sSub>
            </m:oMath>
          </w:p>
        </w:tc>
        <w:tc>
          <w:tcPr>
            <w:tcW w:w="684" w:type="dxa"/>
          </w:tcPr>
          <w:p>
            <w:pPr>
              <w:pStyle w:val="CeldaAPA"/>
              <w:jc w:val="center"/>
            </w:pPr>
            <m:oMath>
              <m:sSub>
                <m:e>
                  <m:r>
                    <m:t>Δ</m:t>
                  </m:r>
                </m:e>
                <m:sub>
                  <m:r>
                    <m:t>I</m:t>
                  </m:r>
                </m:sub>
              </m:sSub>
            </m:oMath>
          </w:p>
        </w:tc>
        <w:tc>
          <w:tcPr>
            <w:tcW w:w="709" w:type="dxa"/>
          </w:tcPr>
          <w:p>
            <w:pPr>
              <w:pStyle w:val="CeldaAPA"/>
              <w:jc w:val="center"/>
            </w:pPr>
            <m:oMath>
              <m:sSub>
                <m:e>
                  <m:r>
                    <m:t>Q</m:t>
                  </m:r>
                </m:e>
                <m:sub>
                  <m:r>
                    <m:t>M</m:t>
                  </m:r>
                </m:sub>
              </m:sSub>
            </m:oMath>
          </w:p>
        </w:tc>
        <w:tc>
          <w:tcPr>
            <w:tcW w:w="684" w:type="dxa"/>
          </w:tcPr>
          <w:p>
            <w:pPr>
              <w:pStyle w:val="CeldaAPA"/>
              <w:jc w:val="center"/>
            </w:pPr>
            <m:oMath>
              <m:sSub>
                <m:e>
                  <m:r>
                    <m:t>Q</m:t>
                  </m:r>
                </m:e>
                <m:sub>
                  <m:r>
                    <m:t>P</m:t>
                  </m:r>
                </m:sub>
              </m:sSub>
            </m:oMath>
          </w:p>
        </w:tc>
        <w:tc>
          <w:tcPr>
            <w:tcW w:w="857" w:type="dxa"/>
          </w:tcPr>
          <w:p>
            <w:pPr>
              <w:pStyle w:val="CeldaAPA"/>
              <w:jc w:val="center"/>
            </w:pPr>
            <m:oMath>
              <m:sSub>
                <m:e>
                  <m:r>
                    <m:t>δ</m:t>
                  </m:r>
                </m:e>
                <m:sub>
                  <m:r>
                    <m:t>P</m:t>
                  </m:r>
                  <m:r>
                    <m:rPr>
                      <m:sty m:val="p"/>
                    </m:rPr>
                    <m:t>/</m:t>
                  </m:r>
                  <m:r>
                    <m:t>M</m:t>
                  </m:r>
                </m:sub>
              </m:sSub>
            </m:oMath>
            <w:r>
              <w:rPr>
                <w:bCs/>
                <w:b/>
                <w:sz w:val="20"/>
                <w:szCs w:val="20"/>
              </w:rPr>
              <w:t xml:space="preserve"> </w:t>
            </w:r>
            <w:r>
              <w:rPr>
                <w:bCs/>
                <w:b/>
                <w:sz w:val="20"/>
                <w:szCs w:val="20"/>
              </w:rPr>
              <w:t xml:space="preserve">(%)</w:t>
            </w:r>
          </w:p>
        </w:tc>
        <w:tc>
          <w:tcPr>
            <w:tcW w:w="1027" w:type="dxa"/>
          </w:tcPr>
          <w:p>
            <w:pPr>
              <w:pStyle w:val="CeldaAPA"/>
              <w:jc w:val="center"/>
            </w:pPr>
            <w:r>
              <w:rPr>
                <w:bCs/>
                <w:b/>
                <w:sz w:val="20"/>
                <w:szCs w:val="20"/>
              </w:rPr>
              <w:t xml:space="preserve">kg/m</w:t>
            </w:r>
            <w:r>
              <w:rPr>
                <w:vertAlign w:val="superscript"/>
                <w:bCs/>
                <w:b/>
                <w:sz w:val="20"/>
                <w:szCs w:val="20"/>
              </w:rPr>
              <w:t xml:space="preserve">2</w:t>
            </w:r>
          </w:p>
        </w:tc>
        <w:tc>
          <w:tcPr>
            <w:tcW w:w="981" w:type="dxa"/>
          </w:tcPr>
          <w:p>
            <w:pPr>
              <w:pStyle w:val="CeldaAPA"/>
              <w:jc w:val="center"/>
            </w:pPr>
            <w:r>
              <w:rPr>
                <w:bCs/>
                <w:b/>
                <w:sz w:val="20"/>
                <w:szCs w:val="20"/>
              </w:rPr>
              <w:t xml:space="preserve">Alerta</w:t>
            </w:r>
          </w:p>
        </w:tc>
      </w:tr>
      <w:tr>
        <w:tc>
          <w:tcPr>
            <w:tcW w:w="1725" w:type="dxa"/>
          </w:tcPr>
          <w:p>
            <w:pPr>
              <w:pStyle w:val="CeldaAPA"/>
              <w:jc w:val="left"/>
            </w:pPr>
            <w:r>
              <w:rPr>
                <w:sz w:val="20"/>
                <w:szCs w:val="20"/>
              </w:rPr>
              <w:t xml:space="preserve">Ítem 13 (m</w:t>
            </w:r>
            <w:r>
              <w:rPr>
                <w:vertAlign w:val="superscript"/>
                <w:sz w:val="20"/>
                <w:szCs w:val="20"/>
              </w:rPr>
              <w:t xml:space="preserve">2</w:t>
            </w:r>
            <w:r>
              <w:rPr>
                <w:sz w:val="20"/>
                <w:szCs w:val="20"/>
              </w:rPr>
              <w:t xml:space="preserve">)</w:t>
            </w:r>
          </w:p>
        </w:tc>
        <w:tc>
          <w:tcPr>
            <w:tcW w:w="650" w:type="dxa"/>
          </w:tcPr>
          <w:p>
            <w:pPr>
              <w:pStyle w:val="CeldaAPA"/>
            </w:pPr>
          </w:p>
        </w:tc>
        <w:tc>
          <w:tcPr>
            <w:tcW w:w="1226" w:type="dxa"/>
          </w:tcPr>
          <w:p>
            <w:pPr>
              <w:pStyle w:val="CeldaAPA"/>
              <w:jc w:val="center"/>
            </w:pPr>
            <w:r>
              <w:rPr>
                <w:sz w:val="20"/>
                <w:szCs w:val="20"/>
              </w:rPr>
              <w:t xml:space="preserve">—</w:t>
            </w:r>
          </w:p>
        </w:tc>
        <w:tc>
          <w:tcPr>
            <w:tcW w:w="1140" w:type="dxa"/>
          </w:tcPr>
          <w:p>
            <w:pPr>
              <w:pStyle w:val="CeldaAPA"/>
              <w:jc w:val="center"/>
            </w:pPr>
            <w:r>
              <w:rPr>
                <w:sz w:val="20"/>
                <w:szCs w:val="20"/>
              </w:rPr>
              <w:t xml:space="preserve">—</w:t>
            </w:r>
          </w:p>
        </w:tc>
        <w:tc>
          <w:tcPr>
            <w:tcW w:w="684" w:type="dxa"/>
          </w:tcPr>
          <w:p>
            <w:pPr>
              <w:pStyle w:val="CeldaAPA"/>
              <w:jc w:val="center"/>
            </w:pPr>
            <w:r>
              <w:rPr>
                <w:sz w:val="20"/>
                <w:szCs w:val="20"/>
              </w:rPr>
              <w:t xml:space="preserve">—</w:t>
            </w:r>
          </w:p>
        </w:tc>
        <w:tc>
          <w:tcPr>
            <w:tcW w:w="684" w:type="dxa"/>
          </w:tcPr>
          <w:p>
            <w:pPr>
              <w:pStyle w:val="CeldaAPA"/>
              <w:jc w:val="center"/>
            </w:pPr>
            <w:r>
              <w:rPr>
                <w:sz w:val="20"/>
                <w:szCs w:val="20"/>
              </w:rPr>
              <w:t xml:space="preserve">—</w:t>
            </w:r>
          </w:p>
        </w:tc>
        <w:tc>
          <w:tcPr>
            <w:tcW w:w="709" w:type="dxa"/>
          </w:tcPr>
          <w:p>
            <w:pPr>
              <w:pStyle w:val="CeldaAPA"/>
            </w:pPr>
          </w:p>
        </w:tc>
        <w:tc>
          <w:tcPr>
            <w:tcW w:w="684" w:type="dxa"/>
          </w:tcPr>
          <w:p>
            <w:pPr>
              <w:pStyle w:val="CeldaAPA"/>
            </w:pPr>
          </w:p>
        </w:tc>
        <w:tc>
          <w:tcPr>
            <w:tcW w:w="857" w:type="dxa"/>
          </w:tcPr>
          <w:p>
            <w:pPr>
              <w:pStyle w:val="CeldaAPA"/>
            </w:pPr>
          </w:p>
        </w:tc>
        <w:tc>
          <w:tcPr>
            <w:tcW w:w="1027" w:type="dxa"/>
          </w:tcPr>
          <w:p>
            <w:pPr>
              <w:pStyle w:val="CeldaAPA"/>
              <w:jc w:val="center"/>
            </w:pPr>
            <w:r>
              <w:rPr>
                <w:sz w:val="20"/>
                <w:szCs w:val="20"/>
              </w:rPr>
              <w:t xml:space="preserve">—</w:t>
            </w:r>
          </w:p>
        </w:tc>
        <w:tc>
          <w:tcPr>
            <w:tcW w:w="981" w:type="dxa"/>
          </w:tcPr>
          <w:p>
            <w:pPr>
              <w:pStyle w:val="CeldaAPA"/>
            </w:pPr>
          </w:p>
        </w:tc>
      </w:tr>
      <w:tr>
        <w:tc>
          <w:tcPr>
            <w:tcW w:w="1725" w:type="dxa"/>
          </w:tcPr>
          <w:p>
            <w:pPr>
              <w:pStyle w:val="CeldaAPA"/>
              <w:jc w:val="left"/>
            </w:pPr>
            <w:r>
              <w:rPr>
                <w:sz w:val="20"/>
                <w:szCs w:val="20"/>
              </w:rPr>
              <w:t xml:space="preserve">Acero de la losa (kg); ítem</w:t>
            </w:r>
            <w:r>
              <w:rPr>
                <w:sz w:val="20"/>
                <w:szCs w:val="20"/>
              </w:rPr>
              <w:t xml:space="preserve"> </w:t>
            </w:r>
            <w:r>
              <w:rPr>
                <w:u w:val="single"/>
                <w:sz w:val="20"/>
                <w:szCs w:val="20"/>
              </w:rPr>
              <w:t xml:space="preserve"> </w:t>
            </w:r>
          </w:p>
        </w:tc>
        <w:tc>
          <w:tcPr>
            <w:tcW w:w="650" w:type="dxa"/>
          </w:tcPr>
          <w:p>
            <w:pPr>
              <w:pStyle w:val="CeldaAPA"/>
            </w:pPr>
          </w:p>
        </w:tc>
        <w:tc>
          <w:tcPr>
            <w:tcW w:w="1226" w:type="dxa"/>
          </w:tcPr>
          <w:p>
            <w:pPr>
              <w:pStyle w:val="CeldaAPA"/>
            </w:pPr>
          </w:p>
        </w:tc>
        <w:tc>
          <w:tcPr>
            <w:tcW w:w="1140" w:type="dxa"/>
          </w:tcPr>
          <w:p>
            <w:pPr>
              <w:pStyle w:val="CeldaAPA"/>
            </w:pPr>
          </w:p>
        </w:tc>
        <w:tc>
          <w:tcPr>
            <w:tcW w:w="684" w:type="dxa"/>
          </w:tcPr>
          <w:p>
            <w:pPr>
              <w:pStyle w:val="CeldaAPA"/>
            </w:pPr>
          </w:p>
        </w:tc>
        <w:tc>
          <w:tcPr>
            <w:tcW w:w="684" w:type="dxa"/>
          </w:tcPr>
          <w:p>
            <w:pPr>
              <w:pStyle w:val="CeldaAPA"/>
            </w:pPr>
          </w:p>
        </w:tc>
        <w:tc>
          <w:tcPr>
            <w:tcW w:w="709" w:type="dxa"/>
          </w:tcPr>
          <w:p>
            <w:pPr>
              <w:pStyle w:val="CeldaAPA"/>
            </w:pPr>
          </w:p>
        </w:tc>
        <w:tc>
          <w:tcPr>
            <w:tcW w:w="684" w:type="dxa"/>
          </w:tcPr>
          <w:p>
            <w:pPr>
              <w:pStyle w:val="CeldaAPA"/>
            </w:pPr>
          </w:p>
        </w:tc>
        <w:tc>
          <w:tcPr>
            <w:tcW w:w="857" w:type="dxa"/>
          </w:tcPr>
          <w:p>
            <w:pPr>
              <w:pStyle w:val="CeldaAPA"/>
            </w:pPr>
          </w:p>
        </w:tc>
        <w:tc>
          <w:tcPr>
            <w:tcW w:w="1027" w:type="dxa"/>
          </w:tcPr>
          <w:p>
            <w:pPr>
              <w:pStyle w:val="CeldaAPA"/>
            </w:pPr>
          </w:p>
        </w:tc>
        <w:tc>
          <w:tcPr>
            <w:tcW w:w="981" w:type="dxa"/>
          </w:tcPr>
          <w:p>
            <w:pPr>
              <w:pStyle w:val="CeldaAPA"/>
            </w:pPr>
          </w:p>
        </w:tc>
      </w:tr>
      <w:tr>
        <w:tc>
          <w:tcPr>
            <w:tcW w:w="1725" w:type="dxa"/>
          </w:tcPr>
          <w:p>
            <w:pPr>
              <w:pStyle w:val="CeldaAPA"/>
              <w:jc w:val="left"/>
            </w:pPr>
            <w:r>
              <w:rPr>
                <w:sz w:val="20"/>
                <w:szCs w:val="20"/>
              </w:rPr>
              <w:t xml:space="preserve">Viguetas (m)</w:t>
            </w:r>
          </w:p>
        </w:tc>
        <w:tc>
          <w:tcPr>
            <w:tcW w:w="650" w:type="dxa"/>
          </w:tcPr>
          <w:p>
            <w:pPr>
              <w:pStyle w:val="CeldaAPA"/>
            </w:pPr>
          </w:p>
        </w:tc>
        <w:tc>
          <w:tcPr>
            <w:tcW w:w="1226" w:type="dxa"/>
          </w:tcPr>
          <w:p>
            <w:pPr>
              <w:pStyle w:val="CeldaAPA"/>
            </w:pPr>
          </w:p>
        </w:tc>
        <w:tc>
          <w:tcPr>
            <w:tcW w:w="1140" w:type="dxa"/>
          </w:tcPr>
          <w:p>
            <w:pPr>
              <w:pStyle w:val="CeldaAPA"/>
            </w:pPr>
          </w:p>
        </w:tc>
        <w:tc>
          <w:tcPr>
            <w:tcW w:w="684" w:type="dxa"/>
          </w:tcPr>
          <w:p>
            <w:pPr>
              <w:pStyle w:val="CeldaAPA"/>
            </w:pPr>
          </w:p>
        </w:tc>
        <w:tc>
          <w:tcPr>
            <w:tcW w:w="684" w:type="dxa"/>
          </w:tcPr>
          <w:p>
            <w:pPr>
              <w:pStyle w:val="CeldaAPA"/>
            </w:pPr>
          </w:p>
        </w:tc>
        <w:tc>
          <w:tcPr>
            <w:tcW w:w="709" w:type="dxa"/>
          </w:tcPr>
          <w:p>
            <w:pPr>
              <w:pStyle w:val="CeldaAPA"/>
              <w:jc w:val="center"/>
            </w:pPr>
            <w:r>
              <w:rPr>
                <w:sz w:val="20"/>
                <w:szCs w:val="20"/>
              </w:rPr>
              <w:t xml:space="preserve">—</w:t>
            </w:r>
          </w:p>
        </w:tc>
        <w:tc>
          <w:tcPr>
            <w:tcW w:w="684" w:type="dxa"/>
          </w:tcPr>
          <w:p>
            <w:pPr>
              <w:pStyle w:val="CeldaAPA"/>
              <w:jc w:val="center"/>
            </w:pPr>
            <w:r>
              <w:rPr>
                <w:sz w:val="20"/>
                <w:szCs w:val="20"/>
              </w:rPr>
              <w:t xml:space="preserve">—</w:t>
            </w:r>
          </w:p>
        </w:tc>
        <w:tc>
          <w:tcPr>
            <w:tcW w:w="857" w:type="dxa"/>
          </w:tcPr>
          <w:p>
            <w:pPr>
              <w:pStyle w:val="CeldaAPA"/>
              <w:jc w:val="center"/>
            </w:pPr>
            <w:r>
              <w:rPr>
                <w:sz w:val="20"/>
                <w:szCs w:val="20"/>
              </w:rPr>
              <w:t xml:space="preserve">—</w:t>
            </w:r>
          </w:p>
        </w:tc>
        <w:tc>
          <w:tcPr>
            <w:tcW w:w="1027" w:type="dxa"/>
          </w:tcPr>
          <w:p>
            <w:pPr>
              <w:pStyle w:val="CeldaAPA"/>
              <w:jc w:val="center"/>
            </w:pPr>
            <w:r>
              <w:rPr>
                <w:sz w:val="20"/>
                <w:szCs w:val="20"/>
              </w:rPr>
              <w:t xml:space="preserve">—</w:t>
            </w:r>
          </w:p>
        </w:tc>
        <w:tc>
          <w:tcPr>
            <w:tcW w:w="981" w:type="dxa"/>
          </w:tcPr>
          <w:p>
            <w:pPr>
              <w:pStyle w:val="CeldaAPA"/>
            </w:pPr>
          </w:p>
        </w:tc>
      </w:tr>
      <w:tr>
        <w:tc>
          <w:tcPr>
            <w:tcW w:w="1725" w:type="dxa"/>
          </w:tcPr>
          <w:p>
            <w:pPr>
              <w:pStyle w:val="CeldaAPA"/>
              <w:jc w:val="left"/>
            </w:pPr>
            <w:r>
              <w:rPr>
                <w:sz w:val="20"/>
                <w:szCs w:val="20"/>
              </w:rPr>
              <w:t xml:space="preserve">Complemento EPS (pza)</w:t>
            </w:r>
          </w:p>
        </w:tc>
        <w:tc>
          <w:tcPr>
            <w:tcW w:w="650" w:type="dxa"/>
          </w:tcPr>
          <w:p>
            <w:pPr>
              <w:pStyle w:val="CeldaAPA"/>
            </w:pPr>
          </w:p>
        </w:tc>
        <w:tc>
          <w:tcPr>
            <w:tcW w:w="1226" w:type="dxa"/>
          </w:tcPr>
          <w:p>
            <w:pPr>
              <w:pStyle w:val="CeldaAPA"/>
            </w:pPr>
          </w:p>
        </w:tc>
        <w:tc>
          <w:tcPr>
            <w:tcW w:w="1140" w:type="dxa"/>
          </w:tcPr>
          <w:p>
            <w:pPr>
              <w:pStyle w:val="CeldaAPA"/>
            </w:pPr>
          </w:p>
        </w:tc>
        <w:tc>
          <w:tcPr>
            <w:tcW w:w="684" w:type="dxa"/>
          </w:tcPr>
          <w:p>
            <w:pPr>
              <w:pStyle w:val="CeldaAPA"/>
            </w:pPr>
          </w:p>
        </w:tc>
        <w:tc>
          <w:tcPr>
            <w:tcW w:w="684" w:type="dxa"/>
          </w:tcPr>
          <w:p>
            <w:pPr>
              <w:pStyle w:val="CeldaAPA"/>
            </w:pPr>
          </w:p>
        </w:tc>
        <w:tc>
          <w:tcPr>
            <w:tcW w:w="709" w:type="dxa"/>
          </w:tcPr>
          <w:p>
            <w:pPr>
              <w:pStyle w:val="CeldaAPA"/>
              <w:jc w:val="center"/>
            </w:pPr>
            <w:r>
              <w:rPr>
                <w:sz w:val="20"/>
                <w:szCs w:val="20"/>
              </w:rPr>
              <w:t xml:space="preserve">—</w:t>
            </w:r>
          </w:p>
        </w:tc>
        <w:tc>
          <w:tcPr>
            <w:tcW w:w="684" w:type="dxa"/>
          </w:tcPr>
          <w:p>
            <w:pPr>
              <w:pStyle w:val="CeldaAPA"/>
              <w:jc w:val="center"/>
            </w:pPr>
            <w:r>
              <w:rPr>
                <w:sz w:val="20"/>
                <w:szCs w:val="20"/>
              </w:rPr>
              <w:t xml:space="preserve">—</w:t>
            </w:r>
          </w:p>
        </w:tc>
        <w:tc>
          <w:tcPr>
            <w:tcW w:w="857" w:type="dxa"/>
          </w:tcPr>
          <w:p>
            <w:pPr>
              <w:pStyle w:val="CeldaAPA"/>
              <w:jc w:val="center"/>
            </w:pPr>
            <w:r>
              <w:rPr>
                <w:sz w:val="20"/>
                <w:szCs w:val="20"/>
              </w:rPr>
              <w:t xml:space="preserve">—</w:t>
            </w:r>
          </w:p>
        </w:tc>
        <w:tc>
          <w:tcPr>
            <w:tcW w:w="1027" w:type="dxa"/>
          </w:tcPr>
          <w:p>
            <w:pPr>
              <w:pStyle w:val="CeldaAPA"/>
              <w:jc w:val="center"/>
            </w:pPr>
            <w:r>
              <w:rPr>
                <w:sz w:val="20"/>
                <w:szCs w:val="20"/>
              </w:rPr>
              <w:t xml:space="preserve">—</w:t>
            </w:r>
          </w:p>
        </w:tc>
        <w:tc>
          <w:tcPr>
            <w:tcW w:w="981" w:type="dxa"/>
          </w:tcPr>
          <w:p>
            <w:pPr>
              <w:pStyle w:val="CeldaAPA"/>
            </w:pPr>
          </w:p>
        </w:tc>
      </w:tr>
      <w:tr>
        <w:tc>
          <w:tcPr>
            <w:tcW w:w="1725" w:type="dxa"/>
          </w:tcPr>
          <w:p>
            <w:pPr>
              <w:pStyle w:val="CeldaAPA"/>
              <w:jc w:val="left"/>
            </w:pPr>
            <w:r>
              <w:rPr>
                <w:sz w:val="20"/>
                <w:szCs w:val="20"/>
              </w:rPr>
              <w:t xml:space="preserve">Cemento (bolsas)</w:t>
            </w:r>
          </w:p>
        </w:tc>
        <w:tc>
          <w:tcPr>
            <w:tcW w:w="650" w:type="dxa"/>
          </w:tcPr>
          <w:p>
            <w:pPr>
              <w:pStyle w:val="CeldaAPA"/>
            </w:pPr>
          </w:p>
        </w:tc>
        <w:tc>
          <w:tcPr>
            <w:tcW w:w="1226" w:type="dxa"/>
          </w:tcPr>
          <w:p>
            <w:pPr>
              <w:pStyle w:val="CeldaAPA"/>
            </w:pPr>
          </w:p>
        </w:tc>
        <w:tc>
          <w:tcPr>
            <w:tcW w:w="1140" w:type="dxa"/>
          </w:tcPr>
          <w:p>
            <w:pPr>
              <w:pStyle w:val="CeldaAPA"/>
            </w:pPr>
          </w:p>
        </w:tc>
        <w:tc>
          <w:tcPr>
            <w:tcW w:w="684" w:type="dxa"/>
          </w:tcPr>
          <w:p>
            <w:pPr>
              <w:pStyle w:val="CeldaAPA"/>
            </w:pPr>
          </w:p>
        </w:tc>
        <w:tc>
          <w:tcPr>
            <w:tcW w:w="684" w:type="dxa"/>
          </w:tcPr>
          <w:p>
            <w:pPr>
              <w:pStyle w:val="CeldaAPA"/>
            </w:pPr>
          </w:p>
        </w:tc>
        <w:tc>
          <w:tcPr>
            <w:tcW w:w="709" w:type="dxa"/>
          </w:tcPr>
          <w:p>
            <w:pPr>
              <w:pStyle w:val="CeldaAPA"/>
              <w:jc w:val="center"/>
            </w:pPr>
            <w:r>
              <w:rPr>
                <w:sz w:val="20"/>
                <w:szCs w:val="20"/>
              </w:rPr>
              <w:t xml:space="preserve">—</w:t>
            </w:r>
          </w:p>
        </w:tc>
        <w:tc>
          <w:tcPr>
            <w:tcW w:w="684" w:type="dxa"/>
          </w:tcPr>
          <w:p>
            <w:pPr>
              <w:pStyle w:val="CeldaAPA"/>
              <w:jc w:val="center"/>
            </w:pPr>
            <w:r>
              <w:rPr>
                <w:sz w:val="20"/>
                <w:szCs w:val="20"/>
              </w:rPr>
              <w:t xml:space="preserve">—</w:t>
            </w:r>
          </w:p>
        </w:tc>
        <w:tc>
          <w:tcPr>
            <w:tcW w:w="857" w:type="dxa"/>
          </w:tcPr>
          <w:p>
            <w:pPr>
              <w:pStyle w:val="CeldaAPA"/>
              <w:jc w:val="center"/>
            </w:pPr>
            <w:r>
              <w:rPr>
                <w:sz w:val="20"/>
                <w:szCs w:val="20"/>
              </w:rPr>
              <w:t xml:space="preserve">—</w:t>
            </w:r>
          </w:p>
        </w:tc>
        <w:tc>
          <w:tcPr>
            <w:tcW w:w="1027" w:type="dxa"/>
          </w:tcPr>
          <w:p>
            <w:pPr>
              <w:pStyle w:val="CeldaAPA"/>
              <w:jc w:val="center"/>
            </w:pPr>
            <w:r>
              <w:rPr>
                <w:sz w:val="20"/>
                <w:szCs w:val="20"/>
              </w:rPr>
              <w:t xml:space="preserve">—</w:t>
            </w:r>
          </w:p>
        </w:tc>
        <w:tc>
          <w:tcPr>
            <w:tcW w:w="981" w:type="dxa"/>
          </w:tcPr>
          <w:p>
            <w:pPr>
              <w:pStyle w:val="CeldaAPA"/>
            </w:pPr>
          </w:p>
        </w:tc>
      </w:tr>
      <w:tr>
        <w:tc>
          <w:tcPr>
            <w:tcW w:w="1725" w:type="dxa"/>
          </w:tcPr>
          <w:p>
            <w:pPr>
              <w:pStyle w:val="CeldaAPA"/>
              <w:jc w:val="left"/>
            </w:pPr>
            <w:r>
              <w:rPr>
                <w:sz w:val="20"/>
                <w:szCs w:val="20"/>
              </w:rPr>
              <w:t xml:space="preserve">Hormigón (m</w:t>
            </w:r>
            <w:r>
              <w:rPr>
                <w:vertAlign w:val="superscript"/>
                <w:sz w:val="20"/>
                <w:szCs w:val="20"/>
              </w:rPr>
              <w:t xml:space="preserve">3</w:t>
            </w:r>
            <w:r>
              <w:rPr>
                <w:sz w:val="20"/>
                <w:szCs w:val="20"/>
              </w:rPr>
              <w:t xml:space="preserve">)</w:t>
            </w:r>
          </w:p>
        </w:tc>
        <w:tc>
          <w:tcPr>
            <w:tcW w:w="650" w:type="dxa"/>
          </w:tcPr>
          <w:p>
            <w:pPr>
              <w:pStyle w:val="CeldaAPA"/>
            </w:pPr>
          </w:p>
        </w:tc>
        <w:tc>
          <w:tcPr>
            <w:tcW w:w="1226" w:type="dxa"/>
          </w:tcPr>
          <w:p>
            <w:pPr>
              <w:pStyle w:val="CeldaAPA"/>
            </w:pPr>
          </w:p>
        </w:tc>
        <w:tc>
          <w:tcPr>
            <w:tcW w:w="1140" w:type="dxa"/>
          </w:tcPr>
          <w:p>
            <w:pPr>
              <w:pStyle w:val="CeldaAPA"/>
            </w:pPr>
          </w:p>
        </w:tc>
        <w:tc>
          <w:tcPr>
            <w:tcW w:w="684" w:type="dxa"/>
          </w:tcPr>
          <w:p>
            <w:pPr>
              <w:pStyle w:val="CeldaAPA"/>
              <w:jc w:val="center"/>
            </w:pPr>
            <w:r>
              <w:rPr>
                <w:sz w:val="20"/>
                <w:szCs w:val="20"/>
              </w:rPr>
              <w:t xml:space="preserve">—</w:t>
            </w:r>
          </w:p>
        </w:tc>
        <w:tc>
          <w:tcPr>
            <w:tcW w:w="684" w:type="dxa"/>
          </w:tcPr>
          <w:p>
            <w:pPr>
              <w:pStyle w:val="CeldaAPA"/>
              <w:jc w:val="center"/>
            </w:pPr>
            <w:r>
              <w:rPr>
                <w:sz w:val="20"/>
                <w:szCs w:val="20"/>
              </w:rPr>
              <w:t xml:space="preserve">—</w:t>
            </w:r>
          </w:p>
        </w:tc>
        <w:tc>
          <w:tcPr>
            <w:tcW w:w="709" w:type="dxa"/>
          </w:tcPr>
          <w:p>
            <w:pPr>
              <w:pStyle w:val="CeldaAPA"/>
            </w:pPr>
          </w:p>
        </w:tc>
        <w:tc>
          <w:tcPr>
            <w:tcW w:w="684" w:type="dxa"/>
          </w:tcPr>
          <w:p>
            <w:pPr>
              <w:pStyle w:val="CeldaAPA"/>
            </w:pPr>
          </w:p>
        </w:tc>
        <w:tc>
          <w:tcPr>
            <w:tcW w:w="857" w:type="dxa"/>
          </w:tcPr>
          <w:p>
            <w:pPr>
              <w:pStyle w:val="CeldaAPA"/>
            </w:pPr>
          </w:p>
        </w:tc>
        <w:tc>
          <w:tcPr>
            <w:tcW w:w="1027" w:type="dxa"/>
          </w:tcPr>
          <w:p>
            <w:pPr>
              <w:pStyle w:val="CeldaAPA"/>
              <w:jc w:val="center"/>
            </w:pPr>
            <w:r>
              <w:rPr>
                <w:sz w:val="20"/>
                <w:szCs w:val="20"/>
              </w:rPr>
              <w:t xml:space="preserve">—</w:t>
            </w:r>
          </w:p>
        </w:tc>
        <w:tc>
          <w:tcPr>
            <w:tcW w:w="981" w:type="dxa"/>
          </w:tcPr>
          <w:p>
            <w:pPr>
              <w:pStyle w:val="CeldaAPA"/>
            </w:pPr>
          </w:p>
        </w:tc>
      </w:tr>
      <w:tr>
        <w:tc>
          <w:tcPr>
            <w:tcW w:w="10367" w:type="dxa"/>
            <w:gridSpan w:val="11"/>
          </w:tcPr>
          <w:p>
            <w:pPr>
              <w:pStyle w:val="CeldaAPA"/>
              <w:jc w:val="left"/>
            </w:pPr>
            <w:r>
              <w:rPr>
                <w:sz w:val="20"/>
                <w:szCs w:val="20"/>
              </w:rPr>
              <w:t xml:space="preserve">Coherencia entre documentos (misma cifra en planilla, cómputo e informes): ☐ Sí ☐ No Acero de la losa pagado en un solo ítem: ☐ Sí ☐ No</w:t>
            </w:r>
          </w:p>
        </w:tc>
      </w:tr>
      <w:tr>
        <w:tc>
          <w:tcPr>
            <w:tcW w:w="10367" w:type="dxa"/>
            <w:gridSpan w:val="11"/>
          </w:tcPr>
          <w:p>
            <w:pPr>
              <w:pStyle w:val="CeldaAPA"/>
              <w:jc w:val="left"/>
            </w:pPr>
            <w:r>
              <w:rPr>
                <w:sz w:val="20"/>
                <w:szCs w:val="20"/>
              </w:rPr>
              <w:t xml:space="preserve">_________________ _________________ _________________ _________________</w:t>
            </w:r>
          </w:p>
        </w:tc>
      </w:tr>
    </w:tbl>
    <w:p>
      <w:pPr>
        <w:pStyle w:val="BodyText"/>
        <w:spacing w:before="240"/>
        <w:ind w:firstLine="0"/>
      </w:pPr>
      <w:r>
        <w:t xml:space="preserve"/>
      </w:r>
      <w:r>
        <w:rPr>
          <w:iCs/>
          <w:i/>
        </w:rPr>
        <w:t xml:space="preserve">Nota.</w:t>
      </w:r>
      <w:r>
        <w:t xml:space="preserve"> </w:t>
      </w:r>
      <w:r>
        <w:t xml:space="preserve">Cantidades acumuladas a la fecha de la planilla.</w:t>
      </w:r>
      <w:r>
        <w:t xml:space="preserve"> </w:t>
      </w:r>
      <m:oMath>
        <m:sSub>
          <m:e>
            <m:r>
              <m:t>Q</m:t>
            </m:r>
          </m:e>
          <m:sub>
            <m:r>
              <m:t>T</m:t>
            </m:r>
          </m:sub>
        </m:sSub>
      </m:oMath>
      <w:r>
        <w:t xml:space="preserve">: teórica;</w:t>
      </w:r>
      <w:r>
        <w:t xml:space="preserve"> </w:t>
      </w:r>
      <m:oMath>
        <m:sSub>
          <m:e>
            <m:r>
              <m:t>Q</m:t>
            </m:r>
          </m:e>
          <m:sub>
            <m:r>
              <m:t>E</m:t>
            </m:r>
          </m:sub>
        </m:sSub>
      </m:oMath>
      <w:r>
        <w:t xml:space="preserve">: entregada según remisiones;</w:t>
      </w:r>
      <w:r>
        <w:t xml:space="preserve"> </w:t>
      </w:r>
      <m:oMath>
        <m:sSub>
          <m:e>
            <m:r>
              <m:t>Q</m:t>
            </m:r>
          </m:e>
          <m:sub>
            <m:r>
              <m:t>C</m:t>
            </m:r>
          </m:sub>
        </m:sSub>
      </m:oMath>
      <w:r>
        <w:t xml:space="preserve">: colocada según vales;</w:t>
      </w:r>
      <w:r>
        <w:t xml:space="preserve"> </w:t>
      </w:r>
      <m:oMath>
        <m:sSub>
          <m:e>
            <m:r>
              <m:t>I</m:t>
            </m:r>
          </m:e>
          <m:sub>
            <m:r>
              <m:t>F</m:t>
            </m:r>
          </m:sub>
        </m:sSub>
      </m:oMath>
      <w:r>
        <w:t xml:space="preserve">: existencia física;</w:t>
      </w:r>
      <w:r>
        <w:t xml:space="preserve"> </w:t>
      </w:r>
      <m:oMath>
        <m:sSub>
          <m:e>
            <m:r>
              <m:t>Δ</m:t>
            </m:r>
          </m:e>
          <m:sub>
            <m:r>
              <m:t>I</m:t>
            </m:r>
          </m:sub>
        </m:sSub>
        <m:r>
          <m:rPr>
            <m:sty m:val="p"/>
          </m:rPr>
          <m:t>=</m:t>
        </m:r>
        <m:sSub>
          <m:e>
            <m:r>
              <m:t>Q</m:t>
            </m:r>
          </m:e>
          <m:sub>
            <m:r>
              <m:t>E</m:t>
            </m:r>
          </m:sub>
        </m:sSub>
        <m:r>
          <m:rPr>
            <m:sty m:val="p"/>
          </m:rPr>
          <m:t>−</m:t>
        </m:r>
        <m:sSub>
          <m:e>
            <m:r>
              <m:t>Q</m:t>
            </m:r>
          </m:e>
          <m:sub>
            <m:r>
              <m:t>C</m:t>
            </m:r>
          </m:sub>
        </m:sSub>
        <m:r>
          <m:rPr>
            <m:sty m:val="p"/>
          </m:rPr>
          <m:t>−</m:t>
        </m:r>
        <m:sSub>
          <m:e>
            <m:r>
              <m:t>I</m:t>
            </m:r>
          </m:e>
          <m:sub>
            <m:r>
              <m:t>F</m:t>
            </m:r>
          </m:sub>
        </m:sSub>
      </m:oMath>
      <w:r>
        <w:t xml:space="preserve">;</w:t>
      </w:r>
      <w:r>
        <w:t xml:space="preserve"> </w:t>
      </w:r>
      <m:oMath>
        <m:sSub>
          <m:e>
            <m:r>
              <m:t>Q</m:t>
            </m:r>
          </m:e>
          <m:sub>
            <m:r>
              <m:t>M</m:t>
            </m:r>
          </m:sub>
        </m:sSub>
      </m:oMath>
      <w:r>
        <w:t xml:space="preserve">: medida con la Supervisión;</w:t>
      </w:r>
      <w:r>
        <w:t xml:space="preserve"> </w:t>
      </w:r>
      <m:oMath>
        <m:sSub>
          <m:e>
            <m:r>
              <m:t>Q</m:t>
            </m:r>
          </m:e>
          <m:sub>
            <m:r>
              <m:t>P</m:t>
            </m:r>
          </m:sub>
        </m:sSub>
      </m:oMath>
      <w:r>
        <w:t xml:space="preserve">: pagada;</w:t>
      </w:r>
      <w:r>
        <w:t xml:space="preserve"> </w:t>
      </w:r>
      <m:oMath>
        <m:sSub>
          <m:e>
            <m:r>
              <m:t>δ</m:t>
            </m:r>
          </m:e>
          <m:sub>
            <m:r>
              <m:t>P</m:t>
            </m:r>
            <m:r>
              <m:rPr>
                <m:sty m:val="p"/>
              </m:rPr>
              <m:t>/</m:t>
            </m:r>
            <m:r>
              <m:t>M</m:t>
            </m:r>
          </m:sub>
        </m:sSub>
        <m:r>
          <m:rPr>
            <m:sty m:val="p"/>
          </m:rPr>
          <m:t>=</m:t>
        </m:r>
        <m:d>
          <m:dPr>
            <m:begChr m:val="("/>
            <m:endChr m:val=")"/>
            <m:sepChr m:val=""/>
            <m:grow/>
          </m:dPr>
          <m:e>
            <m:sSub>
              <m:e>
                <m:r>
                  <m:t>Q</m:t>
                </m:r>
              </m:e>
              <m:sub>
                <m:r>
                  <m:t>P</m:t>
                </m:r>
              </m:sub>
            </m:sSub>
            <m:r>
              <m:rPr>
                <m:sty m:val="p"/>
              </m:rPr>
              <m:t>−</m:t>
            </m:r>
            <m:sSub>
              <m:e>
                <m:r>
                  <m:t>Q</m:t>
                </m:r>
              </m:e>
              <m:sub>
                <m:r>
                  <m:t>M</m:t>
                </m:r>
              </m:sub>
            </m:sSub>
          </m:e>
        </m:d>
        <m:r>
          <m:rPr>
            <m:sty m:val="p"/>
          </m:rPr>
          <m:t>/</m:t>
        </m:r>
        <m:sSub>
          <m:e>
            <m:r>
              <m:t>Q</m:t>
            </m:r>
          </m:e>
          <m:sub>
            <m:r>
              <m:t>M</m:t>
            </m:r>
          </m:sub>
        </m:sSub>
        <m:r>
          <m:rPr>
            <m:sty m:val="p"/>
          </m:rPr>
          <m:t>×</m:t>
        </m:r>
        <m:r>
          <m:t>100</m:t>
        </m:r>
      </m:oMath>
      <w:r>
        <w:t xml:space="preserve">; kg/m</w:t>
      </w:r>
      <w:r>
        <w:rPr>
          <w:vertAlign w:val="superscript"/>
        </w:rPr>
        <w:t xml:space="preserve">2</w:t>
      </w:r>
      <w:r>
        <w:t xml:space="preserve">: cuantía de acero de la losa.</w:t>
      </w:r>
    </w:p>
    <w:p>
      <w:pPr>
        <w:pStyle w:val="Heading2"/>
      </w:pPr>
      <w:bookmarkStart w:id="355" w:name="tit167"/>
      <w:r>
        <w:t xml:space="preserve">C.5. Registro de no conformidades y acción correctiva</w:t>
      </w:r>
      <w:bookmarkEnd w:id="355"/>
    </w:p>
    <w:p>
      <w:pPr>
        <w:pStyle w:val="FirstParagraph"/>
      </w:pPr>
      <w:r>
        <w:rPr>
          <w:bCs/>
          <w:b/>
        </w:rPr>
        <w:t xml:space="preserve">Uso.</w:t>
      </w:r>
      <w:r>
        <w:t xml:space="preserve"> </w:t>
      </w:r>
      <w:r>
        <w:t xml:space="preserve">Un registro por no conformidad (NC), abierto dentro de las 24 h de su detección y cerrado en 7 días o menos (objetivo OC9). Procedimiento: Figura 12. El costo se traslada a la planilla C.6.</w:t>
      </w:r>
    </w:p>
    <w:tbl>
      <w:tblPr>
        <w:tblStyle w:val="Table"/>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0" w:lastRow="0" w:firstColumn="0" w:lastColumn="0" w:noHBand="0" w:noVBand="0" w:val="0000"/>
      </w:tblPr>
      <w:tblGrid>
        <w:gridCol w:w="2930"/>
        <w:gridCol w:w="4240"/>
        <w:gridCol w:w="1900"/>
      </w:tblGrid>
      <w:tr>
        <w:tc>
          <w:tcPr>
            <w:tcW w:w="2930" w:type="dxa"/>
          </w:tcPr>
          <w:p>
            <w:pPr>
              <w:pStyle w:val="CeldaAPA"/>
              <w:jc w:val="left"/>
            </w:pPr>
            <w:r>
              <w:rPr>
                <w:bCs/>
                <w:b/>
                <w:sz w:val="20"/>
                <w:szCs w:val="20"/>
              </w:rPr>
              <w:t xml:space="preserve">UATF – Edificio de Posgrado</w:t>
            </w:r>
          </w:p>
        </w:tc>
        <w:tc>
          <w:tcPr>
            <w:tcW w:w="4240" w:type="dxa"/>
            <w:vMerge w:val="restart"/>
          </w:tcPr>
          <w:p>
            <w:pPr>
              <w:pStyle w:val="CeldaAPA"/>
              <w:jc w:val="left"/>
            </w:pPr>
            <w:r>
              <w:rPr>
                <w:bCs/>
                <w:b/>
                <w:sz w:val="20"/>
                <w:szCs w:val="20"/>
              </w:rPr>
              <w:t xml:space="preserve">Registro de no conformidad y acción correctiva</w:t>
            </w:r>
          </w:p>
        </w:tc>
        <w:tc>
          <w:tcPr>
            <w:tcW w:w="1900" w:type="dxa"/>
          </w:tcPr>
          <w:p>
            <w:pPr>
              <w:pStyle w:val="CeldaAPA"/>
              <w:jc w:val="left"/>
            </w:pPr>
            <w:r>
              <w:rPr>
                <w:bCs/>
                <w:b/>
                <w:sz w:val="20"/>
                <w:szCs w:val="20"/>
              </w:rPr>
              <w:t xml:space="preserve">Código:</w:t>
            </w:r>
            <w:r>
              <w:rPr>
                <w:sz w:val="20"/>
                <w:szCs w:val="20"/>
              </w:rPr>
              <w:t xml:space="preserve"> </w:t>
            </w:r>
            <w:r>
              <w:rPr>
                <w:sz w:val="20"/>
                <w:szCs w:val="20"/>
              </w:rPr>
              <w:t xml:space="preserve">C.5</w:t>
            </w:r>
          </w:p>
        </w:tc>
      </w:tr>
      <w:tr>
        <w:tc>
          <w:tcPr>
            <w:tcW w:w="2930" w:type="dxa"/>
          </w:tcPr>
          <w:p>
            <w:pPr>
              <w:pStyle w:val="CeldaAPA"/>
              <w:jc w:val="left"/>
            </w:pPr>
            <w:r>
              <w:rPr>
                <w:sz w:val="20"/>
                <w:szCs w:val="20"/>
              </w:rPr>
              <w:t xml:space="preserve">Ítem 13: losa alivianada h = 25 cm</w:t>
            </w:r>
          </w:p>
        </w:tc>
        <w:tc>
          <w:tcPr>
            <w:tcW w:w="4240" w:type="dxa"/>
            <w:gridSpan w:val="1"/>
            <w:vMerge w:val="continue"/>
          </w:tcPr>
          <w:p>
            <w:pPr>
              <w:pStyle w:val="CeldaAPA"/>
            </w:pPr>
          </w:p>
        </w:tc>
        <w:tc>
          <w:tcPr>
            <w:tcW w:w="1900" w:type="dxa"/>
          </w:tcPr>
          <w:p>
            <w:pPr>
              <w:pStyle w:val="CeldaAPA"/>
              <w:jc w:val="left"/>
            </w:pPr>
            <w:r>
              <w:rPr>
                <w:sz w:val="20"/>
                <w:szCs w:val="20"/>
              </w:rPr>
              <w:t xml:space="preserve">Versión 0</w:t>
            </w:r>
          </w:p>
        </w:tc>
      </w:tr>
    </w:tbl>
    <w:tbl>
      <w:tblPr>
        <w:tblStyle w:val="Table"/>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0" w:lastRow="0" w:firstColumn="0" w:lastColumn="0" w:noHBand="0" w:noVBand="0" w:val="0000"/>
      </w:tblPr>
      <w:tblGrid>
        <w:gridCol w:w="3120"/>
        <w:gridCol w:w="3120"/>
        <w:gridCol w:w="3120"/>
      </w:tblGrid>
      <w:tr>
        <w:tc>
          <w:tcPr>
            <w:tcW w:w="3120" w:type="dxa"/>
          </w:tcPr>
          <w:p>
            <w:pPr>
              <w:pStyle w:val="CeldaAPA"/>
              <w:jc w:val="left"/>
            </w:pPr>
            <w:r>
              <w:rPr>
                <w:sz w:val="20"/>
                <w:szCs w:val="20"/>
              </w:rPr>
              <w:t xml:space="preserve">NC N.</w:t>
            </w:r>
            <w:r>
              <w:rPr>
                <w:vertAlign w:val="superscript"/>
                <w:sz w:val="20"/>
                <w:szCs w:val="20"/>
              </w:rPr>
              <w:t xml:space="preserve">o</w:t>
            </w:r>
            <w:r>
              <w:rPr>
                <w:sz w:val="20"/>
                <w:szCs w:val="20"/>
              </w:rPr>
              <w:t xml:space="preserve"> ______________</w:t>
            </w:r>
          </w:p>
        </w:tc>
        <w:tc>
          <w:tcPr>
            <w:tcW w:w="3120" w:type="dxa"/>
          </w:tcPr>
          <w:p>
            <w:pPr>
              <w:pStyle w:val="CeldaAPA"/>
              <w:jc w:val="left"/>
            </w:pPr>
            <w:r>
              <w:rPr>
                <w:sz w:val="20"/>
                <w:szCs w:val="20"/>
              </w:rPr>
              <w:t xml:space="preserve">Fecha de detección ______________</w:t>
            </w:r>
          </w:p>
        </w:tc>
        <w:tc>
          <w:tcPr>
            <w:tcW w:w="3120" w:type="dxa"/>
          </w:tcPr>
          <w:p>
            <w:pPr>
              <w:pStyle w:val="CeldaAPA"/>
              <w:jc w:val="left"/>
            </w:pPr>
            <w:r>
              <w:rPr>
                <w:sz w:val="20"/>
                <w:szCs w:val="20"/>
              </w:rPr>
              <w:t xml:space="preserve">Detectada por ______________</w:t>
            </w:r>
          </w:p>
        </w:tc>
      </w:tr>
      <w:tr>
        <w:tc>
          <w:tcPr>
            <w:tcW w:w="3120" w:type="dxa"/>
          </w:tcPr>
          <w:p>
            <w:pPr>
              <w:pStyle w:val="CeldaAPA"/>
              <w:jc w:val="left"/>
            </w:pPr>
            <w:r>
              <w:rPr>
                <w:sz w:val="20"/>
                <w:szCs w:val="20"/>
              </w:rPr>
              <w:t xml:space="preserve">Losa / paño / lote ______________</w:t>
            </w:r>
          </w:p>
        </w:tc>
        <w:tc>
          <w:tcPr>
            <w:tcW w:w="3120" w:type="dxa"/>
          </w:tcPr>
          <w:p>
            <w:pPr>
              <w:pStyle w:val="CeldaAPA"/>
              <w:jc w:val="left"/>
            </w:pPr>
            <w:r>
              <w:rPr>
                <w:sz w:val="20"/>
                <w:szCs w:val="20"/>
              </w:rPr>
              <w:t xml:space="preserve">Requisito incumplido (plano, ET, PPI, PCM, contrato) ______________</w:t>
            </w:r>
          </w:p>
        </w:tc>
        <w:tc>
          <w:tcPr>
            <w:tcW w:w="3120" w:type="dxa"/>
          </w:tcPr>
          <w:p>
            <w:pPr>
              <w:pStyle w:val="CeldaAPA"/>
              <w:jc w:val="left"/>
            </w:pPr>
            <w:r>
              <w:rPr>
                <w:sz w:val="20"/>
                <w:szCs w:val="20"/>
              </w:rPr>
              <w:t xml:space="preserve">Referencia ______________</w:t>
            </w:r>
          </w:p>
        </w:tc>
      </w:tr>
      <w:tr>
        <w:tc>
          <w:tcPr>
            <w:tcW w:w="9360" w:type="dxa"/>
            <w:gridSpan w:val="3"/>
          </w:tcPr>
          <w:p>
            <w:pPr>
              <w:pStyle w:val="CeldaAPA"/>
              <w:jc w:val="left"/>
            </w:pPr>
            <w:r>
              <w:rPr>
                <w:sz w:val="20"/>
                <w:szCs w:val="20"/>
              </w:rPr>
              <w:t xml:space="preserve">Proceso: ☐ Recepción ☐ Almacén ☐ Ejecución del paño ☐ Hormigón ☐ Cantidades ☐ Documentos Clasificación: ☐ Crítica ☐ Mayor ☐ Menor</w:t>
            </w:r>
          </w:p>
        </w:tc>
      </w:tr>
    </w:tbl>
    <w:tbl>
      <w:tblPr>
        <w:tblStyle w:val="Table"/>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1" w:lastRow="0" w:firstColumn="0" w:lastColumn="0" w:noHBand="0" w:noVBand="0" w:val="0020"/>
      </w:tblPr>
      <w:tblGrid>
        <w:gridCol w:w="9360"/>
      </w:tblGrid>
      <w:tr>
        <w:trPr>
          <w:cantSplit/>
          <w:tblHeader w:val="true"/>
        </w:trPr>
        <w:tc>
          <w:tcPr>
            <w:tcW w:w="9360" w:type="dxa"/>
          </w:tcPr>
          <w:p>
            <w:pPr>
              <w:pStyle w:val="CeldaAPA"/>
              <w:jc w:val="left"/>
            </w:pPr>
            <w:r>
              <w:rPr>
                <w:bCs/>
                <w:b/>
                <w:sz w:val="20"/>
                <w:szCs w:val="20"/>
              </w:rPr>
              <w:t xml:space="preserve">1. Descripción de la no conformidad</w:t>
            </w:r>
            <w:r>
              <w:rPr>
                <w:sz w:val="20"/>
                <w:szCs w:val="20"/>
              </w:rPr>
              <w:t xml:space="preserve"> </w:t>
            </w:r>
            <w:r>
              <w:rPr>
                <w:sz w:val="20"/>
                <w:szCs w:val="20"/>
              </w:rPr>
              <w:t xml:space="preserve">(qué se encontró, dónde, magnitud; fotografía N.</w:t>
            </w:r>
            <w:r>
              <w:rPr>
                <w:vertAlign w:val="superscript"/>
                <w:sz w:val="20"/>
                <w:szCs w:val="20"/>
              </w:rPr>
              <w:t xml:space="preserve">o</w:t>
            </w:r>
            <w:r>
              <w:rPr>
                <w:sz w:val="20"/>
                <w:szCs w:val="20"/>
              </w:rPr>
              <w:t xml:space="preserve">)</w:t>
            </w:r>
          </w:p>
        </w:tc>
      </w:tr>
      <w:tr>
        <w:tc>
          <w:tcPr>
            <w:tcW w:w="9360" w:type="dxa"/>
          </w:tcPr>
          <w:p>
            <w:pPr>
              <w:pStyle w:val="CeldaAPA"/>
              <w:jc w:val="left"/>
            </w:pPr>
            <w:r>
              <w:rPr>
                <w:bCs/>
                <w:b/>
                <w:sz w:val="20"/>
                <w:szCs w:val="20"/>
              </w:rPr>
              <w:t xml:space="preserve">2. Contención y corrección</w:t>
            </w:r>
            <w:r>
              <w:rPr>
                <w:sz w:val="20"/>
                <w:szCs w:val="20"/>
              </w:rPr>
              <w:t xml:space="preserve"> </w:t>
            </w:r>
            <w:r>
              <w:rPr>
                <w:sz w:val="20"/>
                <w:szCs w:val="20"/>
              </w:rPr>
              <w:t xml:space="preserve">Paño o lote retenido: ☐ Sí ☐ No Acción inmediata, responsable y fecha:</w:t>
            </w:r>
          </w:p>
        </w:tc>
      </w:tr>
      <w:tr>
        <w:tc>
          <w:tcPr>
            <w:tcW w:w="9360" w:type="dxa"/>
          </w:tcPr>
          <w:p>
            <w:pPr>
              <w:pStyle w:val="CeldaAPA"/>
              <w:jc w:val="left"/>
            </w:pPr>
            <w:r>
              <w:rPr>
                <w:bCs/>
                <w:b/>
                <w:sz w:val="20"/>
                <w:szCs w:val="20"/>
              </w:rPr>
              <w:t xml:space="preserve">3. Análisis de causa.</w:t>
            </w:r>
            <w:r>
              <w:rPr>
                <w:sz w:val="20"/>
                <w:szCs w:val="20"/>
              </w:rPr>
              <w:t xml:space="preserve"> </w:t>
            </w:r>
            <w:r>
              <w:rPr>
                <w:iCs/>
                <w:i/>
                <w:sz w:val="20"/>
                <w:szCs w:val="20"/>
              </w:rPr>
              <w:t xml:space="preserve">5 porqués:</w:t>
            </w:r>
          </w:p>
        </w:tc>
      </w:tr>
      <w:tr>
        <w:tc>
          <w:tcPr>
            <w:tcW w:w="9360" w:type="dxa"/>
          </w:tcPr>
          <w:p>
            <w:pPr>
              <w:pStyle w:val="CeldaAPA"/>
              <w:jc w:val="left"/>
            </w:pPr>
            <w:r>
              <w:rPr>
                <w:sz w:val="20"/>
                <w:szCs w:val="20"/>
              </w:rPr>
              <w:t xml:space="preserve">1. ¿Por qué? ______________</w:t>
            </w:r>
          </w:p>
        </w:tc>
      </w:tr>
      <w:tr>
        <w:tc>
          <w:tcPr>
            <w:tcW w:w="9360" w:type="dxa"/>
          </w:tcPr>
          <w:p>
            <w:pPr>
              <w:pStyle w:val="CeldaAPA"/>
              <w:jc w:val="left"/>
            </w:pPr>
            <w:r>
              <w:rPr>
                <w:sz w:val="20"/>
                <w:szCs w:val="20"/>
              </w:rPr>
              <w:t xml:space="preserve">2. ¿Por qué? ______________</w:t>
            </w:r>
          </w:p>
        </w:tc>
      </w:tr>
      <w:tr>
        <w:tc>
          <w:tcPr>
            <w:tcW w:w="9360" w:type="dxa"/>
          </w:tcPr>
          <w:p>
            <w:pPr>
              <w:pStyle w:val="CeldaAPA"/>
              <w:jc w:val="left"/>
            </w:pPr>
            <w:r>
              <w:rPr>
                <w:sz w:val="20"/>
                <w:szCs w:val="20"/>
              </w:rPr>
              <w:t xml:space="preserve">3. ¿Por qué? ______________</w:t>
            </w:r>
          </w:p>
        </w:tc>
      </w:tr>
      <w:tr>
        <w:tc>
          <w:tcPr>
            <w:tcW w:w="9360" w:type="dxa"/>
          </w:tcPr>
          <w:p>
            <w:pPr>
              <w:pStyle w:val="CeldaAPA"/>
              <w:jc w:val="left"/>
            </w:pPr>
            <w:r>
              <w:rPr>
                <w:sz w:val="20"/>
                <w:szCs w:val="20"/>
              </w:rPr>
              <w:t xml:space="preserve">4. ¿Por qué? ______________</w:t>
            </w:r>
          </w:p>
        </w:tc>
      </w:tr>
      <w:tr>
        <w:tc>
          <w:tcPr>
            <w:tcW w:w="9360" w:type="dxa"/>
          </w:tcPr>
          <w:p>
            <w:pPr>
              <w:pStyle w:val="CeldaAPA"/>
              <w:jc w:val="left"/>
            </w:pPr>
            <w:r>
              <w:rPr>
                <w:sz w:val="20"/>
                <w:szCs w:val="20"/>
              </w:rPr>
              <w:t xml:space="preserve">5. ¿Por qué? ______________</w:t>
            </w:r>
          </w:p>
        </w:tc>
      </w:tr>
      <w:tr>
        <w:tc>
          <w:tcPr>
            <w:tcW w:w="9360" w:type="dxa"/>
          </w:tcPr>
          <w:p>
            <w:pPr>
              <w:pStyle w:val="CeldaAPA"/>
              <w:jc w:val="left"/>
            </w:pPr>
            <w:r>
              <w:rPr>
                <w:iCs/>
                <w:i/>
                <w:sz w:val="20"/>
                <w:szCs w:val="20"/>
              </w:rPr>
              <w:t xml:space="preserve">Ishikawa (6M):</w:t>
            </w:r>
            <w:r>
              <w:rPr>
                <w:sz w:val="20"/>
                <w:szCs w:val="20"/>
              </w:rPr>
              <w:t xml:space="preserve"> </w:t>
            </w:r>
            <w:r>
              <w:rPr>
                <w:sz w:val="20"/>
                <w:szCs w:val="20"/>
              </w:rPr>
              <w:t xml:space="preserve">☐ Mano de obra ☐ Método ☐ Materiales ☐ Maquinaria ☐ Medición ☐ Medio ambiente Causa raíz: ______________</w:t>
            </w:r>
          </w:p>
        </w:tc>
      </w:tr>
    </w:tbl>
    <w:tbl>
      <w:tblPr>
        <w:tblStyle w:val="Table"/>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1" w:lastRow="0" w:firstColumn="0" w:lastColumn="0" w:noHBand="0" w:noVBand="0" w:val="0020"/>
      </w:tblPr>
      <w:tblGrid>
        <w:gridCol w:w="666"/>
        <w:gridCol w:w="3419"/>
        <w:gridCol w:w="1913"/>
        <w:gridCol w:w="1455"/>
        <w:gridCol w:w="1907"/>
      </w:tblGrid>
      <w:tr>
        <w:trPr>
          <w:cantSplit/>
          <w:tblHeader w:val="true"/>
        </w:trPr>
        <w:tc>
          <w:tcPr>
            <w:tcW w:w="9360" w:type="dxa"/>
            <w:gridSpan w:val="5"/>
          </w:tcPr>
          <w:p>
            <w:pPr>
              <w:pStyle w:val="CeldaAPA"/>
              <w:jc w:val="left"/>
            </w:pPr>
            <w:r>
              <w:rPr>
                <w:bCs/>
                <w:b/>
                <w:sz w:val="20"/>
                <w:szCs w:val="20"/>
              </w:rPr>
              <w:t xml:space="preserve">4. Acción correctiva</w:t>
            </w:r>
            <w:r>
              <w:rPr>
                <w:sz w:val="20"/>
                <w:szCs w:val="20"/>
              </w:rPr>
              <w:t xml:space="preserve"> </w:t>
            </w:r>
            <w:r>
              <w:rPr>
                <w:sz w:val="20"/>
                <w:szCs w:val="20"/>
              </w:rPr>
              <w:t xml:space="preserve">(elimina la causa; la aprueba el Director de obra)</w:t>
            </w:r>
          </w:p>
        </w:tc>
      </w:tr>
      <w:tr>
        <w:tc>
          <w:tcPr>
            <w:tcW w:w="666" w:type="dxa"/>
          </w:tcPr>
          <w:p>
            <w:pPr>
              <w:pStyle w:val="CeldaAPA"/>
              <w:jc w:val="center"/>
            </w:pPr>
            <w:r>
              <w:rPr>
                <w:bCs/>
                <w:b/>
                <w:sz w:val="20"/>
                <w:szCs w:val="20"/>
              </w:rPr>
              <w:t xml:space="preserve">N.</w:t>
            </w:r>
            <w:r>
              <w:rPr>
                <w:vertAlign w:val="superscript"/>
                <w:bCs/>
                <w:b/>
                <w:sz w:val="20"/>
                <w:szCs w:val="20"/>
              </w:rPr>
              <w:t xml:space="preserve">o</w:t>
            </w:r>
          </w:p>
        </w:tc>
        <w:tc>
          <w:tcPr>
            <w:tcW w:w="3419" w:type="dxa"/>
          </w:tcPr>
          <w:p>
            <w:pPr>
              <w:pStyle w:val="CeldaAPA"/>
              <w:jc w:val="left"/>
            </w:pPr>
            <w:r>
              <w:rPr>
                <w:bCs/>
                <w:b/>
                <w:sz w:val="20"/>
                <w:szCs w:val="20"/>
              </w:rPr>
              <w:t xml:space="preserve">Acción</w:t>
            </w:r>
          </w:p>
        </w:tc>
        <w:tc>
          <w:tcPr>
            <w:tcW w:w="1913" w:type="dxa"/>
          </w:tcPr>
          <w:p>
            <w:pPr>
              <w:pStyle w:val="CeldaAPA"/>
              <w:jc w:val="left"/>
            </w:pPr>
            <w:r>
              <w:rPr>
                <w:bCs/>
                <w:b/>
                <w:sz w:val="20"/>
                <w:szCs w:val="20"/>
              </w:rPr>
              <w:t xml:space="preserve">Responsable</w:t>
            </w:r>
          </w:p>
        </w:tc>
        <w:tc>
          <w:tcPr>
            <w:tcW w:w="1455" w:type="dxa"/>
          </w:tcPr>
          <w:p>
            <w:pPr>
              <w:pStyle w:val="CeldaAPA"/>
              <w:jc w:val="left"/>
            </w:pPr>
            <w:r>
              <w:rPr>
                <w:bCs/>
                <w:b/>
                <w:sz w:val="20"/>
                <w:szCs w:val="20"/>
              </w:rPr>
              <w:t xml:space="preserve">Plazo</w:t>
            </w:r>
          </w:p>
        </w:tc>
        <w:tc>
          <w:tcPr>
            <w:tcW w:w="1907" w:type="dxa"/>
          </w:tcPr>
          <w:p>
            <w:pPr>
              <w:pStyle w:val="CeldaAPA"/>
              <w:jc w:val="left"/>
            </w:pPr>
            <w:r>
              <w:rPr>
                <w:bCs/>
                <w:b/>
                <w:sz w:val="20"/>
                <w:szCs w:val="20"/>
              </w:rPr>
              <w:t xml:space="preserve">Recursos</w:t>
            </w:r>
          </w:p>
        </w:tc>
      </w:tr>
      <w:tr>
        <w:tc>
          <w:tcPr>
            <w:tcW w:w="666" w:type="dxa"/>
          </w:tcPr>
          <w:p>
            <w:pPr>
              <w:pStyle w:val="CeldaAPA"/>
              <w:jc w:val="center"/>
            </w:pPr>
            <w:r>
              <w:rPr>
                <w:sz w:val="20"/>
                <w:szCs w:val="20"/>
              </w:rPr>
              <w:t xml:space="preserve">1</w:t>
            </w:r>
          </w:p>
        </w:tc>
        <w:tc>
          <w:tcPr>
            <w:tcW w:w="3419" w:type="dxa"/>
          </w:tcPr>
          <w:p>
            <w:pPr>
              <w:pStyle w:val="CeldaAPA"/>
            </w:pPr>
          </w:p>
        </w:tc>
        <w:tc>
          <w:tcPr>
            <w:tcW w:w="1913" w:type="dxa"/>
          </w:tcPr>
          <w:p>
            <w:pPr>
              <w:pStyle w:val="CeldaAPA"/>
            </w:pPr>
          </w:p>
        </w:tc>
        <w:tc>
          <w:tcPr>
            <w:tcW w:w="1455" w:type="dxa"/>
          </w:tcPr>
          <w:p>
            <w:pPr>
              <w:pStyle w:val="CeldaAPA"/>
            </w:pPr>
          </w:p>
        </w:tc>
        <w:tc>
          <w:tcPr>
            <w:tcW w:w="1907" w:type="dxa"/>
          </w:tcPr>
          <w:p>
            <w:pPr>
              <w:pStyle w:val="CeldaAPA"/>
            </w:pPr>
          </w:p>
        </w:tc>
      </w:tr>
      <w:tr>
        <w:tc>
          <w:tcPr>
            <w:tcW w:w="666" w:type="dxa"/>
          </w:tcPr>
          <w:p>
            <w:pPr>
              <w:pStyle w:val="CeldaAPA"/>
              <w:jc w:val="center"/>
            </w:pPr>
            <w:r>
              <w:rPr>
                <w:sz w:val="20"/>
                <w:szCs w:val="20"/>
              </w:rPr>
              <w:t xml:space="preserve">2</w:t>
            </w:r>
          </w:p>
        </w:tc>
        <w:tc>
          <w:tcPr>
            <w:tcW w:w="3419" w:type="dxa"/>
          </w:tcPr>
          <w:p>
            <w:pPr>
              <w:pStyle w:val="CeldaAPA"/>
            </w:pPr>
          </w:p>
        </w:tc>
        <w:tc>
          <w:tcPr>
            <w:tcW w:w="1913" w:type="dxa"/>
          </w:tcPr>
          <w:p>
            <w:pPr>
              <w:pStyle w:val="CeldaAPA"/>
            </w:pPr>
          </w:p>
        </w:tc>
        <w:tc>
          <w:tcPr>
            <w:tcW w:w="1455" w:type="dxa"/>
          </w:tcPr>
          <w:p>
            <w:pPr>
              <w:pStyle w:val="CeldaAPA"/>
            </w:pPr>
          </w:p>
        </w:tc>
        <w:tc>
          <w:tcPr>
            <w:tcW w:w="1907" w:type="dxa"/>
          </w:tcPr>
          <w:p>
            <w:pPr>
              <w:pStyle w:val="CeldaAPA"/>
            </w:pPr>
          </w:p>
        </w:tc>
      </w:tr>
      <w:tr>
        <w:tc>
          <w:tcPr>
            <w:tcW w:w="666" w:type="dxa"/>
          </w:tcPr>
          <w:p>
            <w:pPr>
              <w:pStyle w:val="CeldaAPA"/>
              <w:jc w:val="center"/>
            </w:pPr>
            <w:r>
              <w:rPr>
                <w:sz w:val="20"/>
                <w:szCs w:val="20"/>
              </w:rPr>
              <w:t xml:space="preserve">3</w:t>
            </w:r>
          </w:p>
        </w:tc>
        <w:tc>
          <w:tcPr>
            <w:tcW w:w="3419" w:type="dxa"/>
          </w:tcPr>
          <w:p>
            <w:pPr>
              <w:pStyle w:val="CeldaAPA"/>
            </w:pPr>
          </w:p>
        </w:tc>
        <w:tc>
          <w:tcPr>
            <w:tcW w:w="1913" w:type="dxa"/>
          </w:tcPr>
          <w:p>
            <w:pPr>
              <w:pStyle w:val="CeldaAPA"/>
            </w:pPr>
          </w:p>
        </w:tc>
        <w:tc>
          <w:tcPr>
            <w:tcW w:w="1455" w:type="dxa"/>
          </w:tcPr>
          <w:p>
            <w:pPr>
              <w:pStyle w:val="CeldaAPA"/>
            </w:pPr>
          </w:p>
        </w:tc>
        <w:tc>
          <w:tcPr>
            <w:tcW w:w="1907" w:type="dxa"/>
          </w:tcPr>
          <w:p>
            <w:pPr>
              <w:pStyle w:val="CeldaAPA"/>
            </w:pPr>
          </w:p>
        </w:tc>
      </w:tr>
    </w:tbl>
    <w:tbl>
      <w:tblPr>
        <w:tblStyle w:val="Table"/>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1" w:lastRow="0" w:firstColumn="0" w:lastColumn="0" w:noHBand="0" w:noVBand="0" w:val="0020"/>
      </w:tblPr>
      <w:tblGrid>
        <w:gridCol w:w="4680"/>
        <w:gridCol w:w="4680"/>
      </w:tblGrid>
      <w:tr>
        <w:trPr>
          <w:cantSplit/>
          <w:tblHeader w:val="true"/>
        </w:trPr>
        <w:tc>
          <w:tcPr>
            <w:tcW w:w="9360" w:type="dxa"/>
            <w:gridSpan w:val="2"/>
          </w:tcPr>
          <w:p>
            <w:pPr>
              <w:pStyle w:val="CeldaAPA"/>
              <w:jc w:val="left"/>
            </w:pPr>
            <w:r>
              <w:rPr>
                <w:bCs/>
                <w:b/>
                <w:sz w:val="20"/>
                <w:szCs w:val="20"/>
              </w:rPr>
              <w:t xml:space="preserve">5. Verificación de la eficacia</w:t>
            </w:r>
          </w:p>
        </w:tc>
      </w:tr>
      <w:tr>
        <w:tc>
          <w:tcPr>
            <w:tcW w:w="4680" w:type="dxa"/>
          </w:tcPr>
          <w:p>
            <w:pPr>
              <w:pStyle w:val="CeldaAPA"/>
              <w:jc w:val="left"/>
            </w:pPr>
            <w:r>
              <w:rPr>
                <w:sz w:val="20"/>
                <w:szCs w:val="20"/>
              </w:rPr>
              <w:t xml:space="preserve">Fecha de verificación ______________</w:t>
            </w:r>
          </w:p>
        </w:tc>
        <w:tc>
          <w:tcPr>
            <w:tcW w:w="4680" w:type="dxa"/>
          </w:tcPr>
          <w:p>
            <w:pPr>
              <w:pStyle w:val="CeldaAPA"/>
              <w:jc w:val="left"/>
            </w:pPr>
            <w:r>
              <w:rPr>
                <w:sz w:val="20"/>
                <w:szCs w:val="20"/>
              </w:rPr>
              <w:t xml:space="preserve">Evidencia (paños o lotes revisados) ______________</w:t>
            </w:r>
          </w:p>
        </w:tc>
      </w:tr>
      <w:tr>
        <w:tc>
          <w:tcPr>
            <w:tcW w:w="9360" w:type="dxa"/>
            <w:gridSpan w:val="2"/>
          </w:tcPr>
          <w:p>
            <w:pPr>
              <w:pStyle w:val="CeldaAPA"/>
              <w:jc w:val="left"/>
            </w:pPr>
            <w:r>
              <w:rPr>
                <w:sz w:val="20"/>
                <w:szCs w:val="20"/>
              </w:rPr>
              <w:t xml:space="preserve">¿Se repitió la NC? ☐ No (eficaz) ☐ Sí (no eficaz: nuevo análisis de causa, punto 3)</w:t>
            </w:r>
          </w:p>
        </w:tc>
      </w:tr>
      <w:tr>
        <w:tc>
          <w:tcPr>
            <w:tcW w:w="9360" w:type="dxa"/>
            <w:gridSpan w:val="2"/>
          </w:tcPr>
          <w:p>
            <w:pPr>
              <w:pStyle w:val="CeldaAPA"/>
              <w:jc w:val="left"/>
            </w:pPr>
            <w:r>
              <w:rPr>
                <w:bCs/>
                <w:b/>
                <w:sz w:val="20"/>
                <w:szCs w:val="20"/>
              </w:rPr>
              <w:t xml:space="preserve">6. Costo asociado (precios constantes del contrato)</w:t>
            </w:r>
            <w:r>
              <w:rPr>
                <w:sz w:val="20"/>
                <w:szCs w:val="20"/>
              </w:rPr>
              <w:t xml:space="preserve"> </w:t>
            </w:r>
            <w:r>
              <w:rPr>
                <w:sz w:val="20"/>
                <w:szCs w:val="20"/>
              </w:rPr>
              <w:t xml:space="preserve">Categoría: ☐ Falla interna ☐ Falla externa</w:t>
            </w:r>
          </w:p>
        </w:tc>
      </w:tr>
      <w:tr>
        <w:tc>
          <w:tcPr>
            <w:tcW w:w="4680" w:type="dxa"/>
          </w:tcPr>
          <w:p>
            <w:pPr>
              <w:pStyle w:val="CeldaAPA"/>
              <w:jc w:val="left"/>
            </w:pPr>
            <w:r>
              <w:rPr>
                <w:sz w:val="20"/>
                <w:szCs w:val="20"/>
              </w:rPr>
              <w:t xml:space="preserve">Mano de obra: horas-hombre</w:t>
            </w:r>
            <w:r>
              <w:rPr>
                <w:sz w:val="20"/>
                <w:szCs w:val="20"/>
              </w:rPr>
              <w:t xml:space="preserve"> </w:t>
            </w:r>
            <m:oMath>
              <m:r>
                <m:rPr>
                  <m:sty m:val="p"/>
                </m:rPr>
                <m:t>×</m:t>
              </m:r>
            </m:oMath>
            <w:r>
              <w:rPr>
                <w:sz w:val="20"/>
                <w:szCs w:val="20"/>
              </w:rPr>
              <w:t xml:space="preserve"> </w:t>
            </w:r>
            <w:r>
              <w:rPr>
                <w:sz w:val="20"/>
                <w:szCs w:val="20"/>
              </w:rPr>
              <w:t xml:space="preserve">costo horario = Bs ______________</w:t>
            </w:r>
          </w:p>
        </w:tc>
        <w:tc>
          <w:tcPr>
            <w:tcW w:w="4680" w:type="dxa"/>
          </w:tcPr>
          <w:p>
            <w:pPr>
              <w:pStyle w:val="CeldaAPA"/>
              <w:jc w:val="left"/>
            </w:pPr>
            <w:r>
              <w:rPr>
                <w:sz w:val="20"/>
                <w:szCs w:val="20"/>
              </w:rPr>
              <w:t xml:space="preserve">Materiales: cantidad</w:t>
            </w:r>
            <w:r>
              <w:rPr>
                <w:sz w:val="20"/>
                <w:szCs w:val="20"/>
              </w:rPr>
              <w:t xml:space="preserve"> </w:t>
            </w:r>
            <m:oMath>
              <m:r>
                <m:rPr>
                  <m:sty m:val="p"/>
                </m:rPr>
                <m:t>×</m:t>
              </m:r>
            </m:oMath>
            <w:r>
              <w:rPr>
                <w:sz w:val="20"/>
                <w:szCs w:val="20"/>
              </w:rPr>
              <w:t xml:space="preserve"> </w:t>
            </w:r>
            <w:r>
              <w:rPr>
                <w:sz w:val="20"/>
                <w:szCs w:val="20"/>
              </w:rPr>
              <w:t xml:space="preserve">precio = Bs ______________</w:t>
            </w:r>
          </w:p>
        </w:tc>
      </w:tr>
      <w:tr>
        <w:tc>
          <w:tcPr>
            <w:tcW w:w="4680" w:type="dxa"/>
          </w:tcPr>
          <w:p>
            <w:pPr>
              <w:pStyle w:val="CeldaAPA"/>
              <w:jc w:val="left"/>
            </w:pPr>
            <w:r>
              <w:rPr>
                <w:sz w:val="20"/>
                <w:szCs w:val="20"/>
              </w:rPr>
              <w:t xml:space="preserve">Equipo y ensayos = Bs ______________</w:t>
            </w:r>
          </w:p>
        </w:tc>
        <w:tc>
          <w:tcPr>
            <w:tcW w:w="4680" w:type="dxa"/>
          </w:tcPr>
          <w:p>
            <w:pPr>
              <w:pStyle w:val="CeldaAPA"/>
              <w:jc w:val="left"/>
            </w:pPr>
            <w:r>
              <w:rPr>
                <w:bCs/>
                <w:b/>
                <w:sz w:val="20"/>
                <w:szCs w:val="20"/>
              </w:rPr>
              <w:t xml:space="preserve">Total de la NC = Bs</w:t>
            </w:r>
            <w:r>
              <w:rPr>
                <w:sz w:val="20"/>
                <w:szCs w:val="20"/>
              </w:rPr>
              <w:t xml:space="preserve"> ______________</w:t>
            </w:r>
          </w:p>
        </w:tc>
      </w:tr>
      <w:tr>
        <w:tc>
          <w:tcPr>
            <w:tcW w:w="9360" w:type="dxa"/>
            <w:gridSpan w:val="2"/>
          </w:tcPr>
          <w:p>
            <w:pPr>
              <w:pStyle w:val="CeldaAPA"/>
              <w:jc w:val="left"/>
            </w:pPr>
            <w:r>
              <w:rPr>
                <w:bCs/>
                <w:b/>
                <w:sz w:val="20"/>
                <w:szCs w:val="20"/>
              </w:rPr>
              <w:t xml:space="preserve">7. Cierre</w:t>
            </w:r>
            <w:r>
              <w:rPr>
                <w:sz w:val="20"/>
                <w:szCs w:val="20"/>
              </w:rPr>
              <w:t xml:space="preserve"> </w:t>
            </w:r>
            <w:r>
              <w:rPr>
                <w:sz w:val="20"/>
                <w:szCs w:val="20"/>
              </w:rPr>
              <w:t xml:space="preserve">Fecha de cierre</w:t>
            </w:r>
            <w:r>
              <w:rPr>
                <w:sz w:val="20"/>
                <w:szCs w:val="20"/>
              </w:rPr>
              <w:t xml:space="preserve"> </w:t>
            </w:r>
            <w:r>
              <w:rPr>
                <w:u w:val="single"/>
                <w:sz w:val="20"/>
                <w:szCs w:val="20"/>
              </w:rPr>
              <w:t xml:space="preserve"> </w:t>
            </w:r>
            <w:r>
              <w:rPr>
                <w:sz w:val="20"/>
                <w:szCs w:val="20"/>
              </w:rPr>
              <w:t xml:space="preserve"> </w:t>
            </w:r>
            <w:r>
              <w:rPr>
                <w:sz w:val="20"/>
                <w:szCs w:val="20"/>
              </w:rPr>
              <w:t xml:space="preserve">Días desde la detección</w:t>
            </w:r>
            <w:r>
              <w:rPr>
                <w:sz w:val="20"/>
                <w:szCs w:val="20"/>
              </w:rPr>
              <w:t xml:space="preserve"> </w:t>
            </w:r>
            <w:r>
              <w:rPr>
                <w:u w:val="single"/>
                <w:sz w:val="20"/>
                <w:szCs w:val="20"/>
              </w:rPr>
              <w:t xml:space="preserve"> </w:t>
            </w:r>
            <w:r>
              <w:rPr>
                <w:sz w:val="20"/>
                <w:szCs w:val="20"/>
              </w:rPr>
              <w:t xml:space="preserve"> </w:t>
            </w:r>
            <w:r>
              <w:rPr>
                <w:sz w:val="20"/>
                <w:szCs w:val="20"/>
              </w:rPr>
              <w:t xml:space="preserve">(meta:</w:t>
            </w:r>
            <w:r>
              <w:rPr>
                <w:sz w:val="20"/>
                <w:szCs w:val="20"/>
              </w:rPr>
              <w:t xml:space="preserve"> </w:t>
            </w:r>
            <m:oMath>
              <m:r>
                <m:rPr>
                  <m:sty m:val="p"/>
                </m:rPr>
                <m:t>≤</m:t>
              </m:r>
              <m:r>
                <m:t>7</m:t>
              </m:r>
            </m:oMath>
            <w:r>
              <w:rPr>
                <w:sz w:val="20"/>
                <w:szCs w:val="20"/>
              </w:rPr>
              <w:t xml:space="preserve">) Actualizar: ☐ Riesgos ☐ PPI ☐ Procedimiento</w:t>
            </w:r>
          </w:p>
        </w:tc>
      </w:tr>
      <w:tr>
        <w:tc>
          <w:tcPr>
            <w:tcW w:w="9360" w:type="dxa"/>
            <w:gridSpan w:val="2"/>
          </w:tcPr>
          <w:p>
            <w:pPr>
              <w:pStyle w:val="CeldaAPA"/>
              <w:jc w:val="left"/>
            </w:pPr>
            <w:r>
              <w:rPr>
                <w:sz w:val="20"/>
                <w:szCs w:val="20"/>
              </w:rPr>
              <w:t xml:space="preserve">_________________ _________________ _________________ _________________</w:t>
            </w:r>
          </w:p>
        </w:tc>
      </w:tr>
    </w:tbl>
    <w:p>
      <w:pPr>
        <w:pStyle w:val="BodyText"/>
        <w:spacing w:before="240"/>
      </w:pPr>
      <w:r>
        <w:rPr>
          <w:bCs/>
          <w:b/>
        </w:rPr>
        <w:t xml:space="preserve">Registro general de no conformidades de la losa N.</w:t>
      </w:r>
      <w:r>
        <w:rPr>
          <w:vertAlign w:val="superscript"/>
          <w:bCs/>
          <w:b/>
        </w:rPr>
        <w:t xml:space="preserve">o</w:t>
      </w:r>
      <w:r>
        <w:t xml:space="preserve"> </w:t>
      </w:r>
      <w:r>
        <w:rPr>
          <w:u w:val="single"/>
        </w:rPr>
        <w:t xml:space="preserve"> </w:t>
      </w:r>
    </w:p>
    <w:tbl>
      <w:tblPr>
        <w:tblStyle w:val="Table"/>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1" w:lastRow="0" w:firstColumn="0" w:lastColumn="0" w:noHBand="0" w:noVBand="0" w:val="0020"/>
      </w:tblPr>
      <w:tblGrid>
        <w:gridCol w:w="666"/>
        <w:gridCol w:w="1002"/>
        <w:gridCol w:w="867"/>
        <w:gridCol w:w="899"/>
        <w:gridCol w:w="1606"/>
        <w:gridCol w:w="1655"/>
        <w:gridCol w:w="1002"/>
        <w:gridCol w:w="763"/>
        <w:gridCol w:w="900"/>
      </w:tblGrid>
      <w:tr>
        <w:trPr>
          <w:cantSplit/>
          <w:tblHeader w:val="true"/>
        </w:trPr>
        <w:tc>
          <w:tcPr>
            <w:tcW w:w="666" w:type="dxa"/>
          </w:tcPr>
          <w:p>
            <w:pPr>
              <w:pStyle w:val="CeldaAPA"/>
              <w:jc w:val="center"/>
            </w:pPr>
            <w:r>
              <w:rPr>
                <w:bCs/>
                <w:b/>
                <w:sz w:val="20"/>
                <w:szCs w:val="20"/>
              </w:rPr>
              <w:t xml:space="preserve">NC N.</w:t>
            </w:r>
            <w:r>
              <w:rPr>
                <w:vertAlign w:val="superscript"/>
                <w:bCs/>
                <w:b/>
                <w:sz w:val="20"/>
                <w:szCs w:val="20"/>
              </w:rPr>
              <w:t xml:space="preserve">o</w:t>
            </w:r>
          </w:p>
        </w:tc>
        <w:tc>
          <w:tcPr>
            <w:tcW w:w="1002" w:type="dxa"/>
          </w:tcPr>
          <w:p>
            <w:pPr>
              <w:pStyle w:val="CeldaAPA"/>
              <w:jc w:val="center"/>
            </w:pPr>
            <w:r>
              <w:rPr>
                <w:bCs/>
                <w:b/>
                <w:sz w:val="20"/>
                <w:szCs w:val="20"/>
              </w:rPr>
              <w:t xml:space="preserve">Fecha</w:t>
            </w:r>
          </w:p>
        </w:tc>
        <w:tc>
          <w:tcPr>
            <w:tcW w:w="867" w:type="dxa"/>
          </w:tcPr>
          <w:p>
            <w:pPr>
              <w:pStyle w:val="CeldaAPA"/>
              <w:jc w:val="center"/>
            </w:pPr>
            <w:r>
              <w:rPr>
                <w:bCs/>
                <w:b/>
                <w:sz w:val="20"/>
                <w:szCs w:val="20"/>
              </w:rPr>
              <w:t xml:space="preserve">Paño o lote</w:t>
            </w:r>
          </w:p>
        </w:tc>
        <w:tc>
          <w:tcPr>
            <w:tcW w:w="899" w:type="dxa"/>
          </w:tcPr>
          <w:p>
            <w:pPr>
              <w:pStyle w:val="CeldaAPA"/>
              <w:jc w:val="center"/>
            </w:pPr>
            <w:r>
              <w:rPr>
                <w:bCs/>
                <w:b/>
                <w:sz w:val="20"/>
                <w:szCs w:val="20"/>
              </w:rPr>
              <w:t xml:space="preserve">Clase</w:t>
            </w:r>
          </w:p>
        </w:tc>
        <w:tc>
          <w:tcPr>
            <w:tcW w:w="1606" w:type="dxa"/>
          </w:tcPr>
          <w:p>
            <w:pPr>
              <w:pStyle w:val="CeldaAPA"/>
              <w:jc w:val="left"/>
            </w:pPr>
            <w:r>
              <w:rPr>
                <w:bCs/>
                <w:b/>
                <w:sz w:val="20"/>
                <w:szCs w:val="20"/>
              </w:rPr>
              <w:t xml:space="preserve">Descripción breve</w:t>
            </w:r>
          </w:p>
        </w:tc>
        <w:tc>
          <w:tcPr>
            <w:tcW w:w="1655" w:type="dxa"/>
          </w:tcPr>
          <w:p>
            <w:pPr>
              <w:pStyle w:val="CeldaAPA"/>
              <w:jc w:val="center"/>
            </w:pPr>
            <w:r>
              <w:rPr>
                <w:bCs/>
                <w:b/>
                <w:sz w:val="20"/>
                <w:szCs w:val="20"/>
              </w:rPr>
              <w:t xml:space="preserve">Responsable</w:t>
            </w:r>
          </w:p>
        </w:tc>
        <w:tc>
          <w:tcPr>
            <w:tcW w:w="1002" w:type="dxa"/>
          </w:tcPr>
          <w:p>
            <w:pPr>
              <w:pStyle w:val="CeldaAPA"/>
              <w:jc w:val="center"/>
            </w:pPr>
            <w:r>
              <w:rPr>
                <w:bCs/>
                <w:b/>
                <w:sz w:val="20"/>
                <w:szCs w:val="20"/>
              </w:rPr>
              <w:t xml:space="preserve">Fecha de cierre</w:t>
            </w:r>
          </w:p>
        </w:tc>
        <w:tc>
          <w:tcPr>
            <w:tcW w:w="763" w:type="dxa"/>
          </w:tcPr>
          <w:p>
            <w:pPr>
              <w:pStyle w:val="CeldaAPA"/>
              <w:jc w:val="center"/>
            </w:pPr>
            <w:r>
              <w:rPr>
                <w:bCs/>
                <w:b/>
                <w:sz w:val="20"/>
                <w:szCs w:val="20"/>
              </w:rPr>
              <w:t xml:space="preserve">Días</w:t>
            </w:r>
          </w:p>
        </w:tc>
        <w:tc>
          <w:tcPr>
            <w:tcW w:w="900" w:type="dxa"/>
          </w:tcPr>
          <w:p>
            <w:pPr>
              <w:pStyle w:val="CeldaAPA"/>
              <w:jc w:val="center"/>
            </w:pPr>
            <w:r>
              <w:rPr>
                <w:bCs/>
                <w:b/>
                <w:sz w:val="20"/>
                <w:szCs w:val="20"/>
              </w:rPr>
              <w:t xml:space="preserve">Costo (Bs)</w:t>
            </w:r>
          </w:p>
        </w:tc>
      </w:tr>
      <w:tr>
        <w:tc>
          <w:tcPr>
            <w:tcW w:w="666" w:type="dxa"/>
          </w:tcPr>
          <w:p>
            <w:pPr>
              <w:pStyle w:val="CeldaAPA"/>
            </w:pPr>
          </w:p>
        </w:tc>
        <w:tc>
          <w:tcPr>
            <w:tcW w:w="1002" w:type="dxa"/>
          </w:tcPr>
          <w:p>
            <w:pPr>
              <w:pStyle w:val="CeldaAPA"/>
            </w:pPr>
          </w:p>
        </w:tc>
        <w:tc>
          <w:tcPr>
            <w:tcW w:w="867" w:type="dxa"/>
          </w:tcPr>
          <w:p>
            <w:pPr>
              <w:pStyle w:val="CeldaAPA"/>
            </w:pPr>
          </w:p>
        </w:tc>
        <w:tc>
          <w:tcPr>
            <w:tcW w:w="899" w:type="dxa"/>
          </w:tcPr>
          <w:p>
            <w:pPr>
              <w:pStyle w:val="CeldaAPA"/>
            </w:pPr>
          </w:p>
        </w:tc>
        <w:tc>
          <w:tcPr>
            <w:tcW w:w="1606" w:type="dxa"/>
          </w:tcPr>
          <w:p>
            <w:pPr>
              <w:pStyle w:val="CeldaAPA"/>
            </w:pPr>
          </w:p>
        </w:tc>
        <w:tc>
          <w:tcPr>
            <w:tcW w:w="1655" w:type="dxa"/>
          </w:tcPr>
          <w:p>
            <w:pPr>
              <w:pStyle w:val="CeldaAPA"/>
            </w:pPr>
          </w:p>
        </w:tc>
        <w:tc>
          <w:tcPr>
            <w:tcW w:w="1002" w:type="dxa"/>
          </w:tcPr>
          <w:p>
            <w:pPr>
              <w:pStyle w:val="CeldaAPA"/>
            </w:pPr>
          </w:p>
        </w:tc>
        <w:tc>
          <w:tcPr>
            <w:tcW w:w="763" w:type="dxa"/>
          </w:tcPr>
          <w:p>
            <w:pPr>
              <w:pStyle w:val="CeldaAPA"/>
            </w:pPr>
          </w:p>
        </w:tc>
        <w:tc>
          <w:tcPr>
            <w:tcW w:w="900" w:type="dxa"/>
          </w:tcPr>
          <w:p>
            <w:pPr>
              <w:pStyle w:val="CeldaAPA"/>
            </w:pPr>
          </w:p>
        </w:tc>
      </w:tr>
      <w:tr>
        <w:tc>
          <w:tcPr>
            <w:tcW w:w="666" w:type="dxa"/>
          </w:tcPr>
          <w:p>
            <w:pPr>
              <w:pStyle w:val="CeldaAPA"/>
            </w:pPr>
          </w:p>
        </w:tc>
        <w:tc>
          <w:tcPr>
            <w:tcW w:w="1002" w:type="dxa"/>
          </w:tcPr>
          <w:p>
            <w:pPr>
              <w:pStyle w:val="CeldaAPA"/>
            </w:pPr>
          </w:p>
        </w:tc>
        <w:tc>
          <w:tcPr>
            <w:tcW w:w="867" w:type="dxa"/>
          </w:tcPr>
          <w:p>
            <w:pPr>
              <w:pStyle w:val="CeldaAPA"/>
            </w:pPr>
          </w:p>
        </w:tc>
        <w:tc>
          <w:tcPr>
            <w:tcW w:w="899" w:type="dxa"/>
          </w:tcPr>
          <w:p>
            <w:pPr>
              <w:pStyle w:val="CeldaAPA"/>
            </w:pPr>
          </w:p>
        </w:tc>
        <w:tc>
          <w:tcPr>
            <w:tcW w:w="1606" w:type="dxa"/>
          </w:tcPr>
          <w:p>
            <w:pPr>
              <w:pStyle w:val="CeldaAPA"/>
            </w:pPr>
          </w:p>
        </w:tc>
        <w:tc>
          <w:tcPr>
            <w:tcW w:w="1655" w:type="dxa"/>
          </w:tcPr>
          <w:p>
            <w:pPr>
              <w:pStyle w:val="CeldaAPA"/>
            </w:pPr>
          </w:p>
        </w:tc>
        <w:tc>
          <w:tcPr>
            <w:tcW w:w="1002" w:type="dxa"/>
          </w:tcPr>
          <w:p>
            <w:pPr>
              <w:pStyle w:val="CeldaAPA"/>
            </w:pPr>
          </w:p>
        </w:tc>
        <w:tc>
          <w:tcPr>
            <w:tcW w:w="763" w:type="dxa"/>
          </w:tcPr>
          <w:p>
            <w:pPr>
              <w:pStyle w:val="CeldaAPA"/>
            </w:pPr>
          </w:p>
        </w:tc>
        <w:tc>
          <w:tcPr>
            <w:tcW w:w="900" w:type="dxa"/>
          </w:tcPr>
          <w:p>
            <w:pPr>
              <w:pStyle w:val="CeldaAPA"/>
            </w:pPr>
          </w:p>
        </w:tc>
      </w:tr>
      <w:tr>
        <w:tc>
          <w:tcPr>
            <w:tcW w:w="666" w:type="dxa"/>
          </w:tcPr>
          <w:p>
            <w:pPr>
              <w:pStyle w:val="CeldaAPA"/>
            </w:pPr>
          </w:p>
        </w:tc>
        <w:tc>
          <w:tcPr>
            <w:tcW w:w="1002" w:type="dxa"/>
          </w:tcPr>
          <w:p>
            <w:pPr>
              <w:pStyle w:val="CeldaAPA"/>
            </w:pPr>
          </w:p>
        </w:tc>
        <w:tc>
          <w:tcPr>
            <w:tcW w:w="867" w:type="dxa"/>
          </w:tcPr>
          <w:p>
            <w:pPr>
              <w:pStyle w:val="CeldaAPA"/>
            </w:pPr>
          </w:p>
        </w:tc>
        <w:tc>
          <w:tcPr>
            <w:tcW w:w="899" w:type="dxa"/>
          </w:tcPr>
          <w:p>
            <w:pPr>
              <w:pStyle w:val="CeldaAPA"/>
            </w:pPr>
          </w:p>
        </w:tc>
        <w:tc>
          <w:tcPr>
            <w:tcW w:w="1606" w:type="dxa"/>
          </w:tcPr>
          <w:p>
            <w:pPr>
              <w:pStyle w:val="CeldaAPA"/>
            </w:pPr>
          </w:p>
        </w:tc>
        <w:tc>
          <w:tcPr>
            <w:tcW w:w="1655" w:type="dxa"/>
          </w:tcPr>
          <w:p>
            <w:pPr>
              <w:pStyle w:val="CeldaAPA"/>
            </w:pPr>
          </w:p>
        </w:tc>
        <w:tc>
          <w:tcPr>
            <w:tcW w:w="1002" w:type="dxa"/>
          </w:tcPr>
          <w:p>
            <w:pPr>
              <w:pStyle w:val="CeldaAPA"/>
            </w:pPr>
          </w:p>
        </w:tc>
        <w:tc>
          <w:tcPr>
            <w:tcW w:w="763" w:type="dxa"/>
          </w:tcPr>
          <w:p>
            <w:pPr>
              <w:pStyle w:val="CeldaAPA"/>
            </w:pPr>
          </w:p>
        </w:tc>
        <w:tc>
          <w:tcPr>
            <w:tcW w:w="900" w:type="dxa"/>
          </w:tcPr>
          <w:p>
            <w:pPr>
              <w:pStyle w:val="CeldaAPA"/>
            </w:pPr>
          </w:p>
        </w:tc>
      </w:tr>
      <w:tr>
        <w:tc>
          <w:tcPr>
            <w:tcW w:w="666" w:type="dxa"/>
          </w:tcPr>
          <w:p>
            <w:pPr>
              <w:pStyle w:val="CeldaAPA"/>
            </w:pPr>
          </w:p>
        </w:tc>
        <w:tc>
          <w:tcPr>
            <w:tcW w:w="1002" w:type="dxa"/>
          </w:tcPr>
          <w:p>
            <w:pPr>
              <w:pStyle w:val="CeldaAPA"/>
            </w:pPr>
          </w:p>
        </w:tc>
        <w:tc>
          <w:tcPr>
            <w:tcW w:w="867" w:type="dxa"/>
          </w:tcPr>
          <w:p>
            <w:pPr>
              <w:pStyle w:val="CeldaAPA"/>
            </w:pPr>
          </w:p>
        </w:tc>
        <w:tc>
          <w:tcPr>
            <w:tcW w:w="899" w:type="dxa"/>
          </w:tcPr>
          <w:p>
            <w:pPr>
              <w:pStyle w:val="CeldaAPA"/>
            </w:pPr>
          </w:p>
        </w:tc>
        <w:tc>
          <w:tcPr>
            <w:tcW w:w="1606" w:type="dxa"/>
          </w:tcPr>
          <w:p>
            <w:pPr>
              <w:pStyle w:val="CeldaAPA"/>
            </w:pPr>
          </w:p>
        </w:tc>
        <w:tc>
          <w:tcPr>
            <w:tcW w:w="1655" w:type="dxa"/>
          </w:tcPr>
          <w:p>
            <w:pPr>
              <w:pStyle w:val="CeldaAPA"/>
            </w:pPr>
          </w:p>
        </w:tc>
        <w:tc>
          <w:tcPr>
            <w:tcW w:w="1002" w:type="dxa"/>
          </w:tcPr>
          <w:p>
            <w:pPr>
              <w:pStyle w:val="CeldaAPA"/>
            </w:pPr>
          </w:p>
        </w:tc>
        <w:tc>
          <w:tcPr>
            <w:tcW w:w="763" w:type="dxa"/>
          </w:tcPr>
          <w:p>
            <w:pPr>
              <w:pStyle w:val="CeldaAPA"/>
            </w:pPr>
          </w:p>
        </w:tc>
        <w:tc>
          <w:tcPr>
            <w:tcW w:w="900" w:type="dxa"/>
          </w:tcPr>
          <w:p>
            <w:pPr>
              <w:pStyle w:val="CeldaAPA"/>
            </w:pPr>
          </w:p>
        </w:tc>
      </w:tr>
      <w:tr>
        <w:tc>
          <w:tcPr>
            <w:tcW w:w="666" w:type="dxa"/>
          </w:tcPr>
          <w:p>
            <w:pPr>
              <w:pStyle w:val="CeldaAPA"/>
            </w:pPr>
          </w:p>
        </w:tc>
        <w:tc>
          <w:tcPr>
            <w:tcW w:w="1002" w:type="dxa"/>
          </w:tcPr>
          <w:p>
            <w:pPr>
              <w:pStyle w:val="CeldaAPA"/>
            </w:pPr>
          </w:p>
        </w:tc>
        <w:tc>
          <w:tcPr>
            <w:tcW w:w="867" w:type="dxa"/>
          </w:tcPr>
          <w:p>
            <w:pPr>
              <w:pStyle w:val="CeldaAPA"/>
            </w:pPr>
          </w:p>
        </w:tc>
        <w:tc>
          <w:tcPr>
            <w:tcW w:w="899" w:type="dxa"/>
          </w:tcPr>
          <w:p>
            <w:pPr>
              <w:pStyle w:val="CeldaAPA"/>
            </w:pPr>
          </w:p>
        </w:tc>
        <w:tc>
          <w:tcPr>
            <w:tcW w:w="1606" w:type="dxa"/>
          </w:tcPr>
          <w:p>
            <w:pPr>
              <w:pStyle w:val="CeldaAPA"/>
            </w:pPr>
          </w:p>
        </w:tc>
        <w:tc>
          <w:tcPr>
            <w:tcW w:w="1655" w:type="dxa"/>
          </w:tcPr>
          <w:p>
            <w:pPr>
              <w:pStyle w:val="CeldaAPA"/>
            </w:pPr>
          </w:p>
        </w:tc>
        <w:tc>
          <w:tcPr>
            <w:tcW w:w="1002" w:type="dxa"/>
          </w:tcPr>
          <w:p>
            <w:pPr>
              <w:pStyle w:val="CeldaAPA"/>
            </w:pPr>
          </w:p>
        </w:tc>
        <w:tc>
          <w:tcPr>
            <w:tcW w:w="763" w:type="dxa"/>
          </w:tcPr>
          <w:p>
            <w:pPr>
              <w:pStyle w:val="CeldaAPA"/>
            </w:pPr>
          </w:p>
        </w:tc>
        <w:tc>
          <w:tcPr>
            <w:tcW w:w="900" w:type="dxa"/>
          </w:tcPr>
          <w:p>
            <w:pPr>
              <w:pStyle w:val="CeldaAPA"/>
            </w:pPr>
          </w:p>
        </w:tc>
      </w:tr>
    </w:tbl>
    <w:p>
      <w:pPr>
        <w:pStyle w:val="Heading2"/>
        <w:spacing w:before="240"/>
      </w:pPr>
      <w:bookmarkStart w:id="356" w:name="tit168"/>
      <w:r>
        <w:t xml:space="preserve">C.6. Planilla de costos de la calidad (modelo PAF)</w:t>
      </w:r>
      <w:bookmarkEnd w:id="356"/>
    </w:p>
    <w:p>
      <w:pPr>
        <w:pStyle w:val="FirstParagraph"/>
      </w:pPr>
      <w:r>
        <w:rPr>
          <w:bCs/>
          <w:b/>
        </w:rPr>
        <w:t xml:space="preserve">Uso.</w:t>
      </w:r>
      <w:r>
        <w:t xml:space="preserve"> </w:t>
      </w:r>
      <w:r>
        <w:t xml:space="preserve">Una planilla por mes y una consolidada por losa. Todo costo se valora a precios constantes del contrato (precios del APU) y se registra una sola vez. Conceptos: Tabla 42; ecuaciones (10), (15) y (16).</w:t>
      </w:r>
    </w:p>
    <w:tbl>
      <w:tblPr>
        <w:tblStyle w:val="Table"/>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0" w:lastRow="0" w:firstColumn="0" w:lastColumn="0" w:noHBand="0" w:noVBand="0" w:val="0000"/>
      </w:tblPr>
      <w:tblGrid>
        <w:gridCol w:w="2930"/>
        <w:gridCol w:w="4240"/>
        <w:gridCol w:w="1900"/>
      </w:tblGrid>
      <w:tr>
        <w:tc>
          <w:tcPr>
            <w:tcW w:w="2930" w:type="dxa"/>
          </w:tcPr>
          <w:p>
            <w:pPr>
              <w:pStyle w:val="CeldaAPA"/>
              <w:jc w:val="left"/>
            </w:pPr>
            <w:r>
              <w:rPr>
                <w:bCs/>
                <w:b/>
                <w:sz w:val="20"/>
                <w:szCs w:val="20"/>
              </w:rPr>
              <w:t xml:space="preserve">UATF – Edificio de Posgrado</w:t>
            </w:r>
          </w:p>
        </w:tc>
        <w:tc>
          <w:tcPr>
            <w:tcW w:w="4240" w:type="dxa"/>
            <w:vMerge w:val="restart"/>
          </w:tcPr>
          <w:p>
            <w:pPr>
              <w:pStyle w:val="CeldaAPA"/>
              <w:jc w:val="left"/>
            </w:pPr>
            <w:r>
              <w:rPr>
                <w:bCs/>
                <w:b/>
                <w:sz w:val="20"/>
                <w:szCs w:val="20"/>
              </w:rPr>
              <w:t xml:space="preserve">Planilla de costos de la calidad (PAF)</w:t>
            </w:r>
          </w:p>
        </w:tc>
        <w:tc>
          <w:tcPr>
            <w:tcW w:w="1900" w:type="dxa"/>
          </w:tcPr>
          <w:p>
            <w:pPr>
              <w:pStyle w:val="CeldaAPA"/>
              <w:jc w:val="left"/>
            </w:pPr>
            <w:r>
              <w:rPr>
                <w:bCs/>
                <w:b/>
                <w:sz w:val="20"/>
                <w:szCs w:val="20"/>
              </w:rPr>
              <w:t xml:space="preserve">Código:</w:t>
            </w:r>
            <w:r>
              <w:rPr>
                <w:sz w:val="20"/>
                <w:szCs w:val="20"/>
              </w:rPr>
              <w:t xml:space="preserve"> </w:t>
            </w:r>
            <w:r>
              <w:rPr>
                <w:sz w:val="20"/>
                <w:szCs w:val="20"/>
              </w:rPr>
              <w:t xml:space="preserve">C.6</w:t>
            </w:r>
          </w:p>
        </w:tc>
      </w:tr>
      <w:tr>
        <w:tc>
          <w:tcPr>
            <w:tcW w:w="2930" w:type="dxa"/>
          </w:tcPr>
          <w:p>
            <w:pPr>
              <w:pStyle w:val="CeldaAPA"/>
              <w:jc w:val="left"/>
            </w:pPr>
            <w:r>
              <w:rPr>
                <w:sz w:val="20"/>
                <w:szCs w:val="20"/>
              </w:rPr>
              <w:t xml:space="preserve">Ítem 13: losa alivianada h = 25 cm</w:t>
            </w:r>
          </w:p>
        </w:tc>
        <w:tc>
          <w:tcPr>
            <w:tcW w:w="4240" w:type="dxa"/>
            <w:gridSpan w:val="1"/>
            <w:vMerge w:val="continue"/>
          </w:tcPr>
          <w:p>
            <w:pPr>
              <w:pStyle w:val="CeldaAPA"/>
            </w:pPr>
          </w:p>
        </w:tc>
        <w:tc>
          <w:tcPr>
            <w:tcW w:w="1900" w:type="dxa"/>
          </w:tcPr>
          <w:p>
            <w:pPr>
              <w:pStyle w:val="CeldaAPA"/>
              <w:jc w:val="left"/>
            </w:pPr>
            <w:r>
              <w:rPr>
                <w:sz w:val="20"/>
                <w:szCs w:val="20"/>
              </w:rPr>
              <w:t xml:space="preserve">Versión 0</w:t>
            </w:r>
          </w:p>
        </w:tc>
      </w:tr>
    </w:tbl>
    <w:tbl>
      <w:tblPr>
        <w:tblStyle w:val="Table"/>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0" w:lastRow="0" w:firstColumn="0" w:lastColumn="0" w:noHBand="0" w:noVBand="0" w:val="0000"/>
      </w:tblPr>
      <w:tblGrid>
        <w:gridCol w:w="3120"/>
        <w:gridCol w:w="3120"/>
        <w:gridCol w:w="3120"/>
      </w:tblGrid>
      <w:tr>
        <w:tc>
          <w:tcPr>
            <w:tcW w:w="3120" w:type="dxa"/>
          </w:tcPr>
          <w:p>
            <w:pPr>
              <w:pStyle w:val="CeldaAPA"/>
              <w:jc w:val="left"/>
            </w:pPr>
            <w:r>
              <w:rPr>
                <w:sz w:val="20"/>
                <w:szCs w:val="20"/>
              </w:rPr>
              <w:t xml:space="preserve">Losa N.</w:t>
            </w:r>
            <w:r>
              <w:rPr>
                <w:vertAlign w:val="superscript"/>
                <w:sz w:val="20"/>
                <w:szCs w:val="20"/>
              </w:rPr>
              <w:t xml:space="preserve">o</w:t>
            </w:r>
            <w:r>
              <w:rPr>
                <w:sz w:val="20"/>
                <w:szCs w:val="20"/>
              </w:rPr>
              <w:t xml:space="preserve"> ______________</w:t>
            </w:r>
          </w:p>
        </w:tc>
        <w:tc>
          <w:tcPr>
            <w:tcW w:w="3120" w:type="dxa"/>
          </w:tcPr>
          <w:p>
            <w:pPr>
              <w:pStyle w:val="CeldaAPA"/>
              <w:jc w:val="left"/>
            </w:pPr>
            <w:r>
              <w:rPr>
                <w:sz w:val="20"/>
                <w:szCs w:val="20"/>
              </w:rPr>
              <w:t xml:space="preserve">Periodo: del ______________</w:t>
            </w:r>
          </w:p>
        </w:tc>
        <w:tc>
          <w:tcPr>
            <w:tcW w:w="3120" w:type="dxa"/>
          </w:tcPr>
          <w:p>
            <w:pPr>
              <w:pStyle w:val="CeldaAPA"/>
              <w:jc w:val="left"/>
            </w:pPr>
            <w:r>
              <w:rPr>
                <w:sz w:val="20"/>
                <w:szCs w:val="20"/>
              </w:rPr>
              <w:t xml:space="preserve">al ______________</w:t>
            </w:r>
          </w:p>
        </w:tc>
      </w:tr>
      <w:tr>
        <w:tc>
          <w:tcPr>
            <w:tcW w:w="3120" w:type="dxa"/>
          </w:tcPr>
          <w:p>
            <w:pPr>
              <w:pStyle w:val="CeldaAPA"/>
              <w:jc w:val="left"/>
            </w:pPr>
            <w:r>
              <w:rPr>
                <w:sz w:val="20"/>
                <w:szCs w:val="20"/>
              </w:rPr>
              <w:t xml:space="preserve">Área ejecutada en el periodo</w:t>
            </w:r>
            <w:r>
              <w:rPr>
                <w:sz w:val="20"/>
                <w:szCs w:val="20"/>
              </w:rPr>
              <w:t xml:space="preserve"> </w:t>
            </w:r>
            <m:oMath>
              <m:r>
                <m:t>A</m:t>
              </m:r>
            </m:oMath>
            <w:r>
              <w:rPr>
                <w:sz w:val="20"/>
                <w:szCs w:val="20"/>
              </w:rPr>
              <w:t xml:space="preserve"> </w:t>
            </w:r>
            <w:r>
              <w:rPr>
                <w:sz w:val="20"/>
                <w:szCs w:val="20"/>
              </w:rPr>
              <w:t xml:space="preserve">(m</w:t>
            </w:r>
            <w:r>
              <w:rPr>
                <w:vertAlign w:val="superscript"/>
                <w:sz w:val="20"/>
                <w:szCs w:val="20"/>
              </w:rPr>
              <w:t xml:space="preserve">2</w:t>
            </w:r>
            <w:r>
              <w:rPr>
                <w:sz w:val="20"/>
                <w:szCs w:val="20"/>
              </w:rPr>
              <w:t xml:space="preserve">) ______________</w:t>
            </w:r>
          </w:p>
        </w:tc>
        <w:tc>
          <w:tcPr>
            <w:tcW w:w="3120" w:type="dxa"/>
          </w:tcPr>
          <w:p>
            <w:pPr>
              <w:pStyle w:val="CeldaAPA"/>
              <w:jc w:val="left"/>
            </w:pPr>
            <w:r>
              <w:rPr>
                <w:sz w:val="20"/>
                <w:szCs w:val="20"/>
              </w:rPr>
              <w:t xml:space="preserve">Precio unitario del ítem (Bs/m</w:t>
            </w:r>
            <w:r>
              <w:rPr>
                <w:vertAlign w:val="superscript"/>
                <w:sz w:val="20"/>
                <w:szCs w:val="20"/>
              </w:rPr>
              <w:t xml:space="preserve">2</w:t>
            </w:r>
            <w:r>
              <w:rPr>
                <w:sz w:val="20"/>
                <w:szCs w:val="20"/>
              </w:rPr>
              <w:t xml:space="preserve">) ______________</w:t>
            </w:r>
          </w:p>
        </w:tc>
        <w:tc>
          <w:tcPr>
            <w:tcW w:w="3120" w:type="dxa"/>
          </w:tcPr>
          <w:p>
            <w:pPr>
              <w:pStyle w:val="CeldaAPA"/>
              <w:jc w:val="left"/>
            </w:pPr>
            <m:oMath>
              <m:sSub>
                <m:e>
                  <m:r>
                    <m:t>C</m:t>
                  </m:r>
                </m:e>
                <m:sub>
                  <m:r>
                    <m:rPr>
                      <m:nor/>
                      <m:sty m:val="p"/>
                    </m:rPr>
                    <m:t>ítem</m:t>
                  </m:r>
                </m:sub>
              </m:sSub>
              <m:r>
                <m:rPr>
                  <m:sty m:val="p"/>
                </m:rPr>
                <m:t>=</m:t>
              </m:r>
              <m:r>
                <m:t>A</m:t>
              </m:r>
              <m:r>
                <m:rPr>
                  <m:sty m:val="p"/>
                </m:rPr>
                <m:t>×</m:t>
              </m:r>
              <m:r>
                <m:t>P</m:t>
              </m:r>
              <m:r>
                <m:t>U</m:t>
              </m:r>
            </m:oMath>
            <w:r>
              <w:rPr>
                <w:sz w:val="20"/>
                <w:szCs w:val="20"/>
              </w:rPr>
              <w:t xml:space="preserve"> </w:t>
            </w:r>
            <w:r>
              <w:rPr>
                <w:sz w:val="20"/>
                <w:szCs w:val="20"/>
              </w:rPr>
              <w:t xml:space="preserve">(Bs) ______________</w:t>
            </w:r>
          </w:p>
        </w:tc>
      </w:tr>
    </w:tbl>
    <w:tbl>
      <w:tblPr>
        <w:tblStyle w:val="Table"/>
        <w:tblW w:w="9361"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1" w:lastRow="0" w:firstColumn="0" w:lastColumn="0" w:noHBand="0" w:noVBand="0" w:val="0020"/>
      </w:tblPr>
      <w:tblGrid>
        <w:gridCol w:w="801"/>
        <w:gridCol w:w="2328"/>
        <w:gridCol w:w="1302"/>
        <w:gridCol w:w="1083"/>
        <w:gridCol w:w="1166"/>
        <w:gridCol w:w="973"/>
        <w:gridCol w:w="1708"/>
      </w:tblGrid>
      <w:tr>
        <w:trPr>
          <w:cantSplit/>
          <w:tblHeader w:val="true"/>
        </w:trPr>
        <w:tc>
          <w:tcPr>
            <w:tcW w:w="801" w:type="dxa"/>
          </w:tcPr>
          <w:p>
            <w:pPr>
              <w:pStyle w:val="CeldaAPA"/>
              <w:jc w:val="left"/>
            </w:pPr>
            <w:r>
              <w:rPr>
                <w:bCs/>
                <w:b/>
                <w:sz w:val="20"/>
                <w:szCs w:val="20"/>
              </w:rPr>
              <w:t xml:space="preserve">Cód.</w:t>
            </w:r>
          </w:p>
        </w:tc>
        <w:tc>
          <w:tcPr>
            <w:tcW w:w="2328" w:type="dxa"/>
          </w:tcPr>
          <w:p>
            <w:pPr>
              <w:pStyle w:val="CeldaAPA"/>
              <w:jc w:val="left"/>
            </w:pPr>
            <w:r>
              <w:rPr>
                <w:bCs/>
                <w:b/>
                <w:sz w:val="20"/>
                <w:szCs w:val="20"/>
              </w:rPr>
              <w:t xml:space="preserve">Concepto</w:t>
            </w:r>
          </w:p>
        </w:tc>
        <w:tc>
          <w:tcPr>
            <w:tcW w:w="1302" w:type="dxa"/>
          </w:tcPr>
          <w:p>
            <w:pPr>
              <w:pStyle w:val="CeldaAPA"/>
              <w:jc w:val="center"/>
            </w:pPr>
            <w:r>
              <w:rPr>
                <w:bCs/>
                <w:b/>
                <w:sz w:val="20"/>
                <w:szCs w:val="20"/>
              </w:rPr>
              <w:t xml:space="preserve">Cantidad</w:t>
            </w:r>
          </w:p>
        </w:tc>
        <w:tc>
          <w:tcPr>
            <w:tcW w:w="1083" w:type="dxa"/>
          </w:tcPr>
          <w:p>
            <w:pPr>
              <w:pStyle w:val="CeldaAPA"/>
              <w:jc w:val="center"/>
            </w:pPr>
            <w:r>
              <w:rPr>
                <w:bCs/>
                <w:b/>
                <w:sz w:val="20"/>
                <w:szCs w:val="20"/>
              </w:rPr>
              <w:t xml:space="preserve">Unidad</w:t>
            </w:r>
          </w:p>
        </w:tc>
        <w:tc>
          <w:tcPr>
            <w:tcW w:w="1166" w:type="dxa"/>
          </w:tcPr>
          <w:p>
            <w:pPr>
              <w:pStyle w:val="CeldaAPA"/>
              <w:jc w:val="center"/>
            </w:pPr>
            <w:r>
              <w:rPr>
                <w:bCs/>
                <w:b/>
                <w:sz w:val="20"/>
                <w:szCs w:val="20"/>
              </w:rPr>
              <w:t xml:space="preserve">Costo unitario (Bs)</w:t>
            </w:r>
          </w:p>
        </w:tc>
        <w:tc>
          <w:tcPr>
            <w:tcW w:w="973" w:type="dxa"/>
          </w:tcPr>
          <w:p>
            <w:pPr>
              <w:pStyle w:val="CeldaAPA"/>
              <w:jc w:val="center"/>
            </w:pPr>
            <w:r>
              <w:rPr>
                <w:bCs/>
                <w:b/>
                <w:sz w:val="20"/>
                <w:szCs w:val="20"/>
              </w:rPr>
              <w:t xml:space="preserve">Costo (Bs)</w:t>
            </w:r>
          </w:p>
        </w:tc>
        <w:tc>
          <w:tcPr>
            <w:tcW w:w="1708" w:type="dxa"/>
          </w:tcPr>
          <w:p>
            <w:pPr>
              <w:pStyle w:val="CeldaAPA"/>
              <w:jc w:val="left"/>
            </w:pPr>
            <w:r>
              <w:rPr>
                <w:bCs/>
                <w:b/>
                <w:sz w:val="20"/>
                <w:szCs w:val="20"/>
              </w:rPr>
              <w:t xml:space="preserve">Registro de respaldo</w:t>
            </w:r>
          </w:p>
        </w:tc>
      </w:tr>
      <w:tr>
        <w:tc>
          <w:tcPr>
            <w:tcW w:w="9361" w:type="dxa"/>
            <w:gridSpan w:val="7"/>
          </w:tcPr>
          <w:p>
            <w:pPr>
              <w:pStyle w:val="CeldaAPA"/>
              <w:jc w:val="left"/>
            </w:pPr>
            <w:r>
              <w:rPr>
                <w:bCs/>
                <w:b/>
                <w:sz w:val="20"/>
                <w:szCs w:val="20"/>
              </w:rPr>
              <w:t xml:space="preserve">Prevención (</w:t>
            </w:r>
            <m:oMath>
              <m:sSub>
                <m:e>
                  <m:r>
                    <m:t>C</m:t>
                  </m:r>
                </m:e>
                <m:sub>
                  <m:r>
                    <m:t>P</m:t>
                  </m:r>
                </m:sub>
              </m:sSub>
            </m:oMath>
            <w:r>
              <w:rPr>
                <w:bCs/>
                <w:b/>
                <w:sz w:val="20"/>
                <w:szCs w:val="20"/>
              </w:rPr>
              <w:t xml:space="preserve">)</w:t>
            </w:r>
          </w:p>
        </w:tc>
      </w:tr>
      <w:tr>
        <w:tc>
          <w:tcPr>
            <w:tcW w:w="801" w:type="dxa"/>
          </w:tcPr>
          <w:p>
            <w:pPr>
              <w:pStyle w:val="CeldaAPA"/>
              <w:jc w:val="left"/>
            </w:pPr>
            <w:r>
              <w:rPr>
                <w:sz w:val="20"/>
                <w:szCs w:val="20"/>
              </w:rPr>
              <w:t xml:space="preserve">P1</w:t>
            </w:r>
          </w:p>
        </w:tc>
        <w:tc>
          <w:tcPr>
            <w:tcW w:w="2328" w:type="dxa"/>
          </w:tcPr>
          <w:p>
            <w:pPr>
              <w:pStyle w:val="CeldaAPA"/>
              <w:jc w:val="left"/>
            </w:pPr>
            <w:r>
              <w:rPr>
                <w:sz w:val="20"/>
                <w:szCs w:val="20"/>
              </w:rPr>
              <w:t xml:space="preserve">Plan de la calidad, PPI y procedimientos (elaboración y actualización)</w:t>
            </w:r>
          </w:p>
        </w:tc>
        <w:tc>
          <w:tcPr>
            <w:tcW w:w="1302" w:type="dxa"/>
          </w:tcPr>
          <w:p>
            <w:pPr>
              <w:pStyle w:val="CeldaAPA"/>
            </w:pPr>
          </w:p>
        </w:tc>
        <w:tc>
          <w:tcPr>
            <w:tcW w:w="1083" w:type="dxa"/>
          </w:tcPr>
          <w:p>
            <w:pPr>
              <w:pStyle w:val="CeldaAPA"/>
              <w:jc w:val="center"/>
            </w:pPr>
            <w:r>
              <w:rPr>
                <w:sz w:val="20"/>
                <w:szCs w:val="20"/>
              </w:rPr>
              <w:t xml:space="preserve">h</w:t>
            </w:r>
          </w:p>
        </w:tc>
        <w:tc>
          <w:tcPr>
            <w:tcW w:w="1166" w:type="dxa"/>
          </w:tcPr>
          <w:p>
            <w:pPr>
              <w:pStyle w:val="CeldaAPA"/>
            </w:pPr>
          </w:p>
        </w:tc>
        <w:tc>
          <w:tcPr>
            <w:tcW w:w="973" w:type="dxa"/>
          </w:tcPr>
          <w:p>
            <w:pPr>
              <w:pStyle w:val="CeldaAPA"/>
            </w:pPr>
          </w:p>
        </w:tc>
        <w:tc>
          <w:tcPr>
            <w:tcW w:w="1708" w:type="dxa"/>
          </w:tcPr>
          <w:p>
            <w:pPr>
              <w:pStyle w:val="CeldaAPA"/>
              <w:jc w:val="left"/>
            </w:pPr>
            <w:r>
              <w:rPr>
                <w:sz w:val="20"/>
                <w:szCs w:val="20"/>
              </w:rPr>
              <w:t xml:space="preserve">Parte de horas</w:t>
            </w:r>
          </w:p>
        </w:tc>
      </w:tr>
      <w:tr>
        <w:tc>
          <w:tcPr>
            <w:tcW w:w="801" w:type="dxa"/>
          </w:tcPr>
          <w:p>
            <w:pPr>
              <w:pStyle w:val="CeldaAPA"/>
              <w:jc w:val="left"/>
            </w:pPr>
            <w:r>
              <w:rPr>
                <w:sz w:val="20"/>
                <w:szCs w:val="20"/>
              </w:rPr>
              <w:t xml:space="preserve">P2</w:t>
            </w:r>
          </w:p>
        </w:tc>
        <w:tc>
          <w:tcPr>
            <w:tcW w:w="2328" w:type="dxa"/>
          </w:tcPr>
          <w:p>
            <w:pPr>
              <w:pStyle w:val="CeldaAPA"/>
              <w:jc w:val="left"/>
            </w:pPr>
            <w:r>
              <w:rPr>
                <w:sz w:val="20"/>
                <w:szCs w:val="20"/>
              </w:rPr>
              <w:t xml:space="preserve">Capacitación del personal (charlas)</w:t>
            </w:r>
          </w:p>
        </w:tc>
        <w:tc>
          <w:tcPr>
            <w:tcW w:w="1302" w:type="dxa"/>
          </w:tcPr>
          <w:p>
            <w:pPr>
              <w:pStyle w:val="CeldaAPA"/>
            </w:pPr>
          </w:p>
        </w:tc>
        <w:tc>
          <w:tcPr>
            <w:tcW w:w="1083" w:type="dxa"/>
          </w:tcPr>
          <w:p>
            <w:pPr>
              <w:pStyle w:val="CeldaAPA"/>
              <w:jc w:val="center"/>
            </w:pPr>
            <w:r>
              <w:rPr>
                <w:sz w:val="20"/>
                <w:szCs w:val="20"/>
              </w:rPr>
              <w:t xml:space="preserve">h-h</w:t>
            </w:r>
          </w:p>
        </w:tc>
        <w:tc>
          <w:tcPr>
            <w:tcW w:w="1166" w:type="dxa"/>
          </w:tcPr>
          <w:p>
            <w:pPr>
              <w:pStyle w:val="CeldaAPA"/>
            </w:pPr>
          </w:p>
        </w:tc>
        <w:tc>
          <w:tcPr>
            <w:tcW w:w="973" w:type="dxa"/>
          </w:tcPr>
          <w:p>
            <w:pPr>
              <w:pStyle w:val="CeldaAPA"/>
            </w:pPr>
          </w:p>
        </w:tc>
        <w:tc>
          <w:tcPr>
            <w:tcW w:w="1708" w:type="dxa"/>
          </w:tcPr>
          <w:p>
            <w:pPr>
              <w:pStyle w:val="CeldaAPA"/>
              <w:jc w:val="left"/>
            </w:pPr>
            <w:r>
              <w:rPr>
                <w:sz w:val="20"/>
                <w:szCs w:val="20"/>
              </w:rPr>
              <w:t xml:space="preserve">Lista de asistencia</w:t>
            </w:r>
          </w:p>
        </w:tc>
      </w:tr>
      <w:tr>
        <w:tc>
          <w:tcPr>
            <w:tcW w:w="801" w:type="dxa"/>
          </w:tcPr>
          <w:p>
            <w:pPr>
              <w:pStyle w:val="CeldaAPA"/>
              <w:jc w:val="left"/>
            </w:pPr>
            <w:r>
              <w:rPr>
                <w:sz w:val="20"/>
                <w:szCs w:val="20"/>
              </w:rPr>
              <w:t xml:space="preserve">P3</w:t>
            </w:r>
          </w:p>
        </w:tc>
        <w:tc>
          <w:tcPr>
            <w:tcW w:w="2328" w:type="dxa"/>
          </w:tcPr>
          <w:p>
            <w:pPr>
              <w:pStyle w:val="CeldaAPA"/>
              <w:jc w:val="left"/>
            </w:pPr>
            <w:r>
              <w:rPr>
                <w:sz w:val="20"/>
                <w:szCs w:val="20"/>
              </w:rPr>
              <w:t xml:space="preserve">Despiece y planillas de armado previas</w:t>
            </w:r>
          </w:p>
        </w:tc>
        <w:tc>
          <w:tcPr>
            <w:tcW w:w="1302" w:type="dxa"/>
          </w:tcPr>
          <w:p>
            <w:pPr>
              <w:pStyle w:val="CeldaAPA"/>
            </w:pPr>
          </w:p>
        </w:tc>
        <w:tc>
          <w:tcPr>
            <w:tcW w:w="1083" w:type="dxa"/>
          </w:tcPr>
          <w:p>
            <w:pPr>
              <w:pStyle w:val="CeldaAPA"/>
              <w:jc w:val="center"/>
            </w:pPr>
            <w:r>
              <w:rPr>
                <w:sz w:val="20"/>
                <w:szCs w:val="20"/>
              </w:rPr>
              <w:t xml:space="preserve">h</w:t>
            </w:r>
          </w:p>
        </w:tc>
        <w:tc>
          <w:tcPr>
            <w:tcW w:w="1166" w:type="dxa"/>
          </w:tcPr>
          <w:p>
            <w:pPr>
              <w:pStyle w:val="CeldaAPA"/>
            </w:pPr>
          </w:p>
        </w:tc>
        <w:tc>
          <w:tcPr>
            <w:tcW w:w="973" w:type="dxa"/>
          </w:tcPr>
          <w:p>
            <w:pPr>
              <w:pStyle w:val="CeldaAPA"/>
            </w:pPr>
          </w:p>
        </w:tc>
        <w:tc>
          <w:tcPr>
            <w:tcW w:w="1708" w:type="dxa"/>
          </w:tcPr>
          <w:p>
            <w:pPr>
              <w:pStyle w:val="CeldaAPA"/>
              <w:jc w:val="left"/>
            </w:pPr>
            <w:r>
              <w:rPr>
                <w:sz w:val="20"/>
                <w:szCs w:val="20"/>
              </w:rPr>
              <w:t xml:space="preserve">Planillas</w:t>
            </w:r>
          </w:p>
        </w:tc>
      </w:tr>
      <w:tr>
        <w:tc>
          <w:tcPr>
            <w:tcW w:w="801" w:type="dxa"/>
          </w:tcPr>
          <w:p>
            <w:pPr>
              <w:pStyle w:val="CeldaAPA"/>
              <w:jc w:val="left"/>
            </w:pPr>
            <w:r>
              <w:rPr>
                <w:sz w:val="20"/>
                <w:szCs w:val="20"/>
              </w:rPr>
              <w:t xml:space="preserve">P4</w:t>
            </w:r>
          </w:p>
        </w:tc>
        <w:tc>
          <w:tcPr>
            <w:tcW w:w="2328" w:type="dxa"/>
          </w:tcPr>
          <w:p>
            <w:pPr>
              <w:pStyle w:val="CeldaAPA"/>
              <w:jc w:val="left"/>
            </w:pPr>
            <w:r>
              <w:rPr>
                <w:sz w:val="20"/>
                <w:szCs w:val="20"/>
              </w:rPr>
              <w:t xml:space="preserve">Evaluación de proveedores y auditoría interna</w:t>
            </w:r>
          </w:p>
        </w:tc>
        <w:tc>
          <w:tcPr>
            <w:tcW w:w="1302" w:type="dxa"/>
          </w:tcPr>
          <w:p>
            <w:pPr>
              <w:pStyle w:val="CeldaAPA"/>
            </w:pPr>
          </w:p>
        </w:tc>
        <w:tc>
          <w:tcPr>
            <w:tcW w:w="1083" w:type="dxa"/>
          </w:tcPr>
          <w:p>
            <w:pPr>
              <w:pStyle w:val="CeldaAPA"/>
              <w:jc w:val="center"/>
            </w:pPr>
            <w:r>
              <w:rPr>
                <w:sz w:val="20"/>
                <w:szCs w:val="20"/>
              </w:rPr>
              <w:t xml:space="preserve">h</w:t>
            </w:r>
          </w:p>
        </w:tc>
        <w:tc>
          <w:tcPr>
            <w:tcW w:w="1166" w:type="dxa"/>
          </w:tcPr>
          <w:p>
            <w:pPr>
              <w:pStyle w:val="CeldaAPA"/>
            </w:pPr>
          </w:p>
        </w:tc>
        <w:tc>
          <w:tcPr>
            <w:tcW w:w="973" w:type="dxa"/>
          </w:tcPr>
          <w:p>
            <w:pPr>
              <w:pStyle w:val="CeldaAPA"/>
            </w:pPr>
          </w:p>
        </w:tc>
        <w:tc>
          <w:tcPr>
            <w:tcW w:w="1708" w:type="dxa"/>
          </w:tcPr>
          <w:p>
            <w:pPr>
              <w:pStyle w:val="CeldaAPA"/>
              <w:jc w:val="left"/>
            </w:pPr>
            <w:r>
              <w:rPr>
                <w:sz w:val="20"/>
                <w:szCs w:val="20"/>
              </w:rPr>
              <w:t xml:space="preserve">Informe</w:t>
            </w:r>
          </w:p>
        </w:tc>
      </w:tr>
      <w:tr>
        <w:tc>
          <w:tcPr>
            <w:tcW w:w="801" w:type="dxa"/>
          </w:tcPr>
          <w:p>
            <w:pPr>
              <w:pStyle w:val="CeldaAPA"/>
              <w:jc w:val="left"/>
            </w:pPr>
            <w:r>
              <w:rPr>
                <w:sz w:val="20"/>
                <w:szCs w:val="20"/>
              </w:rPr>
              <w:t xml:space="preserve">P5</w:t>
            </w:r>
          </w:p>
        </w:tc>
        <w:tc>
          <w:tcPr>
            <w:tcW w:w="2328" w:type="dxa"/>
          </w:tcPr>
          <w:p>
            <w:pPr>
              <w:pStyle w:val="CeldaAPA"/>
              <w:jc w:val="left"/>
            </w:pPr>
            <w:r>
              <w:rPr>
                <w:sz w:val="20"/>
                <w:szCs w:val="20"/>
              </w:rPr>
              <w:t xml:space="preserve">Materiales de protección (lluvia y tiempo frío)</w:t>
            </w:r>
          </w:p>
        </w:tc>
        <w:tc>
          <w:tcPr>
            <w:tcW w:w="1302" w:type="dxa"/>
          </w:tcPr>
          <w:p>
            <w:pPr>
              <w:pStyle w:val="CeldaAPA"/>
            </w:pPr>
          </w:p>
        </w:tc>
        <w:tc>
          <w:tcPr>
            <w:tcW w:w="1083" w:type="dxa"/>
          </w:tcPr>
          <w:p>
            <w:pPr>
              <w:pStyle w:val="CeldaAPA"/>
              <w:jc w:val="center"/>
            </w:pPr>
            <w:r>
              <w:rPr>
                <w:sz w:val="20"/>
                <w:szCs w:val="20"/>
              </w:rPr>
              <w:t xml:space="preserve">glb</w:t>
            </w:r>
          </w:p>
        </w:tc>
        <w:tc>
          <w:tcPr>
            <w:tcW w:w="1166" w:type="dxa"/>
          </w:tcPr>
          <w:p>
            <w:pPr>
              <w:pStyle w:val="CeldaAPA"/>
            </w:pPr>
          </w:p>
        </w:tc>
        <w:tc>
          <w:tcPr>
            <w:tcW w:w="973" w:type="dxa"/>
          </w:tcPr>
          <w:p>
            <w:pPr>
              <w:pStyle w:val="CeldaAPA"/>
            </w:pPr>
          </w:p>
        </w:tc>
        <w:tc>
          <w:tcPr>
            <w:tcW w:w="1708" w:type="dxa"/>
          </w:tcPr>
          <w:p>
            <w:pPr>
              <w:pStyle w:val="CeldaAPA"/>
              <w:jc w:val="left"/>
            </w:pPr>
            <w:r>
              <w:rPr>
                <w:sz w:val="20"/>
                <w:szCs w:val="20"/>
              </w:rPr>
              <w:t xml:space="preserve">Factura</w:t>
            </w:r>
          </w:p>
        </w:tc>
      </w:tr>
      <w:tr>
        <w:tc>
          <w:tcPr>
            <w:tcW w:w="6680" w:type="dxa"/>
            <w:gridSpan w:val="5"/>
          </w:tcPr>
          <w:p>
            <w:pPr>
              <w:pStyle w:val="CeldaAPA"/>
              <w:jc w:val="right"/>
            </w:pPr>
            <w:r>
              <w:rPr>
                <w:bCs/>
                <w:b/>
                <w:sz w:val="20"/>
                <w:szCs w:val="20"/>
              </w:rPr>
              <w:t xml:space="preserve">Subtotal</w:t>
            </w:r>
            <w:r>
              <w:rPr>
                <w:bCs/>
                <w:b/>
                <w:sz w:val="20"/>
                <w:szCs w:val="20"/>
              </w:rPr>
              <w:t xml:space="preserve"> </w:t>
            </w:r>
            <m:oMath>
              <m:sSub>
                <m:e>
                  <m:r>
                    <m:t>C</m:t>
                  </m:r>
                </m:e>
                <m:sub>
                  <m:r>
                    <m:t>P</m:t>
                  </m:r>
                </m:sub>
              </m:sSub>
            </m:oMath>
          </w:p>
        </w:tc>
        <w:tc>
          <w:tcPr>
            <w:tcW w:w="973" w:type="dxa"/>
          </w:tcPr>
          <w:p>
            <w:pPr>
              <w:pStyle w:val="CeldaAPA"/>
            </w:pPr>
          </w:p>
        </w:tc>
        <w:tc>
          <w:tcPr>
            <w:tcW w:w="1708" w:type="dxa"/>
          </w:tcPr>
          <w:p>
            <w:pPr>
              <w:pStyle w:val="CeldaAPA"/>
            </w:pPr>
          </w:p>
        </w:tc>
      </w:tr>
      <w:tr>
        <w:tc>
          <w:tcPr>
            <w:tcW w:w="9361" w:type="dxa"/>
            <w:gridSpan w:val="7"/>
          </w:tcPr>
          <w:p>
            <w:pPr>
              <w:pStyle w:val="CeldaAPA"/>
              <w:jc w:val="left"/>
            </w:pPr>
            <w:r>
              <w:rPr>
                <w:bCs/>
                <w:b/>
                <w:sz w:val="20"/>
                <w:szCs w:val="20"/>
              </w:rPr>
              <w:t xml:space="preserve">Evaluación (</w:t>
            </w:r>
            <m:oMath>
              <m:sSub>
                <m:e>
                  <m:r>
                    <m:t>C</m:t>
                  </m:r>
                </m:e>
                <m:sub>
                  <m:r>
                    <m:t>E</m:t>
                  </m:r>
                </m:sub>
              </m:sSub>
            </m:oMath>
            <w:r>
              <w:rPr>
                <w:bCs/>
                <w:b/>
                <w:sz w:val="20"/>
                <w:szCs w:val="20"/>
              </w:rPr>
              <w:t xml:space="preserve">)</w:t>
            </w:r>
          </w:p>
        </w:tc>
      </w:tr>
      <w:tr>
        <w:tc>
          <w:tcPr>
            <w:tcW w:w="801" w:type="dxa"/>
          </w:tcPr>
          <w:p>
            <w:pPr>
              <w:pStyle w:val="CeldaAPA"/>
              <w:jc w:val="left"/>
            </w:pPr>
            <w:r>
              <w:rPr>
                <w:sz w:val="20"/>
                <w:szCs w:val="20"/>
              </w:rPr>
              <w:t xml:space="preserve">E1</w:t>
            </w:r>
          </w:p>
        </w:tc>
        <w:tc>
          <w:tcPr>
            <w:tcW w:w="2328" w:type="dxa"/>
          </w:tcPr>
          <w:p>
            <w:pPr>
              <w:pStyle w:val="CeldaAPA"/>
              <w:jc w:val="left"/>
            </w:pPr>
            <w:r>
              <w:rPr>
                <w:sz w:val="20"/>
                <w:szCs w:val="20"/>
              </w:rPr>
              <w:t xml:space="preserve">Ensayos de compresión (cilindros a 7 y 28 días)</w:t>
            </w:r>
          </w:p>
        </w:tc>
        <w:tc>
          <w:tcPr>
            <w:tcW w:w="1302" w:type="dxa"/>
          </w:tcPr>
          <w:p>
            <w:pPr>
              <w:pStyle w:val="CeldaAPA"/>
            </w:pPr>
          </w:p>
        </w:tc>
        <w:tc>
          <w:tcPr>
            <w:tcW w:w="1083" w:type="dxa"/>
          </w:tcPr>
          <w:p>
            <w:pPr>
              <w:pStyle w:val="CeldaAPA"/>
              <w:jc w:val="center"/>
            </w:pPr>
            <w:r>
              <w:rPr>
                <w:sz w:val="20"/>
                <w:szCs w:val="20"/>
              </w:rPr>
              <w:t xml:space="preserve">ensayo</w:t>
            </w:r>
          </w:p>
        </w:tc>
        <w:tc>
          <w:tcPr>
            <w:tcW w:w="1166" w:type="dxa"/>
          </w:tcPr>
          <w:p>
            <w:pPr>
              <w:pStyle w:val="CeldaAPA"/>
            </w:pPr>
          </w:p>
        </w:tc>
        <w:tc>
          <w:tcPr>
            <w:tcW w:w="973" w:type="dxa"/>
          </w:tcPr>
          <w:p>
            <w:pPr>
              <w:pStyle w:val="CeldaAPA"/>
            </w:pPr>
          </w:p>
        </w:tc>
        <w:tc>
          <w:tcPr>
            <w:tcW w:w="1708" w:type="dxa"/>
          </w:tcPr>
          <w:p>
            <w:pPr>
              <w:pStyle w:val="CeldaAPA"/>
              <w:jc w:val="left"/>
            </w:pPr>
            <w:r>
              <w:rPr>
                <w:sz w:val="20"/>
                <w:szCs w:val="20"/>
              </w:rPr>
              <w:t xml:space="preserve">Factura del laboratorio</w:t>
            </w:r>
          </w:p>
        </w:tc>
      </w:tr>
      <w:tr>
        <w:tc>
          <w:tcPr>
            <w:tcW w:w="801" w:type="dxa"/>
          </w:tcPr>
          <w:p>
            <w:pPr>
              <w:pStyle w:val="CeldaAPA"/>
              <w:jc w:val="left"/>
            </w:pPr>
            <w:r>
              <w:rPr>
                <w:sz w:val="20"/>
                <w:szCs w:val="20"/>
              </w:rPr>
              <w:t xml:space="preserve">E2</w:t>
            </w:r>
          </w:p>
        </w:tc>
        <w:tc>
          <w:tcPr>
            <w:tcW w:w="2328" w:type="dxa"/>
          </w:tcPr>
          <w:p>
            <w:pPr>
              <w:pStyle w:val="CeldaAPA"/>
              <w:jc w:val="left"/>
            </w:pPr>
            <w:r>
              <w:rPr>
                <w:sz w:val="20"/>
                <w:szCs w:val="20"/>
              </w:rPr>
              <w:t xml:space="preserve">Ensayos de asentamiento y temperatura</w:t>
            </w:r>
          </w:p>
        </w:tc>
        <w:tc>
          <w:tcPr>
            <w:tcW w:w="1302" w:type="dxa"/>
          </w:tcPr>
          <w:p>
            <w:pPr>
              <w:pStyle w:val="CeldaAPA"/>
            </w:pPr>
          </w:p>
        </w:tc>
        <w:tc>
          <w:tcPr>
            <w:tcW w:w="1083" w:type="dxa"/>
          </w:tcPr>
          <w:p>
            <w:pPr>
              <w:pStyle w:val="CeldaAPA"/>
              <w:jc w:val="center"/>
            </w:pPr>
            <w:r>
              <w:rPr>
                <w:sz w:val="20"/>
                <w:szCs w:val="20"/>
              </w:rPr>
              <w:t xml:space="preserve">h</w:t>
            </w:r>
          </w:p>
        </w:tc>
        <w:tc>
          <w:tcPr>
            <w:tcW w:w="1166" w:type="dxa"/>
          </w:tcPr>
          <w:p>
            <w:pPr>
              <w:pStyle w:val="CeldaAPA"/>
            </w:pPr>
          </w:p>
        </w:tc>
        <w:tc>
          <w:tcPr>
            <w:tcW w:w="973" w:type="dxa"/>
          </w:tcPr>
          <w:p>
            <w:pPr>
              <w:pStyle w:val="CeldaAPA"/>
            </w:pPr>
          </w:p>
        </w:tc>
        <w:tc>
          <w:tcPr>
            <w:tcW w:w="1708" w:type="dxa"/>
          </w:tcPr>
          <w:p>
            <w:pPr>
              <w:pStyle w:val="CeldaAPA"/>
              <w:jc w:val="left"/>
            </w:pPr>
            <w:r>
              <w:rPr>
                <w:sz w:val="20"/>
                <w:szCs w:val="20"/>
              </w:rPr>
              <w:t xml:space="preserve">Planilla de muestreo</w:t>
            </w:r>
          </w:p>
        </w:tc>
      </w:tr>
      <w:tr>
        <w:tc>
          <w:tcPr>
            <w:tcW w:w="801" w:type="dxa"/>
          </w:tcPr>
          <w:p>
            <w:pPr>
              <w:pStyle w:val="CeldaAPA"/>
              <w:jc w:val="left"/>
            </w:pPr>
            <w:r>
              <w:rPr>
                <w:sz w:val="20"/>
                <w:szCs w:val="20"/>
              </w:rPr>
              <w:t xml:space="preserve">E3</w:t>
            </w:r>
          </w:p>
        </w:tc>
        <w:tc>
          <w:tcPr>
            <w:tcW w:w="2328" w:type="dxa"/>
          </w:tcPr>
          <w:p>
            <w:pPr>
              <w:pStyle w:val="CeldaAPA"/>
              <w:jc w:val="left"/>
            </w:pPr>
            <w:r>
              <w:rPr>
                <w:sz w:val="20"/>
                <w:szCs w:val="20"/>
              </w:rPr>
              <w:t xml:space="preserve">Inspecciones del PPI y liberación de paños</w:t>
            </w:r>
          </w:p>
        </w:tc>
        <w:tc>
          <w:tcPr>
            <w:tcW w:w="1302" w:type="dxa"/>
          </w:tcPr>
          <w:p>
            <w:pPr>
              <w:pStyle w:val="CeldaAPA"/>
            </w:pPr>
          </w:p>
        </w:tc>
        <w:tc>
          <w:tcPr>
            <w:tcW w:w="1083" w:type="dxa"/>
          </w:tcPr>
          <w:p>
            <w:pPr>
              <w:pStyle w:val="CeldaAPA"/>
              <w:jc w:val="center"/>
            </w:pPr>
            <w:r>
              <w:rPr>
                <w:sz w:val="20"/>
                <w:szCs w:val="20"/>
              </w:rPr>
              <w:t xml:space="preserve">h</w:t>
            </w:r>
          </w:p>
        </w:tc>
        <w:tc>
          <w:tcPr>
            <w:tcW w:w="1166" w:type="dxa"/>
          </w:tcPr>
          <w:p>
            <w:pPr>
              <w:pStyle w:val="CeldaAPA"/>
            </w:pPr>
          </w:p>
        </w:tc>
        <w:tc>
          <w:tcPr>
            <w:tcW w:w="973" w:type="dxa"/>
          </w:tcPr>
          <w:p>
            <w:pPr>
              <w:pStyle w:val="CeldaAPA"/>
            </w:pPr>
          </w:p>
        </w:tc>
        <w:tc>
          <w:tcPr>
            <w:tcW w:w="1708" w:type="dxa"/>
          </w:tcPr>
          <w:p>
            <w:pPr>
              <w:pStyle w:val="CeldaAPA"/>
              <w:jc w:val="left"/>
            </w:pPr>
            <w:r>
              <w:rPr>
                <w:sz w:val="20"/>
                <w:szCs w:val="20"/>
              </w:rPr>
              <w:t xml:space="preserve">Fichas C.2</w:t>
            </w:r>
          </w:p>
        </w:tc>
      </w:tr>
      <w:tr>
        <w:tc>
          <w:tcPr>
            <w:tcW w:w="801" w:type="dxa"/>
          </w:tcPr>
          <w:p>
            <w:pPr>
              <w:pStyle w:val="CeldaAPA"/>
              <w:jc w:val="left"/>
            </w:pPr>
            <w:r>
              <w:rPr>
                <w:sz w:val="20"/>
                <w:szCs w:val="20"/>
              </w:rPr>
              <w:t xml:space="preserve">E4</w:t>
            </w:r>
          </w:p>
        </w:tc>
        <w:tc>
          <w:tcPr>
            <w:tcW w:w="2328" w:type="dxa"/>
          </w:tcPr>
          <w:p>
            <w:pPr>
              <w:pStyle w:val="CeldaAPA"/>
              <w:jc w:val="left"/>
            </w:pPr>
            <w:r>
              <w:rPr>
                <w:sz w:val="20"/>
                <w:szCs w:val="20"/>
              </w:rPr>
              <w:t xml:space="preserve">Recepción, pesajes, inventarios y conciliación</w:t>
            </w:r>
          </w:p>
        </w:tc>
        <w:tc>
          <w:tcPr>
            <w:tcW w:w="1302" w:type="dxa"/>
          </w:tcPr>
          <w:p>
            <w:pPr>
              <w:pStyle w:val="CeldaAPA"/>
            </w:pPr>
          </w:p>
        </w:tc>
        <w:tc>
          <w:tcPr>
            <w:tcW w:w="1083" w:type="dxa"/>
          </w:tcPr>
          <w:p>
            <w:pPr>
              <w:pStyle w:val="CeldaAPA"/>
              <w:jc w:val="center"/>
            </w:pPr>
            <w:r>
              <w:rPr>
                <w:sz w:val="20"/>
                <w:szCs w:val="20"/>
              </w:rPr>
              <w:t xml:space="preserve">h</w:t>
            </w:r>
          </w:p>
        </w:tc>
        <w:tc>
          <w:tcPr>
            <w:tcW w:w="1166" w:type="dxa"/>
          </w:tcPr>
          <w:p>
            <w:pPr>
              <w:pStyle w:val="CeldaAPA"/>
            </w:pPr>
          </w:p>
        </w:tc>
        <w:tc>
          <w:tcPr>
            <w:tcW w:w="973" w:type="dxa"/>
          </w:tcPr>
          <w:p>
            <w:pPr>
              <w:pStyle w:val="CeldaAPA"/>
            </w:pPr>
          </w:p>
        </w:tc>
        <w:tc>
          <w:tcPr>
            <w:tcW w:w="1708" w:type="dxa"/>
          </w:tcPr>
          <w:p>
            <w:pPr>
              <w:pStyle w:val="CeldaAPA"/>
              <w:jc w:val="left"/>
            </w:pPr>
            <w:r>
              <w:rPr>
                <w:sz w:val="20"/>
                <w:szCs w:val="20"/>
              </w:rPr>
              <w:t xml:space="preserve">Fichas C.3 y C.4</w:t>
            </w:r>
          </w:p>
        </w:tc>
      </w:tr>
      <w:tr>
        <w:tc>
          <w:tcPr>
            <w:tcW w:w="6680" w:type="dxa"/>
            <w:gridSpan w:val="5"/>
          </w:tcPr>
          <w:p>
            <w:pPr>
              <w:pStyle w:val="CeldaAPA"/>
              <w:jc w:val="right"/>
            </w:pPr>
            <w:r>
              <w:rPr>
                <w:bCs/>
                <w:b/>
                <w:sz w:val="20"/>
                <w:szCs w:val="20"/>
              </w:rPr>
              <w:t xml:space="preserve">Subtotal</w:t>
            </w:r>
            <w:r>
              <w:rPr>
                <w:bCs/>
                <w:b/>
                <w:sz w:val="20"/>
                <w:szCs w:val="20"/>
              </w:rPr>
              <w:t xml:space="preserve"> </w:t>
            </w:r>
            <m:oMath>
              <m:sSub>
                <m:e>
                  <m:r>
                    <m:t>C</m:t>
                  </m:r>
                </m:e>
                <m:sub>
                  <m:r>
                    <m:t>E</m:t>
                  </m:r>
                </m:sub>
              </m:sSub>
            </m:oMath>
          </w:p>
        </w:tc>
        <w:tc>
          <w:tcPr>
            <w:tcW w:w="973" w:type="dxa"/>
          </w:tcPr>
          <w:p>
            <w:pPr>
              <w:pStyle w:val="CeldaAPA"/>
            </w:pPr>
          </w:p>
        </w:tc>
        <w:tc>
          <w:tcPr>
            <w:tcW w:w="1708" w:type="dxa"/>
          </w:tcPr>
          <w:p>
            <w:pPr>
              <w:pStyle w:val="CeldaAPA"/>
            </w:pPr>
          </w:p>
        </w:tc>
      </w:tr>
      <w:tr>
        <w:tc>
          <w:tcPr>
            <w:tcW w:w="9361" w:type="dxa"/>
            <w:gridSpan w:val="7"/>
          </w:tcPr>
          <w:p>
            <w:pPr>
              <w:pStyle w:val="CeldaAPA"/>
              <w:jc w:val="left"/>
            </w:pPr>
            <w:r>
              <w:rPr>
                <w:bCs/>
                <w:b/>
                <w:sz w:val="20"/>
                <w:szCs w:val="20"/>
              </w:rPr>
              <w:t xml:space="preserve">Fallas internas (</w:t>
            </w:r>
            <m:oMath>
              <m:sSub>
                <m:e>
                  <m:r>
                    <m:t>C</m:t>
                  </m:r>
                </m:e>
                <m:sub>
                  <m:r>
                    <m:t>F</m:t>
                  </m:r>
                  <m:r>
                    <m:t>I</m:t>
                  </m:r>
                </m:sub>
              </m:sSub>
            </m:oMath>
            <w:r>
              <w:rPr>
                <w:bCs/>
                <w:b/>
                <w:sz w:val="20"/>
                <w:szCs w:val="20"/>
              </w:rPr>
              <w:t xml:space="preserve">)</w:t>
            </w:r>
          </w:p>
        </w:tc>
      </w:tr>
      <w:tr>
        <w:tc>
          <w:tcPr>
            <w:tcW w:w="801" w:type="dxa"/>
          </w:tcPr>
          <w:p>
            <w:pPr>
              <w:pStyle w:val="CeldaAPA"/>
              <w:jc w:val="left"/>
            </w:pPr>
            <w:r>
              <w:rPr>
                <w:sz w:val="20"/>
                <w:szCs w:val="20"/>
              </w:rPr>
              <w:t xml:space="preserve">FI1</w:t>
            </w:r>
          </w:p>
        </w:tc>
        <w:tc>
          <w:tcPr>
            <w:tcW w:w="2328" w:type="dxa"/>
          </w:tcPr>
          <w:p>
            <w:pPr>
              <w:pStyle w:val="CeldaAPA"/>
              <w:jc w:val="left"/>
            </w:pPr>
            <w:r>
              <w:rPr>
                <w:sz w:val="20"/>
                <w:szCs w:val="20"/>
              </w:rPr>
              <w:t xml:space="preserve">Desperdicio de materiales sobre lo teórico,</w:t>
            </w:r>
            <w:r>
              <w:rPr>
                <w:sz w:val="20"/>
                <w:szCs w:val="20"/>
              </w:rPr>
              <w:t xml:space="preserve"> </w:t>
            </w:r>
            <m:oMath>
              <m:sSubSup>
                <m:e>
                  <m:r>
                    <m:t>C</m:t>
                  </m:r>
                </m:e>
                <m:sub>
                  <m:r>
                    <m:t>F</m:t>
                  </m:r>
                  <m:r>
                    <m:t>I</m:t>
                  </m:r>
                </m:sub>
                <m:sup>
                  <m:r>
                    <m:t> </m:t>
                  </m:r>
                  <m:r>
                    <m:t>m</m:t>
                  </m:r>
                  <m:r>
                    <m:t>a</m:t>
                  </m:r>
                  <m:r>
                    <m:t>t</m:t>
                  </m:r>
                </m:sup>
              </m:sSubSup>
            </m:oMath>
            <w:r>
              <w:rPr>
                <w:sz w:val="20"/>
                <w:szCs w:val="20"/>
              </w:rPr>
              <w:t xml:space="preserve"> </w:t>
            </w:r>
            <w:r>
              <w:rPr>
                <w:sz w:val="20"/>
                <w:szCs w:val="20"/>
              </w:rPr>
              <w:t xml:space="preserve">(detalle abajo)</w:t>
            </w:r>
          </w:p>
        </w:tc>
        <w:tc>
          <w:tcPr>
            <w:tcW w:w="1302" w:type="dxa"/>
          </w:tcPr>
          <w:p>
            <w:pPr>
              <w:pStyle w:val="CeldaAPA"/>
            </w:pPr>
          </w:p>
        </w:tc>
        <w:tc>
          <w:tcPr>
            <w:tcW w:w="1083" w:type="dxa"/>
          </w:tcPr>
          <w:p>
            <w:pPr>
              <w:pStyle w:val="CeldaAPA"/>
              <w:jc w:val="center"/>
            </w:pPr>
            <w:r>
              <w:rPr>
                <w:sz w:val="20"/>
                <w:szCs w:val="20"/>
              </w:rPr>
              <w:t xml:space="preserve">Bs</w:t>
            </w:r>
          </w:p>
        </w:tc>
        <w:tc>
          <w:tcPr>
            <w:tcW w:w="1166" w:type="dxa"/>
          </w:tcPr>
          <w:p>
            <w:pPr>
              <w:pStyle w:val="CeldaAPA"/>
            </w:pPr>
          </w:p>
        </w:tc>
        <w:tc>
          <w:tcPr>
            <w:tcW w:w="973" w:type="dxa"/>
          </w:tcPr>
          <w:p>
            <w:pPr>
              <w:pStyle w:val="CeldaAPA"/>
            </w:pPr>
          </w:p>
        </w:tc>
        <w:tc>
          <w:tcPr>
            <w:tcW w:w="1708" w:type="dxa"/>
          </w:tcPr>
          <w:p>
            <w:pPr>
              <w:pStyle w:val="CeldaAPA"/>
              <w:jc w:val="left"/>
            </w:pPr>
            <w:r>
              <w:rPr>
                <w:sz w:val="20"/>
                <w:szCs w:val="20"/>
              </w:rPr>
              <w:t xml:space="preserve">Ficha C.4</w:t>
            </w:r>
          </w:p>
        </w:tc>
      </w:tr>
      <w:tr>
        <w:tc>
          <w:tcPr>
            <w:tcW w:w="801" w:type="dxa"/>
          </w:tcPr>
          <w:p>
            <w:pPr>
              <w:pStyle w:val="CeldaAPA"/>
              <w:jc w:val="left"/>
            </w:pPr>
            <w:r>
              <w:rPr>
                <w:sz w:val="20"/>
                <w:szCs w:val="20"/>
              </w:rPr>
              <w:t xml:space="preserve">FI2</w:t>
            </w:r>
          </w:p>
        </w:tc>
        <w:tc>
          <w:tcPr>
            <w:tcW w:w="2328" w:type="dxa"/>
          </w:tcPr>
          <w:p>
            <w:pPr>
              <w:pStyle w:val="CeldaAPA"/>
              <w:jc w:val="left"/>
            </w:pPr>
            <w:r>
              <w:rPr>
                <w:sz w:val="20"/>
                <w:szCs w:val="20"/>
              </w:rPr>
              <w:t xml:space="preserve">Retrabajos y reparaciones</w:t>
            </w:r>
          </w:p>
        </w:tc>
        <w:tc>
          <w:tcPr>
            <w:tcW w:w="1302" w:type="dxa"/>
          </w:tcPr>
          <w:p>
            <w:pPr>
              <w:pStyle w:val="CeldaAPA"/>
            </w:pPr>
          </w:p>
        </w:tc>
        <w:tc>
          <w:tcPr>
            <w:tcW w:w="1083" w:type="dxa"/>
          </w:tcPr>
          <w:p>
            <w:pPr>
              <w:pStyle w:val="CeldaAPA"/>
              <w:jc w:val="center"/>
            </w:pPr>
            <w:r>
              <w:rPr>
                <w:sz w:val="20"/>
                <w:szCs w:val="20"/>
              </w:rPr>
              <w:t xml:space="preserve">h-h</w:t>
            </w:r>
          </w:p>
        </w:tc>
        <w:tc>
          <w:tcPr>
            <w:tcW w:w="1166" w:type="dxa"/>
          </w:tcPr>
          <w:p>
            <w:pPr>
              <w:pStyle w:val="CeldaAPA"/>
            </w:pPr>
          </w:p>
        </w:tc>
        <w:tc>
          <w:tcPr>
            <w:tcW w:w="973" w:type="dxa"/>
          </w:tcPr>
          <w:p>
            <w:pPr>
              <w:pStyle w:val="CeldaAPA"/>
            </w:pPr>
          </w:p>
        </w:tc>
        <w:tc>
          <w:tcPr>
            <w:tcW w:w="1708" w:type="dxa"/>
          </w:tcPr>
          <w:p>
            <w:pPr>
              <w:pStyle w:val="CeldaAPA"/>
              <w:jc w:val="left"/>
            </w:pPr>
            <w:r>
              <w:rPr>
                <w:sz w:val="20"/>
                <w:szCs w:val="20"/>
              </w:rPr>
              <w:t xml:space="preserve">Registros C.5</w:t>
            </w:r>
          </w:p>
        </w:tc>
      </w:tr>
      <w:tr>
        <w:tc>
          <w:tcPr>
            <w:tcW w:w="801" w:type="dxa"/>
          </w:tcPr>
          <w:p>
            <w:pPr>
              <w:pStyle w:val="CeldaAPA"/>
              <w:jc w:val="left"/>
            </w:pPr>
            <w:r>
              <w:rPr>
                <w:sz w:val="20"/>
                <w:szCs w:val="20"/>
              </w:rPr>
              <w:t xml:space="preserve">FI3</w:t>
            </w:r>
          </w:p>
        </w:tc>
        <w:tc>
          <w:tcPr>
            <w:tcW w:w="2328" w:type="dxa"/>
          </w:tcPr>
          <w:p>
            <w:pPr>
              <w:pStyle w:val="CeldaAPA"/>
              <w:jc w:val="left"/>
            </w:pPr>
            <w:r>
              <w:rPr>
                <w:sz w:val="20"/>
                <w:szCs w:val="20"/>
              </w:rPr>
              <w:t xml:space="preserve">Material no conforme repuesto</w:t>
            </w:r>
          </w:p>
        </w:tc>
        <w:tc>
          <w:tcPr>
            <w:tcW w:w="1302" w:type="dxa"/>
          </w:tcPr>
          <w:p>
            <w:pPr>
              <w:pStyle w:val="CeldaAPA"/>
            </w:pPr>
          </w:p>
        </w:tc>
        <w:tc>
          <w:tcPr>
            <w:tcW w:w="1083" w:type="dxa"/>
          </w:tcPr>
          <w:p>
            <w:pPr>
              <w:pStyle w:val="CeldaAPA"/>
            </w:pPr>
          </w:p>
        </w:tc>
        <w:tc>
          <w:tcPr>
            <w:tcW w:w="1166" w:type="dxa"/>
          </w:tcPr>
          <w:p>
            <w:pPr>
              <w:pStyle w:val="CeldaAPA"/>
            </w:pPr>
          </w:p>
        </w:tc>
        <w:tc>
          <w:tcPr>
            <w:tcW w:w="973" w:type="dxa"/>
          </w:tcPr>
          <w:p>
            <w:pPr>
              <w:pStyle w:val="CeldaAPA"/>
            </w:pPr>
          </w:p>
        </w:tc>
        <w:tc>
          <w:tcPr>
            <w:tcW w:w="1708" w:type="dxa"/>
          </w:tcPr>
          <w:p>
            <w:pPr>
              <w:pStyle w:val="CeldaAPA"/>
              <w:jc w:val="left"/>
            </w:pPr>
            <w:r>
              <w:rPr>
                <w:sz w:val="20"/>
                <w:szCs w:val="20"/>
              </w:rPr>
              <w:t xml:space="preserve">PCM-05; C.5</w:t>
            </w:r>
          </w:p>
        </w:tc>
      </w:tr>
      <w:tr>
        <w:tc>
          <w:tcPr>
            <w:tcW w:w="801" w:type="dxa"/>
          </w:tcPr>
          <w:p>
            <w:pPr>
              <w:pStyle w:val="CeldaAPA"/>
              <w:jc w:val="left"/>
            </w:pPr>
            <w:r>
              <w:rPr>
                <w:sz w:val="20"/>
                <w:szCs w:val="20"/>
              </w:rPr>
              <w:t xml:space="preserve">FI4</w:t>
            </w:r>
          </w:p>
        </w:tc>
        <w:tc>
          <w:tcPr>
            <w:tcW w:w="2328" w:type="dxa"/>
          </w:tcPr>
          <w:p>
            <w:pPr>
              <w:pStyle w:val="CeldaAPA"/>
              <w:jc w:val="left"/>
            </w:pPr>
            <w:r>
              <w:rPr>
                <w:sz w:val="20"/>
                <w:szCs w:val="20"/>
              </w:rPr>
              <w:t xml:space="preserve">Esperas de la cuadrilla por material faltante o no conforme</w:t>
            </w:r>
          </w:p>
        </w:tc>
        <w:tc>
          <w:tcPr>
            <w:tcW w:w="1302" w:type="dxa"/>
          </w:tcPr>
          <w:p>
            <w:pPr>
              <w:pStyle w:val="CeldaAPA"/>
            </w:pPr>
          </w:p>
        </w:tc>
        <w:tc>
          <w:tcPr>
            <w:tcW w:w="1083" w:type="dxa"/>
          </w:tcPr>
          <w:p>
            <w:pPr>
              <w:pStyle w:val="CeldaAPA"/>
              <w:jc w:val="center"/>
            </w:pPr>
            <w:r>
              <w:rPr>
                <w:sz w:val="20"/>
                <w:szCs w:val="20"/>
              </w:rPr>
              <w:t xml:space="preserve">h-h</w:t>
            </w:r>
          </w:p>
        </w:tc>
        <w:tc>
          <w:tcPr>
            <w:tcW w:w="1166" w:type="dxa"/>
          </w:tcPr>
          <w:p>
            <w:pPr>
              <w:pStyle w:val="CeldaAPA"/>
            </w:pPr>
          </w:p>
        </w:tc>
        <w:tc>
          <w:tcPr>
            <w:tcW w:w="973" w:type="dxa"/>
          </w:tcPr>
          <w:p>
            <w:pPr>
              <w:pStyle w:val="CeldaAPA"/>
            </w:pPr>
          </w:p>
        </w:tc>
        <w:tc>
          <w:tcPr>
            <w:tcW w:w="1708" w:type="dxa"/>
          </w:tcPr>
          <w:p>
            <w:pPr>
              <w:pStyle w:val="CeldaAPA"/>
              <w:jc w:val="left"/>
            </w:pPr>
            <w:r>
              <w:rPr>
                <w:sz w:val="20"/>
                <w:szCs w:val="20"/>
              </w:rPr>
              <w:t xml:space="preserve">Parte diario</w:t>
            </w:r>
          </w:p>
        </w:tc>
      </w:tr>
      <w:tr>
        <w:tc>
          <w:tcPr>
            <w:tcW w:w="801" w:type="dxa"/>
          </w:tcPr>
          <w:p>
            <w:pPr>
              <w:pStyle w:val="CeldaAPA"/>
              <w:jc w:val="left"/>
            </w:pPr>
            <w:r>
              <w:rPr>
                <w:sz w:val="20"/>
                <w:szCs w:val="20"/>
              </w:rPr>
              <w:t xml:space="preserve">FI5</w:t>
            </w:r>
          </w:p>
        </w:tc>
        <w:tc>
          <w:tcPr>
            <w:tcW w:w="2328" w:type="dxa"/>
          </w:tcPr>
          <w:p>
            <w:pPr>
              <w:pStyle w:val="CeldaAPA"/>
              <w:jc w:val="left"/>
            </w:pPr>
            <w:r>
              <w:rPr>
                <w:sz w:val="20"/>
                <w:szCs w:val="20"/>
              </w:rPr>
              <w:t xml:space="preserve">Investigación de resistencias bajas (núcleos)</w:t>
            </w:r>
          </w:p>
        </w:tc>
        <w:tc>
          <w:tcPr>
            <w:tcW w:w="1302" w:type="dxa"/>
          </w:tcPr>
          <w:p>
            <w:pPr>
              <w:pStyle w:val="CeldaAPA"/>
            </w:pPr>
          </w:p>
        </w:tc>
        <w:tc>
          <w:tcPr>
            <w:tcW w:w="1083" w:type="dxa"/>
          </w:tcPr>
          <w:p>
            <w:pPr>
              <w:pStyle w:val="CeldaAPA"/>
              <w:jc w:val="center"/>
            </w:pPr>
            <w:r>
              <w:rPr>
                <w:sz w:val="20"/>
                <w:szCs w:val="20"/>
              </w:rPr>
              <w:t xml:space="preserve">núcleo</w:t>
            </w:r>
          </w:p>
        </w:tc>
        <w:tc>
          <w:tcPr>
            <w:tcW w:w="1166" w:type="dxa"/>
          </w:tcPr>
          <w:p>
            <w:pPr>
              <w:pStyle w:val="CeldaAPA"/>
            </w:pPr>
          </w:p>
        </w:tc>
        <w:tc>
          <w:tcPr>
            <w:tcW w:w="973" w:type="dxa"/>
          </w:tcPr>
          <w:p>
            <w:pPr>
              <w:pStyle w:val="CeldaAPA"/>
            </w:pPr>
          </w:p>
        </w:tc>
        <w:tc>
          <w:tcPr>
            <w:tcW w:w="1708" w:type="dxa"/>
          </w:tcPr>
          <w:p>
            <w:pPr>
              <w:pStyle w:val="CeldaAPA"/>
              <w:jc w:val="left"/>
            </w:pPr>
            <w:r>
              <w:rPr>
                <w:sz w:val="20"/>
                <w:szCs w:val="20"/>
              </w:rPr>
              <w:t xml:space="preserve">Informe del laboratorio</w:t>
            </w:r>
          </w:p>
        </w:tc>
      </w:tr>
      <w:tr>
        <w:tc>
          <w:tcPr>
            <w:tcW w:w="6680" w:type="dxa"/>
            <w:gridSpan w:val="5"/>
          </w:tcPr>
          <w:p>
            <w:pPr>
              <w:pStyle w:val="CeldaAPA"/>
              <w:jc w:val="right"/>
            </w:pPr>
            <w:r>
              <w:rPr>
                <w:bCs/>
                <w:b/>
                <w:sz w:val="20"/>
                <w:szCs w:val="20"/>
              </w:rPr>
              <w:t xml:space="preserve">Subtotal</w:t>
            </w:r>
            <w:r>
              <w:rPr>
                <w:bCs/>
                <w:b/>
                <w:sz w:val="20"/>
                <w:szCs w:val="20"/>
              </w:rPr>
              <w:t xml:space="preserve"> </w:t>
            </w:r>
            <m:oMath>
              <m:sSub>
                <m:e>
                  <m:r>
                    <m:t>C</m:t>
                  </m:r>
                </m:e>
                <m:sub>
                  <m:r>
                    <m:t>F</m:t>
                  </m:r>
                  <m:r>
                    <m:t>I</m:t>
                  </m:r>
                </m:sub>
              </m:sSub>
            </m:oMath>
          </w:p>
        </w:tc>
        <w:tc>
          <w:tcPr>
            <w:tcW w:w="973" w:type="dxa"/>
          </w:tcPr>
          <w:p>
            <w:pPr>
              <w:pStyle w:val="CeldaAPA"/>
            </w:pPr>
          </w:p>
        </w:tc>
        <w:tc>
          <w:tcPr>
            <w:tcW w:w="1708" w:type="dxa"/>
          </w:tcPr>
          <w:p>
            <w:pPr>
              <w:pStyle w:val="CeldaAPA"/>
            </w:pPr>
          </w:p>
        </w:tc>
      </w:tr>
      <w:tr>
        <w:tc>
          <w:tcPr>
            <w:tcW w:w="9361" w:type="dxa"/>
            <w:gridSpan w:val="7"/>
          </w:tcPr>
          <w:p>
            <w:pPr>
              <w:pStyle w:val="CeldaAPA"/>
              <w:jc w:val="left"/>
            </w:pPr>
            <w:r>
              <w:rPr>
                <w:bCs/>
                <w:b/>
                <w:sz w:val="20"/>
                <w:szCs w:val="20"/>
              </w:rPr>
              <w:t xml:space="preserve">Fallas externas (</w:t>
            </w:r>
            <m:oMath>
              <m:sSub>
                <m:e>
                  <m:r>
                    <m:t>C</m:t>
                  </m:r>
                </m:e>
                <m:sub>
                  <m:r>
                    <m:t>F</m:t>
                  </m:r>
                  <m:r>
                    <m:t>E</m:t>
                  </m:r>
                </m:sub>
              </m:sSub>
            </m:oMath>
            <w:r>
              <w:rPr>
                <w:bCs/>
                <w:b/>
                <w:sz w:val="20"/>
                <w:szCs w:val="20"/>
              </w:rPr>
              <w:t xml:space="preserve">)</w:t>
            </w:r>
          </w:p>
        </w:tc>
      </w:tr>
      <w:tr>
        <w:tc>
          <w:tcPr>
            <w:tcW w:w="801" w:type="dxa"/>
          </w:tcPr>
          <w:p>
            <w:pPr>
              <w:pStyle w:val="CeldaAPA"/>
              <w:jc w:val="left"/>
            </w:pPr>
            <w:r>
              <w:rPr>
                <w:sz w:val="20"/>
                <w:szCs w:val="20"/>
              </w:rPr>
              <w:t xml:space="preserve">FE1</w:t>
            </w:r>
          </w:p>
        </w:tc>
        <w:tc>
          <w:tcPr>
            <w:tcW w:w="2328" w:type="dxa"/>
          </w:tcPr>
          <w:p>
            <w:pPr>
              <w:pStyle w:val="CeldaAPA"/>
              <w:jc w:val="left"/>
            </w:pPr>
            <w:r>
              <w:rPr>
                <w:sz w:val="20"/>
                <w:szCs w:val="20"/>
              </w:rPr>
              <w:t xml:space="preserve">Sobremediciones corregidas después de pagadas</w:t>
            </w:r>
          </w:p>
        </w:tc>
        <w:tc>
          <w:tcPr>
            <w:tcW w:w="1302" w:type="dxa"/>
          </w:tcPr>
          <w:p>
            <w:pPr>
              <w:pStyle w:val="CeldaAPA"/>
            </w:pPr>
          </w:p>
        </w:tc>
        <w:tc>
          <w:tcPr>
            <w:tcW w:w="1083" w:type="dxa"/>
          </w:tcPr>
          <w:p>
            <w:pPr>
              <w:pStyle w:val="CeldaAPA"/>
              <w:jc w:val="center"/>
            </w:pPr>
            <w:r>
              <w:rPr>
                <w:sz w:val="20"/>
                <w:szCs w:val="20"/>
              </w:rPr>
              <w:t xml:space="preserve">Bs</w:t>
            </w:r>
          </w:p>
        </w:tc>
        <w:tc>
          <w:tcPr>
            <w:tcW w:w="1166" w:type="dxa"/>
          </w:tcPr>
          <w:p>
            <w:pPr>
              <w:pStyle w:val="CeldaAPA"/>
            </w:pPr>
          </w:p>
        </w:tc>
        <w:tc>
          <w:tcPr>
            <w:tcW w:w="973" w:type="dxa"/>
          </w:tcPr>
          <w:p>
            <w:pPr>
              <w:pStyle w:val="CeldaAPA"/>
            </w:pPr>
          </w:p>
        </w:tc>
        <w:tc>
          <w:tcPr>
            <w:tcW w:w="1708" w:type="dxa"/>
          </w:tcPr>
          <w:p>
            <w:pPr>
              <w:pStyle w:val="CeldaAPA"/>
              <w:jc w:val="left"/>
            </w:pPr>
            <w:r>
              <w:rPr>
                <w:sz w:val="20"/>
                <w:szCs w:val="20"/>
              </w:rPr>
              <w:t xml:space="preserve">Planillas de avance</w:t>
            </w:r>
          </w:p>
        </w:tc>
      </w:tr>
      <w:tr>
        <w:tc>
          <w:tcPr>
            <w:tcW w:w="801" w:type="dxa"/>
          </w:tcPr>
          <w:p>
            <w:pPr>
              <w:pStyle w:val="CeldaAPA"/>
              <w:jc w:val="left"/>
            </w:pPr>
            <w:r>
              <w:rPr>
                <w:sz w:val="20"/>
                <w:szCs w:val="20"/>
              </w:rPr>
              <w:t xml:space="preserve">FE2</w:t>
            </w:r>
          </w:p>
        </w:tc>
        <w:tc>
          <w:tcPr>
            <w:tcW w:w="2328" w:type="dxa"/>
          </w:tcPr>
          <w:p>
            <w:pPr>
              <w:pStyle w:val="CeldaAPA"/>
              <w:jc w:val="left"/>
            </w:pPr>
            <w:r>
              <w:rPr>
                <w:sz w:val="20"/>
                <w:szCs w:val="20"/>
              </w:rPr>
              <w:t xml:space="preserve">Reparaciones después de la recepción provisional</w:t>
            </w:r>
          </w:p>
        </w:tc>
        <w:tc>
          <w:tcPr>
            <w:tcW w:w="1302" w:type="dxa"/>
          </w:tcPr>
          <w:p>
            <w:pPr>
              <w:pStyle w:val="CeldaAPA"/>
            </w:pPr>
          </w:p>
        </w:tc>
        <w:tc>
          <w:tcPr>
            <w:tcW w:w="1083" w:type="dxa"/>
          </w:tcPr>
          <w:p>
            <w:pPr>
              <w:pStyle w:val="CeldaAPA"/>
            </w:pPr>
          </w:p>
        </w:tc>
        <w:tc>
          <w:tcPr>
            <w:tcW w:w="1166" w:type="dxa"/>
          </w:tcPr>
          <w:p>
            <w:pPr>
              <w:pStyle w:val="CeldaAPA"/>
            </w:pPr>
          </w:p>
        </w:tc>
        <w:tc>
          <w:tcPr>
            <w:tcW w:w="973" w:type="dxa"/>
          </w:tcPr>
          <w:p>
            <w:pPr>
              <w:pStyle w:val="CeldaAPA"/>
            </w:pPr>
          </w:p>
        </w:tc>
        <w:tc>
          <w:tcPr>
            <w:tcW w:w="1708" w:type="dxa"/>
          </w:tcPr>
          <w:p>
            <w:pPr>
              <w:pStyle w:val="CeldaAPA"/>
              <w:jc w:val="left"/>
            </w:pPr>
            <w:r>
              <w:rPr>
                <w:sz w:val="20"/>
                <w:szCs w:val="20"/>
              </w:rPr>
              <w:t xml:space="preserve">Libro de Órdenes; C.5</w:t>
            </w:r>
          </w:p>
        </w:tc>
      </w:tr>
      <w:tr>
        <w:tc>
          <w:tcPr>
            <w:tcW w:w="801" w:type="dxa"/>
          </w:tcPr>
          <w:p>
            <w:pPr>
              <w:pStyle w:val="CeldaAPA"/>
              <w:jc w:val="left"/>
            </w:pPr>
            <w:r>
              <w:rPr>
                <w:sz w:val="20"/>
                <w:szCs w:val="20"/>
              </w:rPr>
              <w:t xml:space="preserve">FE3</w:t>
            </w:r>
          </w:p>
        </w:tc>
        <w:tc>
          <w:tcPr>
            <w:tcW w:w="2328" w:type="dxa"/>
          </w:tcPr>
          <w:p>
            <w:pPr>
              <w:pStyle w:val="CeldaAPA"/>
              <w:jc w:val="left"/>
            </w:pPr>
            <w:r>
              <w:rPr>
                <w:sz w:val="20"/>
                <w:szCs w:val="20"/>
              </w:rPr>
              <w:t xml:space="preserve">Multas y plazo adicional atribuibles a fallas de calidad</w:t>
            </w:r>
          </w:p>
        </w:tc>
        <w:tc>
          <w:tcPr>
            <w:tcW w:w="1302" w:type="dxa"/>
          </w:tcPr>
          <w:p>
            <w:pPr>
              <w:pStyle w:val="CeldaAPA"/>
            </w:pPr>
          </w:p>
        </w:tc>
        <w:tc>
          <w:tcPr>
            <w:tcW w:w="1083" w:type="dxa"/>
          </w:tcPr>
          <w:p>
            <w:pPr>
              <w:pStyle w:val="CeldaAPA"/>
              <w:jc w:val="center"/>
            </w:pPr>
            <w:r>
              <w:rPr>
                <w:sz w:val="20"/>
                <w:szCs w:val="20"/>
              </w:rPr>
              <w:t xml:space="preserve">Bs</w:t>
            </w:r>
          </w:p>
        </w:tc>
        <w:tc>
          <w:tcPr>
            <w:tcW w:w="1166" w:type="dxa"/>
          </w:tcPr>
          <w:p>
            <w:pPr>
              <w:pStyle w:val="CeldaAPA"/>
            </w:pPr>
          </w:p>
        </w:tc>
        <w:tc>
          <w:tcPr>
            <w:tcW w:w="973" w:type="dxa"/>
          </w:tcPr>
          <w:p>
            <w:pPr>
              <w:pStyle w:val="CeldaAPA"/>
            </w:pPr>
          </w:p>
        </w:tc>
        <w:tc>
          <w:tcPr>
            <w:tcW w:w="1708" w:type="dxa"/>
          </w:tcPr>
          <w:p>
            <w:pPr>
              <w:pStyle w:val="CeldaAPA"/>
              <w:jc w:val="left"/>
            </w:pPr>
            <w:r>
              <w:rPr>
                <w:sz w:val="20"/>
                <w:szCs w:val="20"/>
              </w:rPr>
              <w:t xml:space="preserve">Resolución de la Fiscalización</w:t>
            </w:r>
          </w:p>
        </w:tc>
      </w:tr>
      <w:tr>
        <w:tc>
          <w:tcPr>
            <w:tcW w:w="6680" w:type="dxa"/>
            <w:gridSpan w:val="5"/>
          </w:tcPr>
          <w:p>
            <w:pPr>
              <w:pStyle w:val="CeldaAPA"/>
              <w:jc w:val="right"/>
            </w:pPr>
            <w:r>
              <w:rPr>
                <w:bCs/>
                <w:b/>
                <w:sz w:val="20"/>
                <w:szCs w:val="20"/>
              </w:rPr>
              <w:t xml:space="preserve">Subtotal</w:t>
            </w:r>
            <w:r>
              <w:rPr>
                <w:bCs/>
                <w:b/>
                <w:sz w:val="20"/>
                <w:szCs w:val="20"/>
              </w:rPr>
              <w:t xml:space="preserve"> </w:t>
            </w:r>
            <m:oMath>
              <m:sSub>
                <m:e>
                  <m:r>
                    <m:t>C</m:t>
                  </m:r>
                </m:e>
                <m:sub>
                  <m:r>
                    <m:t>F</m:t>
                  </m:r>
                  <m:r>
                    <m:t>E</m:t>
                  </m:r>
                </m:sub>
              </m:sSub>
            </m:oMath>
          </w:p>
        </w:tc>
        <w:tc>
          <w:tcPr>
            <w:tcW w:w="973" w:type="dxa"/>
          </w:tcPr>
          <w:p>
            <w:pPr>
              <w:pStyle w:val="CeldaAPA"/>
            </w:pPr>
          </w:p>
        </w:tc>
        <w:tc>
          <w:tcPr>
            <w:tcW w:w="1708" w:type="dxa"/>
          </w:tcPr>
          <w:p>
            <w:pPr>
              <w:pStyle w:val="CeldaAPA"/>
            </w:pPr>
          </w:p>
        </w:tc>
      </w:tr>
    </w:tbl>
    <w:p>
      <w:pPr>
        <w:pStyle w:val="BodyText"/>
        <w:spacing w:before="240"/>
      </w:pPr>
      <w:r>
        <w:rPr>
          <w:bCs/>
          <w:b/>
        </w:rPr>
        <w:t xml:space="preserve">Detalle de FI1: desperdicio valorado</w:t>
      </w:r>
      <w:r>
        <w:t xml:space="preserve"> </w:t>
      </w:r>
      <w:r>
        <w:t xml:space="preserve">(</w:t>
      </w:r>
      <m:oMath>
        <m:sSubSup>
          <m:e>
            <m:r>
              <m:t>C</m:t>
            </m:r>
          </m:e>
          <m:sub>
            <m:r>
              <m:t>F</m:t>
            </m:r>
            <m:r>
              <m:t>I</m:t>
            </m:r>
          </m:sub>
          <m:sup>
            <m:r>
              <m:t> </m:t>
            </m:r>
            <m:r>
              <m:t>m</m:t>
            </m:r>
            <m:r>
              <m:t>a</m:t>
            </m:r>
            <m:r>
              <m:t>t</m:t>
            </m:r>
          </m:sup>
        </m:sSubSup>
        <m:r>
          <m:rPr>
            <m:sty m:val="p"/>
          </m:rPr>
          <m:t>=</m:t>
        </m:r>
        <m:nary>
          <m:naryPr>
            <m:chr m:val="∑"/>
            <m:limLoc m:val="undOvr"/>
            <m:subHide m:val="off"/>
            <m:supHide m:val="on"/>
          </m:naryPr>
          <m:sub>
            <m:r>
              <m:t>j</m:t>
            </m:r>
          </m:sub>
          <m:sup>
            <m:r>
              <m:t>​</m:t>
            </m:r>
          </m:sup>
          <m:e>
            <m:d>
              <m:dPr>
                <m:begChr m:val="("/>
                <m:endChr m:val=")"/>
                <m:sepChr m:val=""/>
                <m:grow/>
              </m:dPr>
              <m:e>
                <m:sSub>
                  <m:e>
                    <m:r>
                      <m:t>Q</m:t>
                    </m:r>
                  </m:e>
                  <m:sub>
                    <m:r>
                      <m:t>C</m:t>
                    </m:r>
                    <m:r>
                      <m:rPr>
                        <m:sty m:val="p"/>
                      </m:rPr>
                      <m:t>,</m:t>
                    </m:r>
                    <m:r>
                      <m:t>j</m:t>
                    </m:r>
                  </m:sub>
                </m:sSub>
                <m:r>
                  <m:rPr>
                    <m:sty m:val="p"/>
                  </m:rPr>
                  <m:t>−</m:t>
                </m:r>
                <m:sSub>
                  <m:e>
                    <m:r>
                      <m:t>Q</m:t>
                    </m:r>
                  </m:e>
                  <m:sub>
                    <m:r>
                      <m:t>T</m:t>
                    </m:r>
                    <m:r>
                      <m:rPr>
                        <m:sty m:val="p"/>
                      </m:rPr>
                      <m:t>,</m:t>
                    </m:r>
                    <m:r>
                      <m:t>j</m:t>
                    </m:r>
                  </m:sub>
                </m:sSub>
              </m:e>
            </m:d>
          </m:e>
        </m:nary>
        <m:r>
          <m:t> </m:t>
        </m:r>
        <m:sSub>
          <m:e>
            <m:r>
              <m:t>p</m:t>
            </m:r>
          </m:e>
          <m:sub>
            <m:r>
              <m:t>j</m:t>
            </m:r>
          </m:sub>
        </m:sSub>
      </m:oMath>
      <w:r>
        <w:t xml:space="preserve">; cantidades de la ficha C.4)</w:t>
      </w:r>
    </w:p>
    <w:tbl>
      <w:tblPr>
        <w:tblStyle w:val="Table"/>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1" w:lastRow="0" w:firstColumn="0" w:lastColumn="0" w:noHBand="0" w:noVBand="0" w:val="0020"/>
      </w:tblPr>
      <w:tblGrid>
        <w:gridCol w:w="1725"/>
        <w:gridCol w:w="1083"/>
        <w:gridCol w:w="1235"/>
        <w:gridCol w:w="1235"/>
        <w:gridCol w:w="1235"/>
        <w:gridCol w:w="1478"/>
        <w:gridCol w:w="1369"/>
      </w:tblGrid>
      <w:tr>
        <w:trPr>
          <w:cantSplit/>
          <w:tblHeader w:val="true"/>
        </w:trPr>
        <w:tc>
          <w:tcPr>
            <w:tcW w:w="1725" w:type="dxa"/>
          </w:tcPr>
          <w:p>
            <w:pPr>
              <w:pStyle w:val="CeldaAPA"/>
              <w:jc w:val="left"/>
            </w:pPr>
            <w:r>
              <w:rPr>
                <w:bCs/>
                <w:b/>
                <w:sz w:val="20"/>
                <w:szCs w:val="20"/>
              </w:rPr>
              <w:t xml:space="preserve">Material</w:t>
            </w:r>
          </w:p>
        </w:tc>
        <w:tc>
          <w:tcPr>
            <w:tcW w:w="1083" w:type="dxa"/>
          </w:tcPr>
          <w:p>
            <w:pPr>
              <w:pStyle w:val="CeldaAPA"/>
              <w:jc w:val="center"/>
            </w:pPr>
            <w:r>
              <w:rPr>
                <w:bCs/>
                <w:b/>
                <w:sz w:val="20"/>
                <w:szCs w:val="20"/>
              </w:rPr>
              <w:t xml:space="preserve">Unidad</w:t>
            </w:r>
          </w:p>
        </w:tc>
        <w:tc>
          <w:tcPr>
            <w:tcW w:w="1235" w:type="dxa"/>
          </w:tcPr>
          <w:p>
            <w:pPr>
              <w:pStyle w:val="CeldaAPA"/>
              <w:jc w:val="center"/>
            </w:pPr>
            <m:oMath>
              <m:sSub>
                <m:e>
                  <m:r>
                    <m:t>Q</m:t>
                  </m:r>
                </m:e>
                <m:sub>
                  <m:r>
                    <m:t>T</m:t>
                  </m:r>
                </m:sub>
              </m:sSub>
            </m:oMath>
          </w:p>
        </w:tc>
        <w:tc>
          <w:tcPr>
            <w:tcW w:w="1235" w:type="dxa"/>
          </w:tcPr>
          <w:p>
            <w:pPr>
              <w:pStyle w:val="CeldaAPA"/>
              <w:jc w:val="center"/>
            </w:pPr>
            <m:oMath>
              <m:sSub>
                <m:e>
                  <m:r>
                    <m:t>Q</m:t>
                  </m:r>
                </m:e>
                <m:sub>
                  <m:r>
                    <m:t>C</m:t>
                  </m:r>
                </m:sub>
              </m:sSub>
            </m:oMath>
          </w:p>
        </w:tc>
        <w:tc>
          <w:tcPr>
            <w:tcW w:w="1235" w:type="dxa"/>
          </w:tcPr>
          <w:p>
            <w:pPr>
              <w:pStyle w:val="CeldaAPA"/>
              <w:jc w:val="center"/>
            </w:pPr>
            <m:oMath>
              <m:sSub>
                <m:e>
                  <m:r>
                    <m:t>Q</m:t>
                  </m:r>
                </m:e>
                <m:sub>
                  <m:r>
                    <m:t>C</m:t>
                  </m:r>
                </m:sub>
              </m:sSub>
              <m:r>
                <m:rPr>
                  <m:sty m:val="p"/>
                </m:rPr>
                <m:t>−</m:t>
              </m:r>
              <m:sSub>
                <m:e>
                  <m:r>
                    <m:t>Q</m:t>
                  </m:r>
                </m:e>
                <m:sub>
                  <m:r>
                    <m:t>T</m:t>
                  </m:r>
                </m:sub>
              </m:sSub>
            </m:oMath>
          </w:p>
        </w:tc>
        <w:tc>
          <w:tcPr>
            <w:tcW w:w="1478" w:type="dxa"/>
          </w:tcPr>
          <w:p>
            <w:pPr>
              <w:pStyle w:val="CeldaAPA"/>
              <w:jc w:val="center"/>
            </w:pPr>
            <m:oMath>
              <m:sSub>
                <m:e>
                  <m:r>
                    <m:t>p</m:t>
                  </m:r>
                </m:e>
                <m:sub>
                  <m:r>
                    <m:t>j</m:t>
                  </m:r>
                </m:sub>
              </m:sSub>
            </m:oMath>
            <w:r>
              <w:rPr>
                <w:bCs/>
                <w:b/>
                <w:sz w:val="20"/>
                <w:szCs w:val="20"/>
              </w:rPr>
              <w:t xml:space="preserve"> </w:t>
            </w:r>
            <w:r>
              <w:rPr>
                <w:bCs/>
                <w:b/>
                <w:sz w:val="20"/>
                <w:szCs w:val="20"/>
              </w:rPr>
              <w:t xml:space="preserve">(Bs, APU)</w:t>
            </w:r>
          </w:p>
        </w:tc>
        <w:tc>
          <w:tcPr>
            <w:tcW w:w="1369" w:type="dxa"/>
          </w:tcPr>
          <w:p>
            <w:pPr>
              <w:pStyle w:val="CeldaAPA"/>
              <w:jc w:val="center"/>
            </w:pPr>
            <w:r>
              <w:rPr>
                <w:bCs/>
                <w:b/>
                <w:sz w:val="20"/>
                <w:szCs w:val="20"/>
              </w:rPr>
              <w:t xml:space="preserve">Costo (Bs)</w:t>
            </w:r>
          </w:p>
        </w:tc>
      </w:tr>
      <w:tr>
        <w:tc>
          <w:tcPr>
            <w:tcW w:w="1725" w:type="dxa"/>
          </w:tcPr>
          <w:p>
            <w:pPr>
              <w:pStyle w:val="CeldaAPA"/>
              <w:jc w:val="left"/>
            </w:pPr>
            <w:r>
              <w:rPr>
                <w:sz w:val="20"/>
                <w:szCs w:val="20"/>
              </w:rPr>
              <w:t xml:space="preserve">Viguetas pretensadas</w:t>
            </w:r>
          </w:p>
        </w:tc>
        <w:tc>
          <w:tcPr>
            <w:tcW w:w="1083" w:type="dxa"/>
          </w:tcPr>
          <w:p>
            <w:pPr>
              <w:pStyle w:val="CeldaAPA"/>
              <w:jc w:val="center"/>
            </w:pPr>
            <w:r>
              <w:rPr>
                <w:sz w:val="20"/>
                <w:szCs w:val="20"/>
              </w:rPr>
              <w:t xml:space="preserve">m</w:t>
            </w:r>
          </w:p>
        </w:tc>
        <w:tc>
          <w:tcPr>
            <w:tcW w:w="1235" w:type="dxa"/>
          </w:tcPr>
          <w:p>
            <w:pPr>
              <w:pStyle w:val="CeldaAPA"/>
            </w:pPr>
          </w:p>
        </w:tc>
        <w:tc>
          <w:tcPr>
            <w:tcW w:w="1235" w:type="dxa"/>
          </w:tcPr>
          <w:p>
            <w:pPr>
              <w:pStyle w:val="CeldaAPA"/>
            </w:pPr>
          </w:p>
        </w:tc>
        <w:tc>
          <w:tcPr>
            <w:tcW w:w="1235" w:type="dxa"/>
          </w:tcPr>
          <w:p>
            <w:pPr>
              <w:pStyle w:val="CeldaAPA"/>
            </w:pPr>
          </w:p>
        </w:tc>
        <w:tc>
          <w:tcPr>
            <w:tcW w:w="1478" w:type="dxa"/>
          </w:tcPr>
          <w:p>
            <w:pPr>
              <w:pStyle w:val="CeldaAPA"/>
            </w:pPr>
          </w:p>
        </w:tc>
        <w:tc>
          <w:tcPr>
            <w:tcW w:w="1369" w:type="dxa"/>
          </w:tcPr>
          <w:p>
            <w:pPr>
              <w:pStyle w:val="CeldaAPA"/>
            </w:pPr>
          </w:p>
        </w:tc>
      </w:tr>
      <w:tr>
        <w:tc>
          <w:tcPr>
            <w:tcW w:w="1725" w:type="dxa"/>
          </w:tcPr>
          <w:p>
            <w:pPr>
              <w:pStyle w:val="CeldaAPA"/>
              <w:jc w:val="left"/>
            </w:pPr>
            <w:r>
              <w:rPr>
                <w:sz w:val="20"/>
                <w:szCs w:val="20"/>
              </w:rPr>
              <w:t xml:space="preserve">Complemento EPS</w:t>
            </w:r>
          </w:p>
        </w:tc>
        <w:tc>
          <w:tcPr>
            <w:tcW w:w="1083" w:type="dxa"/>
          </w:tcPr>
          <w:p>
            <w:pPr>
              <w:pStyle w:val="CeldaAPA"/>
              <w:jc w:val="center"/>
            </w:pPr>
            <w:r>
              <w:rPr>
                <w:sz w:val="20"/>
                <w:szCs w:val="20"/>
              </w:rPr>
              <w:t xml:space="preserve">pza</w:t>
            </w:r>
          </w:p>
        </w:tc>
        <w:tc>
          <w:tcPr>
            <w:tcW w:w="1235" w:type="dxa"/>
          </w:tcPr>
          <w:p>
            <w:pPr>
              <w:pStyle w:val="CeldaAPA"/>
            </w:pPr>
          </w:p>
        </w:tc>
        <w:tc>
          <w:tcPr>
            <w:tcW w:w="1235" w:type="dxa"/>
          </w:tcPr>
          <w:p>
            <w:pPr>
              <w:pStyle w:val="CeldaAPA"/>
            </w:pPr>
          </w:p>
        </w:tc>
        <w:tc>
          <w:tcPr>
            <w:tcW w:w="1235" w:type="dxa"/>
          </w:tcPr>
          <w:p>
            <w:pPr>
              <w:pStyle w:val="CeldaAPA"/>
            </w:pPr>
          </w:p>
        </w:tc>
        <w:tc>
          <w:tcPr>
            <w:tcW w:w="1478" w:type="dxa"/>
          </w:tcPr>
          <w:p>
            <w:pPr>
              <w:pStyle w:val="CeldaAPA"/>
            </w:pPr>
          </w:p>
        </w:tc>
        <w:tc>
          <w:tcPr>
            <w:tcW w:w="1369" w:type="dxa"/>
          </w:tcPr>
          <w:p>
            <w:pPr>
              <w:pStyle w:val="CeldaAPA"/>
            </w:pPr>
          </w:p>
        </w:tc>
      </w:tr>
      <w:tr>
        <w:tc>
          <w:tcPr>
            <w:tcW w:w="1725" w:type="dxa"/>
          </w:tcPr>
          <w:p>
            <w:pPr>
              <w:pStyle w:val="CeldaAPA"/>
              <w:jc w:val="left"/>
            </w:pPr>
            <w:r>
              <w:rPr>
                <w:sz w:val="20"/>
                <w:szCs w:val="20"/>
              </w:rPr>
              <w:t xml:space="preserve">Acero de refuerzo</w:t>
            </w:r>
          </w:p>
        </w:tc>
        <w:tc>
          <w:tcPr>
            <w:tcW w:w="1083" w:type="dxa"/>
          </w:tcPr>
          <w:p>
            <w:pPr>
              <w:pStyle w:val="CeldaAPA"/>
              <w:jc w:val="center"/>
            </w:pPr>
            <w:r>
              <w:rPr>
                <w:sz w:val="20"/>
                <w:szCs w:val="20"/>
              </w:rPr>
              <w:t xml:space="preserve">kg</w:t>
            </w:r>
          </w:p>
        </w:tc>
        <w:tc>
          <w:tcPr>
            <w:tcW w:w="1235" w:type="dxa"/>
          </w:tcPr>
          <w:p>
            <w:pPr>
              <w:pStyle w:val="CeldaAPA"/>
            </w:pPr>
          </w:p>
        </w:tc>
        <w:tc>
          <w:tcPr>
            <w:tcW w:w="1235" w:type="dxa"/>
          </w:tcPr>
          <w:p>
            <w:pPr>
              <w:pStyle w:val="CeldaAPA"/>
            </w:pPr>
          </w:p>
        </w:tc>
        <w:tc>
          <w:tcPr>
            <w:tcW w:w="1235" w:type="dxa"/>
          </w:tcPr>
          <w:p>
            <w:pPr>
              <w:pStyle w:val="CeldaAPA"/>
            </w:pPr>
          </w:p>
        </w:tc>
        <w:tc>
          <w:tcPr>
            <w:tcW w:w="1478" w:type="dxa"/>
          </w:tcPr>
          <w:p>
            <w:pPr>
              <w:pStyle w:val="CeldaAPA"/>
            </w:pPr>
          </w:p>
        </w:tc>
        <w:tc>
          <w:tcPr>
            <w:tcW w:w="1369" w:type="dxa"/>
          </w:tcPr>
          <w:p>
            <w:pPr>
              <w:pStyle w:val="CeldaAPA"/>
            </w:pPr>
          </w:p>
        </w:tc>
      </w:tr>
      <w:tr>
        <w:tc>
          <w:tcPr>
            <w:tcW w:w="1725" w:type="dxa"/>
          </w:tcPr>
          <w:p>
            <w:pPr>
              <w:pStyle w:val="CeldaAPA"/>
              <w:jc w:val="left"/>
            </w:pPr>
            <w:r>
              <w:rPr>
                <w:sz w:val="20"/>
                <w:szCs w:val="20"/>
              </w:rPr>
              <w:t xml:space="preserve">Hormigón H25</w:t>
            </w:r>
          </w:p>
        </w:tc>
        <w:tc>
          <w:tcPr>
            <w:tcW w:w="1083" w:type="dxa"/>
          </w:tcPr>
          <w:p>
            <w:pPr>
              <w:pStyle w:val="CeldaAPA"/>
              <w:jc w:val="center"/>
            </w:pPr>
            <w:r>
              <w:rPr>
                <w:sz w:val="20"/>
                <w:szCs w:val="20"/>
              </w:rPr>
              <w:t xml:space="preserve">m</w:t>
            </w:r>
            <w:r>
              <w:rPr>
                <w:vertAlign w:val="superscript"/>
                <w:sz w:val="20"/>
                <w:szCs w:val="20"/>
              </w:rPr>
              <w:t xml:space="preserve">3</w:t>
            </w:r>
          </w:p>
        </w:tc>
        <w:tc>
          <w:tcPr>
            <w:tcW w:w="1235" w:type="dxa"/>
          </w:tcPr>
          <w:p>
            <w:pPr>
              <w:pStyle w:val="CeldaAPA"/>
            </w:pPr>
          </w:p>
        </w:tc>
        <w:tc>
          <w:tcPr>
            <w:tcW w:w="1235" w:type="dxa"/>
          </w:tcPr>
          <w:p>
            <w:pPr>
              <w:pStyle w:val="CeldaAPA"/>
            </w:pPr>
          </w:p>
        </w:tc>
        <w:tc>
          <w:tcPr>
            <w:tcW w:w="1235" w:type="dxa"/>
          </w:tcPr>
          <w:p>
            <w:pPr>
              <w:pStyle w:val="CeldaAPA"/>
            </w:pPr>
          </w:p>
        </w:tc>
        <w:tc>
          <w:tcPr>
            <w:tcW w:w="1478" w:type="dxa"/>
          </w:tcPr>
          <w:p>
            <w:pPr>
              <w:pStyle w:val="CeldaAPA"/>
            </w:pPr>
          </w:p>
        </w:tc>
        <w:tc>
          <w:tcPr>
            <w:tcW w:w="1369" w:type="dxa"/>
          </w:tcPr>
          <w:p>
            <w:pPr>
              <w:pStyle w:val="CeldaAPA"/>
            </w:pPr>
          </w:p>
        </w:tc>
      </w:tr>
      <w:tr>
        <w:tc>
          <w:tcPr>
            <w:tcW w:w="1725" w:type="dxa"/>
          </w:tcPr>
          <w:p>
            <w:pPr>
              <w:pStyle w:val="CeldaAPA"/>
              <w:jc w:val="left"/>
            </w:pPr>
            <w:r>
              <w:rPr>
                <w:sz w:val="20"/>
                <w:szCs w:val="20"/>
              </w:rPr>
              <w:t xml:space="preserve">Alambre de amarre</w:t>
            </w:r>
          </w:p>
        </w:tc>
        <w:tc>
          <w:tcPr>
            <w:tcW w:w="1083" w:type="dxa"/>
          </w:tcPr>
          <w:p>
            <w:pPr>
              <w:pStyle w:val="CeldaAPA"/>
              <w:jc w:val="center"/>
            </w:pPr>
            <w:r>
              <w:rPr>
                <w:sz w:val="20"/>
                <w:szCs w:val="20"/>
              </w:rPr>
              <w:t xml:space="preserve">kg</w:t>
            </w:r>
          </w:p>
        </w:tc>
        <w:tc>
          <w:tcPr>
            <w:tcW w:w="1235" w:type="dxa"/>
          </w:tcPr>
          <w:p>
            <w:pPr>
              <w:pStyle w:val="CeldaAPA"/>
            </w:pPr>
          </w:p>
        </w:tc>
        <w:tc>
          <w:tcPr>
            <w:tcW w:w="1235" w:type="dxa"/>
          </w:tcPr>
          <w:p>
            <w:pPr>
              <w:pStyle w:val="CeldaAPA"/>
            </w:pPr>
          </w:p>
        </w:tc>
        <w:tc>
          <w:tcPr>
            <w:tcW w:w="1235" w:type="dxa"/>
          </w:tcPr>
          <w:p>
            <w:pPr>
              <w:pStyle w:val="CeldaAPA"/>
            </w:pPr>
          </w:p>
        </w:tc>
        <w:tc>
          <w:tcPr>
            <w:tcW w:w="1478" w:type="dxa"/>
          </w:tcPr>
          <w:p>
            <w:pPr>
              <w:pStyle w:val="CeldaAPA"/>
            </w:pPr>
          </w:p>
        </w:tc>
        <w:tc>
          <w:tcPr>
            <w:tcW w:w="1369" w:type="dxa"/>
          </w:tcPr>
          <w:p>
            <w:pPr>
              <w:pStyle w:val="CeldaAPA"/>
            </w:pPr>
          </w:p>
        </w:tc>
      </w:tr>
      <w:tr>
        <w:tc>
          <w:tcPr>
            <w:tcW w:w="7991" w:type="dxa"/>
            <w:gridSpan w:val="6"/>
          </w:tcPr>
          <w:p>
            <w:pPr>
              <w:pStyle w:val="CeldaAPA"/>
              <w:jc w:val="right"/>
            </w:pPr>
            <w:r>
              <w:rPr>
                <w:bCs/>
                <w:b/>
                <w:sz w:val="20"/>
                <w:szCs w:val="20"/>
              </w:rPr>
              <w:t xml:space="preserve">Total</w:t>
            </w:r>
            <w:r>
              <w:rPr>
                <w:bCs/>
                <w:b/>
                <w:sz w:val="20"/>
                <w:szCs w:val="20"/>
              </w:rPr>
              <w:t xml:space="preserve"> </w:t>
            </w:r>
            <m:oMath>
              <m:sSubSup>
                <m:e>
                  <m:r>
                    <m:t>C</m:t>
                  </m:r>
                </m:e>
                <m:sub>
                  <m:r>
                    <m:t>F</m:t>
                  </m:r>
                  <m:r>
                    <m:t>I</m:t>
                  </m:r>
                </m:sub>
                <m:sup>
                  <m:r>
                    <m:t> </m:t>
                  </m:r>
                  <m:r>
                    <m:t>m</m:t>
                  </m:r>
                  <m:r>
                    <m:t>a</m:t>
                  </m:r>
                  <m:r>
                    <m:t>t</m:t>
                  </m:r>
                </m:sup>
              </m:sSubSup>
            </m:oMath>
          </w:p>
        </w:tc>
        <w:tc>
          <w:tcPr>
            <w:tcW w:w="1369" w:type="dxa"/>
          </w:tcPr>
          <w:p>
            <w:pPr>
              <w:pStyle w:val="CeldaAPA"/>
            </w:pPr>
          </w:p>
        </w:tc>
      </w:tr>
    </w:tbl>
    <w:tbl>
      <w:tblPr>
        <w:tblStyle w:val="Table"/>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1" w:lastRow="0" w:firstColumn="0" w:lastColumn="0" w:noHBand="0" w:noVBand="0" w:val="0020"/>
      </w:tblPr>
      <w:tblGrid>
        <w:gridCol w:w="2650"/>
        <w:gridCol w:w="2030"/>
        <w:gridCol w:w="2650"/>
        <w:gridCol w:w="2030"/>
      </w:tblGrid>
      <w:tr>
        <w:trPr>
          <w:cantSplit/>
          <w:tblHeader w:val="true"/>
        </w:trPr>
        <w:tc>
          <w:tcPr>
            <w:tcW w:w="9360" w:type="dxa"/>
            <w:gridSpan w:val="4"/>
          </w:tcPr>
          <w:p>
            <w:pPr>
              <w:pStyle w:val="CeldaAPA"/>
              <w:jc w:val="left"/>
            </w:pPr>
            <w:r>
              <w:rPr>
                <w:bCs/>
                <w:b/>
                <w:sz w:val="20"/>
                <w:szCs w:val="20"/>
              </w:rPr>
              <w:t xml:space="preserve">Resumen e indicadores del periodo</w:t>
            </w:r>
          </w:p>
        </w:tc>
      </w:tr>
      <w:tr>
        <w:tc>
          <w:tcPr>
            <w:tcW w:w="2650" w:type="dxa"/>
          </w:tcPr>
          <w:p>
            <w:pPr>
              <w:pStyle w:val="CeldaAPA"/>
              <w:jc w:val="left"/>
            </w:pPr>
            <w:r>
              <w:rPr>
                <w:sz w:val="20"/>
                <w:szCs w:val="20"/>
              </w:rPr>
              <w:t xml:space="preserve">Costo de la calidad</w:t>
            </w:r>
            <w:r>
              <w:rPr>
                <w:sz w:val="20"/>
                <w:szCs w:val="20"/>
              </w:rPr>
              <w:t xml:space="preserve"> </w:t>
            </w:r>
            <m:oMath>
              <m:r>
                <m:t>C</m:t>
              </m:r>
              <m:r>
                <m:t>C</m:t>
              </m:r>
              <m:r>
                <m:rPr>
                  <m:sty m:val="p"/>
                </m:rPr>
                <m:t>=</m:t>
              </m:r>
              <m:sSub>
                <m:e>
                  <m:r>
                    <m:t>C</m:t>
                  </m:r>
                </m:e>
                <m:sub>
                  <m:r>
                    <m:t>P</m:t>
                  </m:r>
                </m:sub>
              </m:sSub>
              <m:r>
                <m:rPr>
                  <m:sty m:val="p"/>
                </m:rPr>
                <m:t>+</m:t>
              </m:r>
              <m:sSub>
                <m:e>
                  <m:r>
                    <m:t>C</m:t>
                  </m:r>
                </m:e>
                <m:sub>
                  <m:r>
                    <m:t>E</m:t>
                  </m:r>
                </m:sub>
              </m:sSub>
            </m:oMath>
            <w:r>
              <w:rPr>
                <w:sz w:val="20"/>
                <w:szCs w:val="20"/>
              </w:rPr>
              <w:t xml:space="preserve"> </w:t>
            </w:r>
            <w:r>
              <w:rPr>
                <w:sz w:val="20"/>
                <w:szCs w:val="20"/>
              </w:rPr>
              <w:t xml:space="preserve">(Bs)</w:t>
            </w:r>
          </w:p>
        </w:tc>
        <w:tc>
          <w:tcPr>
            <w:tcW w:w="2030" w:type="dxa"/>
          </w:tcPr>
          <w:p>
            <w:pPr>
              <w:pStyle w:val="CeldaAPA"/>
            </w:pPr>
          </w:p>
        </w:tc>
        <w:tc>
          <w:tcPr>
            <w:tcW w:w="2650" w:type="dxa"/>
          </w:tcPr>
          <w:p>
            <w:pPr>
              <w:pStyle w:val="CeldaAPA"/>
              <w:jc w:val="left"/>
            </w:pPr>
            <w:r>
              <w:rPr>
                <w:sz w:val="20"/>
                <w:szCs w:val="20"/>
              </w:rPr>
              <w:t xml:space="preserve">Costo de no calidad</w:t>
            </w:r>
            <w:r>
              <w:rPr>
                <w:sz w:val="20"/>
                <w:szCs w:val="20"/>
              </w:rPr>
              <w:t xml:space="preserve"> </w:t>
            </w:r>
            <m:oMath>
              <m:r>
                <m:t>C</m:t>
              </m:r>
              <m:r>
                <m:t>N</m:t>
              </m:r>
              <m:r>
                <m:t>C</m:t>
              </m:r>
              <m:r>
                <m:rPr>
                  <m:sty m:val="p"/>
                </m:rPr>
                <m:t>=</m:t>
              </m:r>
              <m:sSub>
                <m:e>
                  <m:r>
                    <m:t>C</m:t>
                  </m:r>
                </m:e>
                <m:sub>
                  <m:r>
                    <m:t>F</m:t>
                  </m:r>
                  <m:r>
                    <m:t>I</m:t>
                  </m:r>
                </m:sub>
              </m:sSub>
              <m:r>
                <m:rPr>
                  <m:sty m:val="p"/>
                </m:rPr>
                <m:t>+</m:t>
              </m:r>
              <m:sSub>
                <m:e>
                  <m:r>
                    <m:t>C</m:t>
                  </m:r>
                </m:e>
                <m:sub>
                  <m:r>
                    <m:t>F</m:t>
                  </m:r>
                  <m:r>
                    <m:t>E</m:t>
                  </m:r>
                </m:sub>
              </m:sSub>
            </m:oMath>
            <w:r>
              <w:rPr>
                <w:sz w:val="20"/>
                <w:szCs w:val="20"/>
              </w:rPr>
              <w:t xml:space="preserve"> </w:t>
            </w:r>
            <w:r>
              <w:rPr>
                <w:sz w:val="20"/>
                <w:szCs w:val="20"/>
              </w:rPr>
              <w:t xml:space="preserve">(Bs)</w:t>
            </w:r>
          </w:p>
        </w:tc>
        <w:tc>
          <w:tcPr>
            <w:tcW w:w="2030" w:type="dxa"/>
          </w:tcPr>
          <w:p>
            <w:pPr>
              <w:pStyle w:val="CeldaAPA"/>
            </w:pPr>
          </w:p>
        </w:tc>
      </w:tr>
      <w:tr>
        <w:tc>
          <w:tcPr>
            <w:tcW w:w="2650" w:type="dxa"/>
          </w:tcPr>
          <w:p>
            <w:pPr>
              <w:pStyle w:val="CeldaAPA"/>
              <w:jc w:val="left"/>
            </w:pPr>
            <m:oMath>
              <m:r>
                <m:t>C</m:t>
              </m:r>
              <m:r>
                <m:t>C</m:t>
              </m:r>
            </m:oMath>
            <w:r>
              <w:rPr>
                <w:sz w:val="20"/>
                <w:szCs w:val="20"/>
              </w:rPr>
              <w:t xml:space="preserve"> </w:t>
            </w:r>
            <w:r>
              <w:rPr>
                <w:sz w:val="20"/>
                <w:szCs w:val="20"/>
              </w:rPr>
              <w:t xml:space="preserve">en % de</w:t>
            </w:r>
            <w:r>
              <w:rPr>
                <w:sz w:val="20"/>
                <w:szCs w:val="20"/>
              </w:rPr>
              <w:t xml:space="preserve"> </w:t>
            </w:r>
            <m:oMath>
              <m:sSub>
                <m:e>
                  <m:r>
                    <m:t>C</m:t>
                  </m:r>
                </m:e>
                <m:sub>
                  <m:r>
                    <m:rPr>
                      <m:nor/>
                      <m:sty m:val="p"/>
                    </m:rPr>
                    <m:t>ítem</m:t>
                  </m:r>
                </m:sub>
              </m:sSub>
            </m:oMath>
          </w:p>
        </w:tc>
        <w:tc>
          <w:tcPr>
            <w:tcW w:w="2030" w:type="dxa"/>
          </w:tcPr>
          <w:p>
            <w:pPr>
              <w:pStyle w:val="CeldaAPA"/>
            </w:pPr>
          </w:p>
        </w:tc>
        <w:tc>
          <w:tcPr>
            <w:tcW w:w="2650" w:type="dxa"/>
          </w:tcPr>
          <w:p>
            <w:pPr>
              <w:pStyle w:val="CeldaAPA"/>
              <w:jc w:val="left"/>
            </w:pPr>
            <m:oMath>
              <m:r>
                <m:rPr>
                  <m:sty m:val="p"/>
                </m:rPr>
                <m:t>%</m:t>
              </m:r>
              <m:r>
                <m:t>C</m:t>
              </m:r>
              <m:r>
                <m:t>N</m:t>
              </m:r>
              <m:r>
                <m:t>C</m:t>
              </m:r>
              <m:r>
                <m:rPr>
                  <m:sty m:val="p"/>
                </m:rPr>
                <m:t>=</m:t>
              </m:r>
              <m:r>
                <m:t>C</m:t>
              </m:r>
              <m:r>
                <m:t>N</m:t>
              </m:r>
              <m:r>
                <m:t>C</m:t>
              </m:r>
              <m:r>
                <m:rPr>
                  <m:sty m:val="p"/>
                </m:rPr>
                <m:t>/</m:t>
              </m:r>
              <m:sSub>
                <m:e>
                  <m:r>
                    <m:t>C</m:t>
                  </m:r>
                </m:e>
                <m:sub>
                  <m:r>
                    <m:rPr>
                      <m:nor/>
                      <m:sty m:val="p"/>
                    </m:rPr>
                    <m:t>ítem</m:t>
                  </m:r>
                </m:sub>
              </m:sSub>
              <m:r>
                <m:rPr>
                  <m:sty m:val="p"/>
                </m:rPr>
                <m:t>×</m:t>
              </m:r>
              <m:r>
                <m:t>100</m:t>
              </m:r>
            </m:oMath>
            <w:r>
              <w:rPr>
                <w:sz w:val="20"/>
                <w:szCs w:val="20"/>
              </w:rPr>
              <w:t xml:space="preserve"> </w:t>
            </w:r>
            <w:r>
              <w:rPr>
                <w:sz w:val="20"/>
                <w:szCs w:val="20"/>
              </w:rPr>
              <w:t xml:space="preserve">(meta OC11)</w:t>
            </w:r>
          </w:p>
        </w:tc>
        <w:tc>
          <w:tcPr>
            <w:tcW w:w="2030" w:type="dxa"/>
          </w:tcPr>
          <w:p>
            <w:pPr>
              <w:pStyle w:val="CeldaAPA"/>
            </w:pPr>
          </w:p>
        </w:tc>
      </w:tr>
      <w:tr>
        <w:tc>
          <w:tcPr>
            <w:tcW w:w="2650" w:type="dxa"/>
          </w:tcPr>
          <w:p>
            <w:pPr>
              <w:pStyle w:val="CeldaAPA"/>
              <w:jc w:val="left"/>
            </w:pPr>
            <w:r>
              <w:rPr>
                <w:sz w:val="20"/>
                <w:szCs w:val="20"/>
              </w:rPr>
              <w:t xml:space="preserve">Costo total de la calidad</w:t>
            </w:r>
            <w:r>
              <w:rPr>
                <w:sz w:val="20"/>
                <w:szCs w:val="20"/>
              </w:rPr>
              <w:t xml:space="preserve"> </w:t>
            </w:r>
            <m:oMath>
              <m:r>
                <m:t>C</m:t>
              </m:r>
              <m:r>
                <m:t>C</m:t>
              </m:r>
              <m:r>
                <m:rPr>
                  <m:sty m:val="p"/>
                </m:rPr>
                <m:t>+</m:t>
              </m:r>
              <m:r>
                <m:t>C</m:t>
              </m:r>
              <m:r>
                <m:t>N</m:t>
              </m:r>
              <m:r>
                <m:t>C</m:t>
              </m:r>
            </m:oMath>
            <w:r>
              <w:rPr>
                <w:sz w:val="20"/>
                <w:szCs w:val="20"/>
              </w:rPr>
              <w:t xml:space="preserve"> </w:t>
            </w:r>
            <w:r>
              <w:rPr>
                <w:sz w:val="20"/>
                <w:szCs w:val="20"/>
              </w:rPr>
              <w:t xml:space="preserve">(Bs)</w:t>
            </w:r>
          </w:p>
        </w:tc>
        <w:tc>
          <w:tcPr>
            <w:tcW w:w="2030" w:type="dxa"/>
          </w:tcPr>
          <w:p>
            <w:pPr>
              <w:pStyle w:val="CeldaAPA"/>
            </w:pPr>
          </w:p>
        </w:tc>
        <w:tc>
          <w:tcPr>
            <w:tcW w:w="2650" w:type="dxa"/>
          </w:tcPr>
          <w:p>
            <w:pPr>
              <w:pStyle w:val="CeldaAPA"/>
              <w:jc w:val="left"/>
            </w:pPr>
            <w:r>
              <w:rPr>
                <w:sz w:val="20"/>
                <w:szCs w:val="20"/>
              </w:rPr>
              <w:t xml:space="preserve">Retrabajos (FI2) en % de</w:t>
            </w:r>
            <w:r>
              <w:rPr>
                <w:sz w:val="20"/>
                <w:szCs w:val="20"/>
              </w:rPr>
              <w:t xml:space="preserve"> </w:t>
            </w:r>
            <m:oMath>
              <m:sSub>
                <m:e>
                  <m:r>
                    <m:t>C</m:t>
                  </m:r>
                </m:e>
                <m:sub>
                  <m:r>
                    <m:rPr>
                      <m:nor/>
                      <m:sty m:val="p"/>
                    </m:rPr>
                    <m:t>ítem</m:t>
                  </m:r>
                </m:sub>
              </m:sSub>
            </m:oMath>
            <w:r>
              <w:rPr>
                <w:sz w:val="20"/>
                <w:szCs w:val="20"/>
              </w:rPr>
              <w:t xml:space="preserve"> </w:t>
            </w:r>
            <w:r>
              <w:rPr>
                <w:sz w:val="20"/>
                <w:szCs w:val="20"/>
              </w:rPr>
              <w:t xml:space="preserve">(meta</w:t>
            </w:r>
            <w:r>
              <w:rPr>
                <w:sz w:val="20"/>
                <w:szCs w:val="20"/>
              </w:rPr>
              <w:t xml:space="preserve"> </w:t>
            </w:r>
            <m:oMath>
              <m:r>
                <m:rPr>
                  <m:sty m:val="p"/>
                </m:rPr>
                <m:t>≤</m:t>
              </m:r>
              <m:r>
                <m:t>1</m:t>
              </m:r>
            </m:oMath>
            <w:r>
              <w:rPr>
                <w:sz w:val="20"/>
                <w:szCs w:val="20"/>
              </w:rPr>
              <w:t xml:space="preserve"> %)</w:t>
            </w:r>
          </w:p>
        </w:tc>
        <w:tc>
          <w:tcPr>
            <w:tcW w:w="2030" w:type="dxa"/>
          </w:tcPr>
          <w:p>
            <w:pPr>
              <w:pStyle w:val="CeldaAPA"/>
            </w:pPr>
          </w:p>
        </w:tc>
      </w:tr>
      <w:tr>
        <w:tc>
          <w:tcPr>
            <w:tcW w:w="9360" w:type="dxa"/>
            <w:gridSpan w:val="4"/>
          </w:tcPr>
          <w:p>
            <w:pPr>
              <w:pStyle w:val="CeldaAPA"/>
              <w:jc w:val="left"/>
            </w:pPr>
            <w:r>
              <w:rPr>
                <w:sz w:val="20"/>
                <w:szCs w:val="20"/>
              </w:rPr>
              <w:t xml:space="preserve">_________________ _________________ _________________ _________________</w:t>
            </w:r>
          </w:p>
        </w:tc>
      </w:tr>
    </w:tbl>
    <w:p>
      <w:pPr>
        <w:pStyle w:val="Heading2"/>
        <w:spacing w:before="240"/>
      </w:pPr>
      <w:bookmarkStart w:id="357" w:name="tit169"/>
      <w:r>
        <w:t xml:space="preserve">C.7. Guía de entrevista semiestructurada</w:t>
      </w:r>
      <w:bookmarkEnd w:id="357"/>
    </w:p>
    <w:p>
      <w:pPr>
        <w:pStyle w:val="FirstParagraph"/>
      </w:pPr>
      <w:r>
        <w:rPr>
          <w:bCs/>
          <w:b/>
        </w:rPr>
        <w:t xml:space="preserve">Objetivo.</w:t>
      </w:r>
      <w:r>
        <w:t xml:space="preserve"> </w:t>
      </w:r>
      <w:r>
        <w:t xml:space="preserve">Recoger la experiencia del Residente de obra (R), del Supervisor de obra (S) y del Fiscal de obra (F) sobre la gestión de la calidad y el control de materiales en la primera losa, para completar y contrastar el análisis documental (OE1). La entrevista es semiestructurada: se sigue una guía de preguntas y el entrevistador puede introducir preguntas adicionales para precisar conceptos u obtener más información</w:t>
      </w:r>
      <w:r>
        <w:t xml:space="preserve"> </w:t>
      </w:r>
      <w:r>
        <w:t xml:space="preserve">(Hernández-Sampieri y Mendoza Torres, 2018, p. 449)</w:t>
      </w:r>
      <w:r>
        <w:t xml:space="preserve">. Duración prevista: 40 a 60 minutos.</w:t>
      </w:r>
    </w:p>
    <w:tbl>
      <w:tblPr>
        <w:tblStyle w:val="Table"/>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1" w:lastRow="0" w:firstColumn="0" w:lastColumn="0" w:noHBand="0" w:noVBand="0" w:val="0020"/>
      </w:tblPr>
      <w:tblGrid>
        <w:gridCol w:w="3120"/>
        <w:gridCol w:w="3120"/>
        <w:gridCol w:w="3120"/>
      </w:tblGrid>
      <w:tr>
        <w:trPr>
          <w:cantSplit/>
          <w:tblHeader w:val="true"/>
        </w:trPr>
        <w:tc>
          <w:tcPr>
            <w:tcW w:w="9360" w:type="dxa"/>
            <w:gridSpan w:val="3"/>
          </w:tcPr>
          <w:p>
            <w:pPr>
              <w:pStyle w:val="CeldaAPA"/>
              <w:jc w:val="left"/>
            </w:pPr>
            <w:r>
              <w:rPr>
                <w:bCs/>
                <w:b/>
                <w:sz w:val="20"/>
                <w:szCs w:val="20"/>
              </w:rPr>
              <w:t xml:space="preserve">Datos de la entrevista</w:t>
            </w:r>
          </w:p>
        </w:tc>
      </w:tr>
      <w:tr>
        <w:tc>
          <w:tcPr>
            <w:tcW w:w="3120" w:type="dxa"/>
          </w:tcPr>
          <w:p>
            <w:pPr>
              <w:pStyle w:val="CeldaAPA"/>
              <w:jc w:val="left"/>
            </w:pPr>
            <w:r>
              <w:rPr>
                <w:sz w:val="20"/>
                <w:szCs w:val="20"/>
              </w:rPr>
              <w:t xml:space="preserve">Código de entrevista ______________</w:t>
            </w:r>
          </w:p>
        </w:tc>
        <w:tc>
          <w:tcPr>
            <w:tcW w:w="3120" w:type="dxa"/>
          </w:tcPr>
          <w:p>
            <w:pPr>
              <w:pStyle w:val="CeldaAPA"/>
              <w:jc w:val="left"/>
            </w:pPr>
            <w:r>
              <w:rPr>
                <w:sz w:val="20"/>
                <w:szCs w:val="20"/>
              </w:rPr>
              <w:t xml:space="preserve">Fecha ______________</w:t>
            </w:r>
          </w:p>
        </w:tc>
        <w:tc>
          <w:tcPr>
            <w:tcW w:w="3120" w:type="dxa"/>
          </w:tcPr>
          <w:p>
            <w:pPr>
              <w:pStyle w:val="CeldaAPA"/>
              <w:jc w:val="left"/>
            </w:pPr>
            <w:r>
              <w:rPr>
                <w:sz w:val="20"/>
                <w:szCs w:val="20"/>
              </w:rPr>
              <w:t xml:space="preserve">Lugar ______________</w:t>
            </w:r>
          </w:p>
        </w:tc>
      </w:tr>
      <w:tr>
        <w:tc>
          <w:tcPr>
            <w:tcW w:w="3120" w:type="dxa"/>
          </w:tcPr>
          <w:p>
            <w:pPr>
              <w:pStyle w:val="CeldaAPA"/>
              <w:jc w:val="left"/>
            </w:pPr>
            <w:r>
              <w:rPr>
                <w:sz w:val="20"/>
                <w:szCs w:val="20"/>
              </w:rPr>
              <w:t xml:space="preserve">Cargo: ☐ R ☐ S ☐ F ______________</w:t>
            </w:r>
          </w:p>
        </w:tc>
        <w:tc>
          <w:tcPr>
            <w:tcW w:w="3120" w:type="dxa"/>
          </w:tcPr>
          <w:p>
            <w:pPr>
              <w:pStyle w:val="CeldaAPA"/>
              <w:jc w:val="left"/>
            </w:pPr>
            <w:r>
              <w:rPr>
                <w:sz w:val="20"/>
                <w:szCs w:val="20"/>
              </w:rPr>
              <w:t xml:space="preserve">Institución o empresa ______________</w:t>
            </w:r>
          </w:p>
        </w:tc>
        <w:tc>
          <w:tcPr>
            <w:tcW w:w="3120" w:type="dxa"/>
          </w:tcPr>
          <w:p>
            <w:pPr>
              <w:pStyle w:val="CeldaAPA"/>
              <w:jc w:val="left"/>
            </w:pPr>
            <w:r>
              <w:rPr>
                <w:sz w:val="20"/>
                <w:szCs w:val="20"/>
              </w:rPr>
              <w:t xml:space="preserve">Años de experiencia ______________</w:t>
            </w:r>
          </w:p>
        </w:tc>
      </w:tr>
      <w:tr>
        <w:tc>
          <w:tcPr>
            <w:tcW w:w="3120" w:type="dxa"/>
          </w:tcPr>
          <w:p>
            <w:pPr>
              <w:pStyle w:val="CeldaAPA"/>
              <w:jc w:val="left"/>
            </w:pPr>
            <w:r>
              <w:rPr>
                <w:sz w:val="20"/>
                <w:szCs w:val="20"/>
              </w:rPr>
              <w:t xml:space="preserve">Hora de inicio ______________</w:t>
            </w:r>
          </w:p>
        </w:tc>
        <w:tc>
          <w:tcPr>
            <w:tcW w:w="3120" w:type="dxa"/>
          </w:tcPr>
          <w:p>
            <w:pPr>
              <w:pStyle w:val="CeldaAPA"/>
              <w:jc w:val="left"/>
            </w:pPr>
            <w:r>
              <w:rPr>
                <w:sz w:val="20"/>
                <w:szCs w:val="20"/>
              </w:rPr>
              <w:t xml:space="preserve">Hora de fin ______________</w:t>
            </w:r>
          </w:p>
        </w:tc>
        <w:tc>
          <w:tcPr>
            <w:tcW w:w="3120" w:type="dxa"/>
          </w:tcPr>
          <w:p>
            <w:pPr>
              <w:pStyle w:val="CeldaAPA"/>
              <w:jc w:val="left"/>
            </w:pPr>
            <w:r>
              <w:rPr>
                <w:sz w:val="20"/>
                <w:szCs w:val="20"/>
              </w:rPr>
              <w:t xml:space="preserve">Entrevistador ______________</w:t>
            </w:r>
          </w:p>
        </w:tc>
      </w:tr>
      <w:tr>
        <w:tc>
          <w:tcPr>
            <w:tcW w:w="9360" w:type="dxa"/>
            <w:gridSpan w:val="3"/>
          </w:tcPr>
          <w:p>
            <w:pPr>
              <w:pStyle w:val="CeldaAPA"/>
              <w:jc w:val="left"/>
            </w:pPr>
            <w:r>
              <w:rPr>
                <w:bCs/>
                <w:b/>
                <w:sz w:val="20"/>
                <w:szCs w:val="20"/>
              </w:rPr>
              <w:t xml:space="preserve">Consentimiento informado.</w:t>
            </w:r>
            <w:r>
              <w:rPr>
                <w:sz w:val="20"/>
                <w:szCs w:val="20"/>
              </w:rPr>
              <w:t xml:space="preserve"> </w:t>
            </w:r>
            <w:r>
              <w:rPr>
                <w:sz w:val="20"/>
                <w:szCs w:val="20"/>
              </w:rPr>
              <w:t xml:space="preserve">La participación es voluntaria y puede interrumpirse en cualquier momento. La información se usará solo con fines académicos, de forma confidencial y sin identificar al entrevistado por su nombre. Las preguntas buscan comprender los procesos de la obra y no evaluar a las personas. Autorizo la grabación en audio: ☐ Sí ☐ No _________________ _________________</w:t>
            </w:r>
          </w:p>
        </w:tc>
      </w:tr>
    </w:tbl>
    <w:p>
      <w:pPr>
        <w:pStyle w:val="BodyText"/>
        <w:spacing w:before="240"/>
      </w:pPr>
      <w:r>
        <w:rPr>
          <w:bCs/>
          <w:b/>
        </w:rPr>
        <w:t xml:space="preserve">Indicaciones para el entrevistador.</w:t>
      </w:r>
      <w:r>
        <w:t xml:space="preserve"> </w:t>
      </w:r>
      <w:r>
        <w:t xml:space="preserve">Lea la pregunta tal como está redactada, sin sugerir respuestas; pida ejemplos y documentos de respaldo (fechas, planillas, fotografías); anote las respuestas textuales relevantes; y cierre cada bloque con una repregunta del tipo «¿Hay algún registro de eso?». Los hallazgos sobre cantidades son inconsistencias documentales por verificar y deben tratarse como tales, sin atribuir responsabilidades.</w:t>
      </w:r>
    </w:p>
    <w:tbl>
      <w:tblPr>
        <w:tblStyle w:val="Table"/>
        <w:tblW w:w="9362"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1" w:lastRow="0" w:firstColumn="0" w:lastColumn="0" w:noHBand="0" w:noVBand="0" w:val="0020"/>
      </w:tblPr>
      <w:tblGrid>
        <w:gridCol w:w="666"/>
        <w:gridCol w:w="5788"/>
        <w:gridCol w:w="1200"/>
        <w:gridCol w:w="1708"/>
      </w:tblGrid>
      <w:tr>
        <w:trPr>
          <w:cantSplit/>
          <w:tblHeader w:val="true"/>
        </w:trPr>
        <w:tc>
          <w:tcPr>
            <w:tcW w:w="666" w:type="dxa"/>
          </w:tcPr>
          <w:p>
            <w:pPr>
              <w:pStyle w:val="CeldaAPA"/>
              <w:jc w:val="center"/>
            </w:pPr>
            <w:r>
              <w:rPr>
                <w:bCs/>
                <w:b/>
                <w:sz w:val="20"/>
                <w:szCs w:val="20"/>
              </w:rPr>
              <w:t xml:space="preserve">N.</w:t>
            </w:r>
            <w:r>
              <w:rPr>
                <w:vertAlign w:val="superscript"/>
                <w:bCs/>
                <w:b/>
                <w:sz w:val="20"/>
                <w:szCs w:val="20"/>
              </w:rPr>
              <w:t xml:space="preserve">o</w:t>
            </w:r>
          </w:p>
        </w:tc>
        <w:tc>
          <w:tcPr>
            <w:tcW w:w="5788" w:type="dxa"/>
          </w:tcPr>
          <w:p>
            <w:pPr>
              <w:pStyle w:val="CeldaAPA"/>
              <w:jc w:val="left"/>
            </w:pPr>
            <w:r>
              <w:rPr>
                <w:bCs/>
                <w:b/>
                <w:sz w:val="20"/>
                <w:szCs w:val="20"/>
              </w:rPr>
              <w:t xml:space="preserve">Pregunta guía</w:t>
            </w:r>
          </w:p>
        </w:tc>
        <w:tc>
          <w:tcPr>
            <w:tcW w:w="1200" w:type="dxa"/>
          </w:tcPr>
          <w:p>
            <w:pPr>
              <w:pStyle w:val="CeldaAPA"/>
              <w:jc w:val="center"/>
            </w:pPr>
            <w:r>
              <w:rPr>
                <w:bCs/>
                <w:b/>
                <w:sz w:val="20"/>
                <w:szCs w:val="20"/>
              </w:rPr>
              <w:t xml:space="preserve">Dirigida a</w:t>
            </w:r>
          </w:p>
        </w:tc>
        <w:tc>
          <w:tcPr>
            <w:tcW w:w="1708" w:type="dxa"/>
          </w:tcPr>
          <w:p>
            <w:pPr>
              <w:pStyle w:val="CeldaAPA"/>
              <w:jc w:val="center"/>
            </w:pPr>
            <w:r>
              <w:rPr>
                <w:bCs/>
                <w:b/>
                <w:sz w:val="20"/>
                <w:szCs w:val="20"/>
              </w:rPr>
              <w:t xml:space="preserve">Bloque</w:t>
            </w:r>
          </w:p>
        </w:tc>
      </w:tr>
      <w:tr>
        <w:tc>
          <w:tcPr>
            <w:tcW w:w="666" w:type="dxa"/>
          </w:tcPr>
          <w:p>
            <w:pPr>
              <w:pStyle w:val="CeldaAPA"/>
              <w:jc w:val="center"/>
            </w:pPr>
            <w:r>
              <w:rPr>
                <w:sz w:val="20"/>
                <w:szCs w:val="20"/>
              </w:rPr>
              <w:t xml:space="preserve">1</w:t>
            </w:r>
          </w:p>
        </w:tc>
        <w:tc>
          <w:tcPr>
            <w:tcW w:w="5788" w:type="dxa"/>
          </w:tcPr>
          <w:p>
            <w:pPr>
              <w:pStyle w:val="CeldaAPA"/>
              <w:jc w:val="left"/>
            </w:pPr>
            <w:r>
              <w:rPr>
                <w:sz w:val="20"/>
                <w:szCs w:val="20"/>
              </w:rPr>
              <w:t xml:space="preserve">¿Cómo se planificó la ejecución de la primera losa (programa, pedidos de materiales y controles)? ¿Existió un plan de la calidad o un plan de inspecciones?</w:t>
            </w:r>
          </w:p>
        </w:tc>
        <w:tc>
          <w:tcPr>
            <w:tcW w:w="1200" w:type="dxa"/>
          </w:tcPr>
          <w:p>
            <w:pPr>
              <w:pStyle w:val="CeldaAPA"/>
              <w:jc w:val="center"/>
            </w:pPr>
            <w:r>
              <w:rPr>
                <w:sz w:val="20"/>
                <w:szCs w:val="20"/>
              </w:rPr>
              <w:t xml:space="preserve">R, S, F</w:t>
            </w:r>
          </w:p>
        </w:tc>
        <w:tc>
          <w:tcPr>
            <w:tcW w:w="1708" w:type="dxa"/>
          </w:tcPr>
          <w:p>
            <w:pPr>
              <w:pStyle w:val="CeldaAPA"/>
              <w:jc w:val="center"/>
            </w:pPr>
            <w:r>
              <w:rPr>
                <w:sz w:val="20"/>
                <w:szCs w:val="20"/>
              </w:rPr>
              <w:t xml:space="preserve">Planificación</w:t>
            </w:r>
          </w:p>
        </w:tc>
      </w:tr>
      <w:tr>
        <w:tc>
          <w:tcPr>
            <w:tcW w:w="666" w:type="dxa"/>
          </w:tcPr>
          <w:p>
            <w:pPr>
              <w:pStyle w:val="CeldaAPA"/>
              <w:jc w:val="center"/>
            </w:pPr>
            <w:r>
              <w:rPr>
                <w:sz w:val="20"/>
                <w:szCs w:val="20"/>
              </w:rPr>
              <w:t xml:space="preserve">2</w:t>
            </w:r>
          </w:p>
        </w:tc>
        <w:tc>
          <w:tcPr>
            <w:tcW w:w="5788" w:type="dxa"/>
          </w:tcPr>
          <w:p>
            <w:pPr>
              <w:pStyle w:val="CeldaAPA"/>
              <w:jc w:val="left"/>
            </w:pPr>
            <w:r>
              <w:rPr>
                <w:sz w:val="20"/>
                <w:szCs w:val="20"/>
              </w:rPr>
              <w:t xml:space="preserve">¿Cómo se resolvió la diferencia entre la ET (100 </w:t>
            </w:r>
            <m:oMath>
              <m:r>
                <m:rPr>
                  <m:sty m:val="p"/>
                </m:rPr>
                <m:t>×</m:t>
              </m:r>
            </m:oMath>
            <w:r>
              <w:rPr>
                <w:sz w:val="20"/>
                <w:szCs w:val="20"/>
              </w:rPr>
              <w:t xml:space="preserve"> 50 </w:t>
            </w:r>
            <m:oMath>
              <m:r>
                <m:rPr>
                  <m:sty m:val="p"/>
                </m:rPr>
                <m:t>×</m:t>
              </m:r>
            </m:oMath>
            <w:r>
              <w:rPr>
                <w:sz w:val="20"/>
                <w:szCs w:val="20"/>
              </w:rPr>
              <w:t xml:space="preserve"> 20 cm), el Plano 02 (0,15 m) y el complemento EPS suministrado (20 </w:t>
            </w:r>
            <m:oMath>
              <m:r>
                <m:rPr>
                  <m:sty m:val="p"/>
                </m:rPr>
                <m:t>×</m:t>
              </m:r>
            </m:oMath>
            <w:r>
              <w:rPr>
                <w:sz w:val="20"/>
                <w:szCs w:val="20"/>
              </w:rPr>
              <w:t xml:space="preserve"> 100 </w:t>
            </w:r>
            <m:oMath>
              <m:r>
                <m:rPr>
                  <m:sty m:val="p"/>
                </m:rPr>
                <m:t>×</m:t>
              </m:r>
            </m:oMath>
            <w:r>
              <w:rPr>
                <w:sz w:val="20"/>
                <w:szCs w:val="20"/>
              </w:rPr>
              <w:t xml:space="preserve"> 44 cm)? ¿Quién decidió y dónde consta?</w:t>
            </w:r>
          </w:p>
        </w:tc>
        <w:tc>
          <w:tcPr>
            <w:tcW w:w="1200" w:type="dxa"/>
          </w:tcPr>
          <w:p>
            <w:pPr>
              <w:pStyle w:val="CeldaAPA"/>
              <w:jc w:val="center"/>
            </w:pPr>
            <w:r>
              <w:rPr>
                <w:sz w:val="20"/>
                <w:szCs w:val="20"/>
              </w:rPr>
              <w:t xml:space="preserve">R, S</w:t>
            </w:r>
          </w:p>
        </w:tc>
        <w:tc>
          <w:tcPr>
            <w:tcW w:w="1708" w:type="dxa"/>
          </w:tcPr>
          <w:p>
            <w:pPr>
              <w:pStyle w:val="CeldaAPA"/>
              <w:jc w:val="center"/>
            </w:pPr>
            <w:r>
              <w:rPr>
                <w:sz w:val="20"/>
                <w:szCs w:val="20"/>
              </w:rPr>
              <w:t xml:space="preserve">Documentos</w:t>
            </w:r>
          </w:p>
        </w:tc>
      </w:tr>
      <w:tr>
        <w:tc>
          <w:tcPr>
            <w:tcW w:w="666" w:type="dxa"/>
          </w:tcPr>
          <w:p>
            <w:pPr>
              <w:pStyle w:val="CeldaAPA"/>
              <w:jc w:val="center"/>
            </w:pPr>
            <w:r>
              <w:rPr>
                <w:sz w:val="20"/>
                <w:szCs w:val="20"/>
              </w:rPr>
              <w:t xml:space="preserve">3</w:t>
            </w:r>
          </w:p>
        </w:tc>
        <w:tc>
          <w:tcPr>
            <w:tcW w:w="5788" w:type="dxa"/>
          </w:tcPr>
          <w:p>
            <w:pPr>
              <w:pStyle w:val="CeldaAPA"/>
              <w:jc w:val="left"/>
            </w:pPr>
            <w:r>
              <w:rPr>
                <w:sz w:val="20"/>
                <w:szCs w:val="20"/>
              </w:rPr>
              <w:t xml:space="preserve">¿Qué cambios de diseño o de materiales hubo en la losa (por ejemplo, por falta de viguetas de los tamaños requeridos) y cómo se aprobaron?</w:t>
            </w:r>
          </w:p>
        </w:tc>
        <w:tc>
          <w:tcPr>
            <w:tcW w:w="1200" w:type="dxa"/>
          </w:tcPr>
          <w:p>
            <w:pPr>
              <w:pStyle w:val="CeldaAPA"/>
              <w:jc w:val="center"/>
            </w:pPr>
            <w:r>
              <w:rPr>
                <w:sz w:val="20"/>
                <w:szCs w:val="20"/>
              </w:rPr>
              <w:t xml:space="preserve">R, S, F</w:t>
            </w:r>
          </w:p>
        </w:tc>
        <w:tc>
          <w:tcPr>
            <w:tcW w:w="1708" w:type="dxa"/>
          </w:tcPr>
          <w:p>
            <w:pPr>
              <w:pStyle w:val="CeldaAPA"/>
              <w:jc w:val="center"/>
            </w:pPr>
            <w:r>
              <w:rPr>
                <w:sz w:val="20"/>
                <w:szCs w:val="20"/>
              </w:rPr>
              <w:t xml:space="preserve">Cambios</w:t>
            </w:r>
          </w:p>
        </w:tc>
      </w:tr>
      <w:tr>
        <w:tc>
          <w:tcPr>
            <w:tcW w:w="666" w:type="dxa"/>
          </w:tcPr>
          <w:p>
            <w:pPr>
              <w:pStyle w:val="CeldaAPA"/>
              <w:jc w:val="center"/>
            </w:pPr>
            <w:r>
              <w:rPr>
                <w:sz w:val="20"/>
                <w:szCs w:val="20"/>
              </w:rPr>
              <w:t xml:space="preserve">4</w:t>
            </w:r>
          </w:p>
        </w:tc>
        <w:tc>
          <w:tcPr>
            <w:tcW w:w="5788" w:type="dxa"/>
          </w:tcPr>
          <w:p>
            <w:pPr>
              <w:pStyle w:val="CeldaAPA"/>
              <w:jc w:val="left"/>
            </w:pPr>
            <w:r>
              <w:rPr>
                <w:sz w:val="20"/>
                <w:szCs w:val="20"/>
              </w:rPr>
              <w:t xml:space="preserve">¿Cómo se recibían y aceptaban las viguetas, el EPS, el acero y el cemento? ¿Se exigían certificados antes de colocar el material?</w:t>
            </w:r>
          </w:p>
        </w:tc>
        <w:tc>
          <w:tcPr>
            <w:tcW w:w="1200" w:type="dxa"/>
          </w:tcPr>
          <w:p>
            <w:pPr>
              <w:pStyle w:val="CeldaAPA"/>
              <w:jc w:val="center"/>
            </w:pPr>
            <w:r>
              <w:rPr>
                <w:sz w:val="20"/>
                <w:szCs w:val="20"/>
              </w:rPr>
              <w:t xml:space="preserve">R, S</w:t>
            </w:r>
          </w:p>
        </w:tc>
        <w:tc>
          <w:tcPr>
            <w:tcW w:w="1708" w:type="dxa"/>
          </w:tcPr>
          <w:p>
            <w:pPr>
              <w:pStyle w:val="CeldaAPA"/>
              <w:jc w:val="center"/>
            </w:pPr>
            <w:r>
              <w:rPr>
                <w:sz w:val="20"/>
                <w:szCs w:val="20"/>
              </w:rPr>
              <w:t xml:space="preserve">Materiales</w:t>
            </w:r>
          </w:p>
        </w:tc>
      </w:tr>
      <w:tr>
        <w:tc>
          <w:tcPr>
            <w:tcW w:w="666" w:type="dxa"/>
          </w:tcPr>
          <w:p>
            <w:pPr>
              <w:pStyle w:val="CeldaAPA"/>
              <w:jc w:val="center"/>
            </w:pPr>
            <w:r>
              <w:rPr>
                <w:sz w:val="20"/>
                <w:szCs w:val="20"/>
              </w:rPr>
              <w:t xml:space="preserve">5</w:t>
            </w:r>
          </w:p>
        </w:tc>
        <w:tc>
          <w:tcPr>
            <w:tcW w:w="5788" w:type="dxa"/>
          </w:tcPr>
          <w:p>
            <w:pPr>
              <w:pStyle w:val="CeldaAPA"/>
              <w:jc w:val="left"/>
            </w:pPr>
            <w:r>
              <w:rPr>
                <w:sz w:val="20"/>
                <w:szCs w:val="20"/>
              </w:rPr>
              <w:t xml:space="preserve">¿Cómo se almacenaban los materiales y cómo se controlaban las existencias? ¿Había kardex, vales o notas de remisión por paño?</w:t>
            </w:r>
          </w:p>
        </w:tc>
        <w:tc>
          <w:tcPr>
            <w:tcW w:w="1200" w:type="dxa"/>
          </w:tcPr>
          <w:p>
            <w:pPr>
              <w:pStyle w:val="CeldaAPA"/>
              <w:jc w:val="center"/>
            </w:pPr>
            <w:r>
              <w:rPr>
                <w:sz w:val="20"/>
                <w:szCs w:val="20"/>
              </w:rPr>
              <w:t xml:space="preserve">R</w:t>
            </w:r>
          </w:p>
        </w:tc>
        <w:tc>
          <w:tcPr>
            <w:tcW w:w="1708" w:type="dxa"/>
          </w:tcPr>
          <w:p>
            <w:pPr>
              <w:pStyle w:val="CeldaAPA"/>
              <w:jc w:val="center"/>
            </w:pPr>
            <w:r>
              <w:rPr>
                <w:sz w:val="20"/>
                <w:szCs w:val="20"/>
              </w:rPr>
              <w:t xml:space="preserve">Materiales</w:t>
            </w:r>
          </w:p>
        </w:tc>
      </w:tr>
      <w:tr>
        <w:tc>
          <w:tcPr>
            <w:tcW w:w="666" w:type="dxa"/>
          </w:tcPr>
          <w:p>
            <w:pPr>
              <w:pStyle w:val="CeldaAPA"/>
              <w:jc w:val="center"/>
            </w:pPr>
            <w:r>
              <w:rPr>
                <w:sz w:val="20"/>
                <w:szCs w:val="20"/>
              </w:rPr>
              <w:t xml:space="preserve">6</w:t>
            </w:r>
          </w:p>
        </w:tc>
        <w:tc>
          <w:tcPr>
            <w:tcW w:w="5788" w:type="dxa"/>
          </w:tcPr>
          <w:p>
            <w:pPr>
              <w:pStyle w:val="CeldaAPA"/>
              <w:jc w:val="left"/>
            </w:pPr>
            <w:r>
              <w:rPr>
                <w:sz w:val="20"/>
                <w:szCs w:val="20"/>
              </w:rPr>
              <w:t xml:space="preserve">¿Qué sobrantes, roturas o desperdicios recuerda en viguetas, EPS, acero y hormigón? ¿Qué se hizo con ellos y quién asumió su costo?</w:t>
            </w:r>
          </w:p>
        </w:tc>
        <w:tc>
          <w:tcPr>
            <w:tcW w:w="1200" w:type="dxa"/>
          </w:tcPr>
          <w:p>
            <w:pPr>
              <w:pStyle w:val="CeldaAPA"/>
              <w:jc w:val="center"/>
            </w:pPr>
            <w:r>
              <w:rPr>
                <w:sz w:val="20"/>
                <w:szCs w:val="20"/>
              </w:rPr>
              <w:t xml:space="preserve">R, S</w:t>
            </w:r>
          </w:p>
        </w:tc>
        <w:tc>
          <w:tcPr>
            <w:tcW w:w="1708" w:type="dxa"/>
          </w:tcPr>
          <w:p>
            <w:pPr>
              <w:pStyle w:val="CeldaAPA"/>
              <w:jc w:val="center"/>
            </w:pPr>
            <w:r>
              <w:rPr>
                <w:sz w:val="20"/>
                <w:szCs w:val="20"/>
              </w:rPr>
              <w:t xml:space="preserve">Materiales</w:t>
            </w:r>
          </w:p>
        </w:tc>
      </w:tr>
      <w:tr>
        <w:tc>
          <w:tcPr>
            <w:tcW w:w="666" w:type="dxa"/>
          </w:tcPr>
          <w:p>
            <w:pPr>
              <w:pStyle w:val="CeldaAPA"/>
              <w:jc w:val="center"/>
            </w:pPr>
            <w:r>
              <w:rPr>
                <w:sz w:val="20"/>
                <w:szCs w:val="20"/>
              </w:rPr>
              <w:t xml:space="preserve">7</w:t>
            </w:r>
          </w:p>
        </w:tc>
        <w:tc>
          <w:tcPr>
            <w:tcW w:w="5788" w:type="dxa"/>
          </w:tcPr>
          <w:p>
            <w:pPr>
              <w:pStyle w:val="CeldaAPA"/>
              <w:jc w:val="left"/>
            </w:pPr>
            <w:r>
              <w:rPr>
                <w:sz w:val="20"/>
                <w:szCs w:val="20"/>
              </w:rPr>
              <w:t xml:space="preserve">¿Cómo se verificaba cada paño antes del vaciado (apuntalamiento, armado, separadores, instalaciones)? ¿Quedaba algún registro además del Libro de Órdenes?</w:t>
            </w:r>
          </w:p>
        </w:tc>
        <w:tc>
          <w:tcPr>
            <w:tcW w:w="1200" w:type="dxa"/>
          </w:tcPr>
          <w:p>
            <w:pPr>
              <w:pStyle w:val="CeldaAPA"/>
              <w:jc w:val="center"/>
            </w:pPr>
            <w:r>
              <w:rPr>
                <w:sz w:val="20"/>
                <w:szCs w:val="20"/>
              </w:rPr>
              <w:t xml:space="preserve">R, S</w:t>
            </w:r>
          </w:p>
        </w:tc>
        <w:tc>
          <w:tcPr>
            <w:tcW w:w="1708" w:type="dxa"/>
          </w:tcPr>
          <w:p>
            <w:pPr>
              <w:pStyle w:val="CeldaAPA"/>
              <w:jc w:val="center"/>
            </w:pPr>
            <w:r>
              <w:rPr>
                <w:sz w:val="20"/>
                <w:szCs w:val="20"/>
              </w:rPr>
              <w:t xml:space="preserve">Inspección</w:t>
            </w:r>
          </w:p>
        </w:tc>
      </w:tr>
      <w:tr>
        <w:tc>
          <w:tcPr>
            <w:tcW w:w="666" w:type="dxa"/>
          </w:tcPr>
          <w:p>
            <w:pPr>
              <w:pStyle w:val="CeldaAPA"/>
              <w:jc w:val="center"/>
            </w:pPr>
            <w:r>
              <w:rPr>
                <w:sz w:val="20"/>
                <w:szCs w:val="20"/>
              </w:rPr>
              <w:t xml:space="preserve">8</w:t>
            </w:r>
          </w:p>
        </w:tc>
        <w:tc>
          <w:tcPr>
            <w:tcW w:w="5788" w:type="dxa"/>
          </w:tcPr>
          <w:p>
            <w:pPr>
              <w:pStyle w:val="CeldaAPA"/>
              <w:jc w:val="left"/>
            </w:pPr>
            <w:r>
              <w:rPr>
                <w:sz w:val="20"/>
                <w:szCs w:val="20"/>
              </w:rPr>
              <w:t xml:space="preserve">¿Qué defectos o retrabajos ocurrieron en la losa (fugas, nidos de grava, fisuras, correcciones de armado)? ¿Cómo se corrigieron?</w:t>
            </w:r>
          </w:p>
        </w:tc>
        <w:tc>
          <w:tcPr>
            <w:tcW w:w="1200" w:type="dxa"/>
          </w:tcPr>
          <w:p>
            <w:pPr>
              <w:pStyle w:val="CeldaAPA"/>
              <w:jc w:val="center"/>
            </w:pPr>
            <w:r>
              <w:rPr>
                <w:sz w:val="20"/>
                <w:szCs w:val="20"/>
              </w:rPr>
              <w:t xml:space="preserve">R, S, F</w:t>
            </w:r>
          </w:p>
        </w:tc>
        <w:tc>
          <w:tcPr>
            <w:tcW w:w="1708" w:type="dxa"/>
          </w:tcPr>
          <w:p>
            <w:pPr>
              <w:pStyle w:val="CeldaAPA"/>
              <w:jc w:val="center"/>
            </w:pPr>
            <w:r>
              <w:rPr>
                <w:sz w:val="20"/>
                <w:szCs w:val="20"/>
              </w:rPr>
              <w:t xml:space="preserve">Inspección</w:t>
            </w:r>
          </w:p>
        </w:tc>
      </w:tr>
      <w:tr>
        <w:tc>
          <w:tcPr>
            <w:tcW w:w="666" w:type="dxa"/>
          </w:tcPr>
          <w:p>
            <w:pPr>
              <w:pStyle w:val="CeldaAPA"/>
              <w:jc w:val="center"/>
            </w:pPr>
            <w:r>
              <w:rPr>
                <w:sz w:val="20"/>
                <w:szCs w:val="20"/>
              </w:rPr>
              <w:t xml:space="preserve">9</w:t>
            </w:r>
          </w:p>
        </w:tc>
        <w:tc>
          <w:tcPr>
            <w:tcW w:w="5788" w:type="dxa"/>
          </w:tcPr>
          <w:p>
            <w:pPr>
              <w:pStyle w:val="CeldaAPA"/>
              <w:jc w:val="left"/>
            </w:pPr>
            <w:r>
              <w:rPr>
                <w:sz w:val="20"/>
                <w:szCs w:val="20"/>
              </w:rPr>
              <w:t xml:space="preserve">¿Cómo se dosificó y controló el hormigón de la losa (dosificación, asentamiento, muestreo, probetas y curado)? ¿Se ensayaron probetas de la losa?</w:t>
            </w:r>
          </w:p>
        </w:tc>
        <w:tc>
          <w:tcPr>
            <w:tcW w:w="1200" w:type="dxa"/>
          </w:tcPr>
          <w:p>
            <w:pPr>
              <w:pStyle w:val="CeldaAPA"/>
              <w:jc w:val="center"/>
            </w:pPr>
            <w:r>
              <w:rPr>
                <w:sz w:val="20"/>
                <w:szCs w:val="20"/>
              </w:rPr>
              <w:t xml:space="preserve">R, S</w:t>
            </w:r>
          </w:p>
        </w:tc>
        <w:tc>
          <w:tcPr>
            <w:tcW w:w="1708" w:type="dxa"/>
          </w:tcPr>
          <w:p>
            <w:pPr>
              <w:pStyle w:val="CeldaAPA"/>
              <w:jc w:val="center"/>
            </w:pPr>
            <w:r>
              <w:rPr>
                <w:sz w:val="20"/>
                <w:szCs w:val="20"/>
              </w:rPr>
              <w:t xml:space="preserve">Hormigón</w:t>
            </w:r>
          </w:p>
        </w:tc>
      </w:tr>
      <w:tr>
        <w:tc>
          <w:tcPr>
            <w:tcW w:w="666" w:type="dxa"/>
          </w:tcPr>
          <w:p>
            <w:pPr>
              <w:pStyle w:val="CeldaAPA"/>
              <w:jc w:val="center"/>
            </w:pPr>
            <w:r>
              <w:rPr>
                <w:sz w:val="20"/>
                <w:szCs w:val="20"/>
              </w:rPr>
              <w:t xml:space="preserve">10</w:t>
            </w:r>
          </w:p>
        </w:tc>
        <w:tc>
          <w:tcPr>
            <w:tcW w:w="5788" w:type="dxa"/>
          </w:tcPr>
          <w:p>
            <w:pPr>
              <w:pStyle w:val="CeldaAPA"/>
              <w:jc w:val="left"/>
            </w:pPr>
            <w:r>
              <w:rPr>
                <w:sz w:val="20"/>
                <w:szCs w:val="20"/>
              </w:rPr>
              <w:t xml:space="preserve">¿Qué medidas se tomaron frente a la lluvia y a las bajas temperaturas durante el vaciado y el curado?</w:t>
            </w:r>
          </w:p>
        </w:tc>
        <w:tc>
          <w:tcPr>
            <w:tcW w:w="1200" w:type="dxa"/>
          </w:tcPr>
          <w:p>
            <w:pPr>
              <w:pStyle w:val="CeldaAPA"/>
              <w:jc w:val="center"/>
            </w:pPr>
            <w:r>
              <w:rPr>
                <w:sz w:val="20"/>
                <w:szCs w:val="20"/>
              </w:rPr>
              <w:t xml:space="preserve">R, S</w:t>
            </w:r>
          </w:p>
        </w:tc>
        <w:tc>
          <w:tcPr>
            <w:tcW w:w="1708" w:type="dxa"/>
          </w:tcPr>
          <w:p>
            <w:pPr>
              <w:pStyle w:val="CeldaAPA"/>
              <w:jc w:val="center"/>
            </w:pPr>
            <w:r>
              <w:rPr>
                <w:sz w:val="20"/>
                <w:szCs w:val="20"/>
              </w:rPr>
              <w:t xml:space="preserve">Hormigón</w:t>
            </w:r>
          </w:p>
        </w:tc>
      </w:tr>
      <w:tr>
        <w:tc>
          <w:tcPr>
            <w:tcW w:w="666" w:type="dxa"/>
          </w:tcPr>
          <w:p>
            <w:pPr>
              <w:pStyle w:val="CeldaAPA"/>
              <w:jc w:val="center"/>
            </w:pPr>
            <w:r>
              <w:rPr>
                <w:sz w:val="20"/>
                <w:szCs w:val="20"/>
              </w:rPr>
              <w:t xml:space="preserve">11</w:t>
            </w:r>
          </w:p>
        </w:tc>
        <w:tc>
          <w:tcPr>
            <w:tcW w:w="5788" w:type="dxa"/>
          </w:tcPr>
          <w:p>
            <w:pPr>
              <w:pStyle w:val="CeldaAPA"/>
              <w:jc w:val="left"/>
            </w:pPr>
            <w:r>
              <w:rPr>
                <w:sz w:val="20"/>
                <w:szCs w:val="20"/>
              </w:rPr>
              <w:t xml:space="preserve">¿Cómo se midieron y conciliaron las cantidades de la losa y del acero para las planillas? En el cómputo de cierre, el acero de la losa figura como 3 </w:t>
            </w:r>
            <m:oMath>
              <m:r>
                <m:rPr>
                  <m:sty m:val="p"/>
                </m:rPr>
                <m:t>×</m:t>
              </m:r>
            </m:oMath>
            <w:r>
              <w:rPr>
                <w:sz w:val="20"/>
                <w:szCs w:val="20"/>
              </w:rPr>
              <w:t xml:space="preserve"> 4.171,18 kg: ¿cómo se explica esa cifra?</w:t>
            </w:r>
          </w:p>
        </w:tc>
        <w:tc>
          <w:tcPr>
            <w:tcW w:w="1200" w:type="dxa"/>
          </w:tcPr>
          <w:p>
            <w:pPr>
              <w:pStyle w:val="CeldaAPA"/>
              <w:jc w:val="center"/>
            </w:pPr>
            <w:r>
              <w:rPr>
                <w:sz w:val="20"/>
                <w:szCs w:val="20"/>
              </w:rPr>
              <w:t xml:space="preserve">S, F</w:t>
            </w:r>
          </w:p>
        </w:tc>
        <w:tc>
          <w:tcPr>
            <w:tcW w:w="1708" w:type="dxa"/>
          </w:tcPr>
          <w:p>
            <w:pPr>
              <w:pStyle w:val="CeldaAPA"/>
              <w:jc w:val="center"/>
            </w:pPr>
            <w:r>
              <w:rPr>
                <w:sz w:val="20"/>
                <w:szCs w:val="20"/>
              </w:rPr>
              <w:t xml:space="preserve">Cantidades</w:t>
            </w:r>
          </w:p>
        </w:tc>
      </w:tr>
      <w:tr>
        <w:tc>
          <w:tcPr>
            <w:tcW w:w="666" w:type="dxa"/>
          </w:tcPr>
          <w:p>
            <w:pPr>
              <w:pStyle w:val="CeldaAPA"/>
              <w:jc w:val="center"/>
            </w:pPr>
            <w:r>
              <w:rPr>
                <w:sz w:val="20"/>
                <w:szCs w:val="20"/>
              </w:rPr>
              <w:t xml:space="preserve">12</w:t>
            </w:r>
          </w:p>
        </w:tc>
        <w:tc>
          <w:tcPr>
            <w:tcW w:w="5788" w:type="dxa"/>
          </w:tcPr>
          <w:p>
            <w:pPr>
              <w:pStyle w:val="CeldaAPA"/>
              <w:jc w:val="left"/>
            </w:pPr>
            <w:r>
              <w:rPr>
                <w:sz w:val="20"/>
                <w:szCs w:val="20"/>
              </w:rPr>
              <w:t xml:space="preserve">¿En qué ítem se paga el acero de la parrilla y de los negativos de la losa (ítem 8 o ítem 13) y cómo se decidió?</w:t>
            </w:r>
          </w:p>
        </w:tc>
        <w:tc>
          <w:tcPr>
            <w:tcW w:w="1200" w:type="dxa"/>
          </w:tcPr>
          <w:p>
            <w:pPr>
              <w:pStyle w:val="CeldaAPA"/>
              <w:jc w:val="center"/>
            </w:pPr>
            <w:r>
              <w:rPr>
                <w:sz w:val="20"/>
                <w:szCs w:val="20"/>
              </w:rPr>
              <w:t xml:space="preserve">S, F</w:t>
            </w:r>
          </w:p>
        </w:tc>
        <w:tc>
          <w:tcPr>
            <w:tcW w:w="1708" w:type="dxa"/>
          </w:tcPr>
          <w:p>
            <w:pPr>
              <w:pStyle w:val="CeldaAPA"/>
              <w:jc w:val="center"/>
            </w:pPr>
            <w:r>
              <w:rPr>
                <w:sz w:val="20"/>
                <w:szCs w:val="20"/>
              </w:rPr>
              <w:t xml:space="preserve">Cantidades</w:t>
            </w:r>
          </w:p>
        </w:tc>
      </w:tr>
      <w:tr>
        <w:tc>
          <w:tcPr>
            <w:tcW w:w="666" w:type="dxa"/>
          </w:tcPr>
          <w:p>
            <w:pPr>
              <w:pStyle w:val="CeldaAPA"/>
              <w:jc w:val="center"/>
            </w:pPr>
            <w:r>
              <w:rPr>
                <w:sz w:val="20"/>
                <w:szCs w:val="20"/>
              </w:rPr>
              <w:t xml:space="preserve">13</w:t>
            </w:r>
          </w:p>
        </w:tc>
        <w:tc>
          <w:tcPr>
            <w:tcW w:w="5788" w:type="dxa"/>
          </w:tcPr>
          <w:p>
            <w:pPr>
              <w:pStyle w:val="CeldaAPA"/>
              <w:jc w:val="left"/>
            </w:pPr>
            <w:r>
              <w:rPr>
                <w:sz w:val="20"/>
                <w:szCs w:val="20"/>
              </w:rPr>
              <w:t xml:space="preserve">¿Cómo afectaron la escasez de combustible, el suministro de cemento y de acero y el alza de precios a la ejecución y a la calidad de la losa?</w:t>
            </w:r>
          </w:p>
        </w:tc>
        <w:tc>
          <w:tcPr>
            <w:tcW w:w="1200" w:type="dxa"/>
          </w:tcPr>
          <w:p>
            <w:pPr>
              <w:pStyle w:val="CeldaAPA"/>
              <w:jc w:val="center"/>
            </w:pPr>
            <w:r>
              <w:rPr>
                <w:sz w:val="20"/>
                <w:szCs w:val="20"/>
              </w:rPr>
              <w:t xml:space="preserve">R, S, F</w:t>
            </w:r>
          </w:p>
        </w:tc>
        <w:tc>
          <w:tcPr>
            <w:tcW w:w="1708" w:type="dxa"/>
          </w:tcPr>
          <w:p>
            <w:pPr>
              <w:pStyle w:val="CeldaAPA"/>
              <w:jc w:val="center"/>
            </w:pPr>
            <w:r>
              <w:rPr>
                <w:sz w:val="20"/>
                <w:szCs w:val="20"/>
              </w:rPr>
              <w:t xml:space="preserve">Riesgos</w:t>
            </w:r>
          </w:p>
        </w:tc>
      </w:tr>
      <w:tr>
        <w:tc>
          <w:tcPr>
            <w:tcW w:w="666" w:type="dxa"/>
          </w:tcPr>
          <w:p>
            <w:pPr>
              <w:pStyle w:val="CeldaAPA"/>
              <w:jc w:val="center"/>
            </w:pPr>
            <w:r>
              <w:rPr>
                <w:sz w:val="20"/>
                <w:szCs w:val="20"/>
              </w:rPr>
              <w:t xml:space="preserve">14</w:t>
            </w:r>
          </w:p>
        </w:tc>
        <w:tc>
          <w:tcPr>
            <w:tcW w:w="5788" w:type="dxa"/>
          </w:tcPr>
          <w:p>
            <w:pPr>
              <w:pStyle w:val="CeldaAPA"/>
              <w:jc w:val="left"/>
            </w:pPr>
            <w:r>
              <w:rPr>
                <w:sz w:val="20"/>
                <w:szCs w:val="20"/>
              </w:rPr>
              <w:t xml:space="preserve">¿Qué controles considera indispensables para la segunda y la tercera losa y qué obstáculos ve para aplicarlos (costo, tiempo, personal)?</w:t>
            </w:r>
          </w:p>
        </w:tc>
        <w:tc>
          <w:tcPr>
            <w:tcW w:w="1200" w:type="dxa"/>
          </w:tcPr>
          <w:p>
            <w:pPr>
              <w:pStyle w:val="CeldaAPA"/>
              <w:jc w:val="center"/>
            </w:pPr>
            <w:r>
              <w:rPr>
                <w:sz w:val="20"/>
                <w:szCs w:val="20"/>
              </w:rPr>
              <w:t xml:space="preserve">R, S, F</w:t>
            </w:r>
          </w:p>
        </w:tc>
        <w:tc>
          <w:tcPr>
            <w:tcW w:w="1708" w:type="dxa"/>
          </w:tcPr>
          <w:p>
            <w:pPr>
              <w:pStyle w:val="CeldaAPA"/>
              <w:jc w:val="center"/>
            </w:pPr>
            <w:r>
              <w:rPr>
                <w:sz w:val="20"/>
                <w:szCs w:val="20"/>
              </w:rPr>
              <w:t xml:space="preserve">Mejora</w:t>
            </w:r>
          </w:p>
        </w:tc>
      </w:tr>
      <w:tr>
        <w:tc>
          <w:tcPr>
            <w:tcW w:w="9362" w:type="dxa"/>
            <w:gridSpan w:val="4"/>
          </w:tcPr>
          <w:p>
            <w:pPr>
              <w:pStyle w:val="CeldaAPA"/>
              <w:jc w:val="left"/>
            </w:pPr>
            <w:r>
              <w:rPr>
                <w:bCs/>
                <w:b/>
                <w:sz w:val="20"/>
                <w:szCs w:val="20"/>
              </w:rPr>
              <w:t xml:space="preserve">Cierre:</w:t>
            </w:r>
            <w:r>
              <w:rPr>
                <w:sz w:val="20"/>
                <w:szCs w:val="20"/>
              </w:rPr>
              <w:t xml:space="preserve"> </w:t>
            </w:r>
            <w:r>
              <w:rPr>
                <w:sz w:val="20"/>
                <w:szCs w:val="20"/>
              </w:rPr>
              <w:t xml:space="preserve">¿Desea agregar algo que no se haya preguntado? Agradecimiento al entrevistado.</w:t>
            </w:r>
          </w:p>
        </w:tc>
      </w:tr>
    </w:tbl>
    <w:p>
      <w:pPr>
        <w:pStyle w:val="BodyText"/>
        <w:spacing w:before="240"/>
      </w:pPr>
      <w:r>
        <w:rPr>
          <w:bCs/>
          <w:b/>
        </w:rPr>
        <w:t xml:space="preserve">Procesamiento.</w:t>
      </w:r>
      <w:r>
        <w:t xml:space="preserve"> </w:t>
      </w:r>
      <w:r>
        <w:t xml:space="preserve">Las entrevistas se transcriben y se codifican con las categorías de los bloques (planificación, documentos, cambios, materiales, inspección, hormigón, cantidades, riesgos y mejora). Cada afirmación se contrasta con los documentos de la obra (triangulación) antes de usarla como hallazgo.</w:t>
      </w:r>
    </w:p>
    <w:p>
      <w:pPr>
        <w:pStyle w:val="Heading2"/>
      </w:pPr>
      <w:bookmarkStart w:id="358" w:name="tit170"/>
      <w:r>
        <w:t xml:space="preserve">C.8. Formato de validación por juicio de expertos</w:t>
      </w:r>
      <w:bookmarkEnd w:id="358"/>
    </w:p>
    <w:p>
      <w:pPr>
        <w:pStyle w:val="FirstParagraph"/>
      </w:pPr>
      <w:r>
        <w:rPr>
          <w:bCs/>
          <w:b/>
        </w:rPr>
        <w:t xml:space="preserve">Objetivo.</w:t>
      </w:r>
      <w:r>
        <w:t xml:space="preserve"> </w:t>
      </w:r>
      <w:r>
        <w:t xml:space="preserve">Obtener evidencia de la validez de contenido del SGC y de sus instrumentos mediante el juicio de profesionales con experiencia en la construcción, la supervisión de obras o la gestión de la calidad. La validez de expertos se refiere al grado en que un instrumento mide la variable de interés de acuerdo con expertos en el tema</w:t>
      </w:r>
      <w:r>
        <w:t xml:space="preserve"> </w:t>
      </w:r>
      <w:r>
        <w:t xml:space="preserve">(Hernández-Sampieri y Mendoza Torres, 2018, p. 235)</w:t>
      </w:r>
      <w:r>
        <w:t xml:space="preserve">. Se recomienda consultar al menos a tres expertos.</w:t>
      </w:r>
    </w:p>
    <w:tbl>
      <w:tblPr>
        <w:tblStyle w:val="Table"/>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1" w:lastRow="0" w:firstColumn="0" w:lastColumn="0" w:noHBand="0" w:noVBand="0" w:val="0020"/>
      </w:tblPr>
      <w:tblGrid>
        <w:gridCol w:w="4680"/>
        <w:gridCol w:w="4680"/>
      </w:tblGrid>
      <w:tr>
        <w:trPr>
          <w:cantSplit/>
          <w:tblHeader w:val="true"/>
        </w:trPr>
        <w:tc>
          <w:tcPr>
            <w:tcW w:w="9360" w:type="dxa"/>
            <w:gridSpan w:val="2"/>
          </w:tcPr>
          <w:p>
            <w:pPr>
              <w:pStyle w:val="CeldaAPA"/>
              <w:jc w:val="left"/>
            </w:pPr>
            <w:r>
              <w:rPr>
                <w:bCs/>
                <w:b/>
                <w:sz w:val="20"/>
                <w:szCs w:val="20"/>
              </w:rPr>
              <w:t xml:space="preserve">1. Datos del experto</w:t>
            </w:r>
          </w:p>
        </w:tc>
      </w:tr>
      <w:tr>
        <w:tc>
          <w:tcPr>
            <w:tcW w:w="4680" w:type="dxa"/>
          </w:tcPr>
          <w:p>
            <w:pPr>
              <w:pStyle w:val="CeldaAPA"/>
              <w:jc w:val="left"/>
            </w:pPr>
            <w:r>
              <w:rPr>
                <w:sz w:val="20"/>
                <w:szCs w:val="20"/>
              </w:rPr>
              <w:t xml:space="preserve">Nombres y apellidos ______________</w:t>
            </w:r>
          </w:p>
        </w:tc>
        <w:tc>
          <w:tcPr>
            <w:tcW w:w="4680" w:type="dxa"/>
          </w:tcPr>
          <w:p>
            <w:pPr>
              <w:pStyle w:val="CeldaAPA"/>
              <w:jc w:val="left"/>
            </w:pPr>
            <w:r>
              <w:rPr>
                <w:sz w:val="20"/>
                <w:szCs w:val="20"/>
              </w:rPr>
              <w:t xml:space="preserve">Profesión ______________</w:t>
            </w:r>
          </w:p>
        </w:tc>
      </w:tr>
      <w:tr>
        <w:tc>
          <w:tcPr>
            <w:tcW w:w="4680" w:type="dxa"/>
          </w:tcPr>
          <w:p>
            <w:pPr>
              <w:pStyle w:val="CeldaAPA"/>
              <w:jc w:val="left"/>
            </w:pPr>
            <w:r>
              <w:rPr>
                <w:sz w:val="20"/>
                <w:szCs w:val="20"/>
              </w:rPr>
              <w:t xml:space="preserve">Grado académico ______________</w:t>
            </w:r>
          </w:p>
        </w:tc>
        <w:tc>
          <w:tcPr>
            <w:tcW w:w="4680" w:type="dxa"/>
          </w:tcPr>
          <w:p>
            <w:pPr>
              <w:pStyle w:val="CeldaAPA"/>
              <w:jc w:val="left"/>
            </w:pPr>
            <w:r>
              <w:rPr>
                <w:sz w:val="20"/>
                <w:szCs w:val="20"/>
              </w:rPr>
              <w:t xml:space="preserve">Especialidad ______________</w:t>
            </w:r>
          </w:p>
        </w:tc>
      </w:tr>
      <w:tr>
        <w:tc>
          <w:tcPr>
            <w:tcW w:w="4680" w:type="dxa"/>
          </w:tcPr>
          <w:p>
            <w:pPr>
              <w:pStyle w:val="CeldaAPA"/>
              <w:jc w:val="left"/>
            </w:pPr>
            <w:r>
              <w:rPr>
                <w:sz w:val="20"/>
                <w:szCs w:val="20"/>
              </w:rPr>
              <w:t xml:space="preserve">Años de experiencia en obras ______________</w:t>
            </w:r>
          </w:p>
        </w:tc>
        <w:tc>
          <w:tcPr>
            <w:tcW w:w="4680" w:type="dxa"/>
          </w:tcPr>
          <w:p>
            <w:pPr>
              <w:pStyle w:val="CeldaAPA"/>
              <w:jc w:val="left"/>
            </w:pPr>
            <w:r>
              <w:rPr>
                <w:sz w:val="20"/>
                <w:szCs w:val="20"/>
              </w:rPr>
              <w:t xml:space="preserve">Años en supervisión o gestión de la calidad ______________</w:t>
            </w:r>
          </w:p>
        </w:tc>
      </w:tr>
      <w:tr>
        <w:tc>
          <w:tcPr>
            <w:tcW w:w="4680" w:type="dxa"/>
          </w:tcPr>
          <w:p>
            <w:pPr>
              <w:pStyle w:val="CeldaAPA"/>
              <w:jc w:val="left"/>
            </w:pPr>
            <w:r>
              <w:rPr>
                <w:sz w:val="20"/>
                <w:szCs w:val="20"/>
              </w:rPr>
              <w:t xml:space="preserve">Institución ______________</w:t>
            </w:r>
          </w:p>
        </w:tc>
        <w:tc>
          <w:tcPr>
            <w:tcW w:w="4680" w:type="dxa"/>
          </w:tcPr>
          <w:p>
            <w:pPr>
              <w:pStyle w:val="CeldaAPA"/>
              <w:jc w:val="left"/>
            </w:pPr>
            <w:r>
              <w:rPr>
                <w:sz w:val="20"/>
                <w:szCs w:val="20"/>
              </w:rPr>
              <w:t xml:space="preserve">Cargo actual ______________</w:t>
            </w:r>
          </w:p>
        </w:tc>
      </w:tr>
      <w:tr>
        <w:tc>
          <w:tcPr>
            <w:tcW w:w="4680" w:type="dxa"/>
          </w:tcPr>
          <w:p>
            <w:pPr>
              <w:pStyle w:val="CeldaAPA"/>
              <w:jc w:val="left"/>
            </w:pPr>
            <w:r>
              <w:rPr>
                <w:sz w:val="20"/>
                <w:szCs w:val="20"/>
              </w:rPr>
              <w:t xml:space="preserve">Correo electrónico o teléfono ______________</w:t>
            </w:r>
          </w:p>
        </w:tc>
        <w:tc>
          <w:tcPr>
            <w:tcW w:w="4680" w:type="dxa"/>
          </w:tcPr>
          <w:p>
            <w:pPr>
              <w:pStyle w:val="CeldaAPA"/>
              <w:jc w:val="left"/>
            </w:pPr>
            <w:r>
              <w:rPr>
                <w:sz w:val="20"/>
                <w:szCs w:val="20"/>
              </w:rPr>
              <w:t xml:space="preserve">Fecha de la evaluación ______________</w:t>
            </w:r>
          </w:p>
        </w:tc>
      </w:tr>
    </w:tbl>
    <w:p>
      <w:pPr>
        <w:pStyle w:val="BodyText"/>
        <w:spacing w:before="240"/>
      </w:pPr>
      <w:r>
        <w:rPr>
          <w:bCs/>
          <w:b/>
        </w:rPr>
        <w:t xml:space="preserve">2. Instrucciones.</w:t>
      </w:r>
      <w:r>
        <w:t xml:space="preserve"> </w:t>
      </w:r>
      <w:r>
        <w:t xml:space="preserve">Lea la Sección 2.6 y los formatos de este anexo. Califique cada componente con la escala siguiente en cuatro criterios y anote sus observaciones.</w:t>
      </w:r>
      <w:r>
        <w:t xml:space="preserve"> </w:t>
      </w:r>
      <w:r>
        <w:rPr>
          <w:iCs/>
          <w:i/>
        </w:rPr>
        <w:t xml:space="preserve">Escala:</w:t>
      </w:r>
      <w:r>
        <w:t xml:space="preserve"> </w:t>
      </w:r>
      <w:r>
        <w:t xml:space="preserve">1 = no cumple el criterio; 2 = nivel bajo; 3 = nivel moderado; 4 = nivel alto.</w:t>
      </w:r>
      <w:r>
        <w:t xml:space="preserve"> </w:t>
      </w:r>
      <w:r>
        <w:rPr>
          <w:iCs/>
          <w:i/>
        </w:rPr>
        <w:t xml:space="preserve">Criterios:</w:t>
      </w:r>
      <w:r>
        <w:t xml:space="preserve"> </w:t>
      </w:r>
      <w:r>
        <w:rPr>
          <w:bCs/>
          <w:b/>
        </w:rPr>
        <w:t xml:space="preserve">pertinencia</w:t>
      </w:r>
      <w:r>
        <w:t xml:space="preserve"> </w:t>
      </w:r>
      <w:r>
        <w:t xml:space="preserve">(el componente responde a una brecha o a un requisito del proceso de la losa);</w:t>
      </w:r>
      <w:r>
        <w:t xml:space="preserve"> </w:t>
      </w:r>
      <w:r>
        <w:rPr>
          <w:bCs/>
          <w:b/>
        </w:rPr>
        <w:t xml:space="preserve">claridad</w:t>
      </w:r>
      <w:r>
        <w:t xml:space="preserve"> </w:t>
      </w:r>
      <w:r>
        <w:t xml:space="preserve">(se comprende sin ambigüedad y sus criterios son precisos);</w:t>
      </w:r>
      <w:r>
        <w:t xml:space="preserve"> </w:t>
      </w:r>
      <w:r>
        <w:rPr>
          <w:bCs/>
          <w:b/>
        </w:rPr>
        <w:t xml:space="preserve">suficiencia</w:t>
      </w:r>
      <w:r>
        <w:t xml:space="preserve"> </w:t>
      </w:r>
      <w:r>
        <w:t xml:space="preserve">(sus ítems o controles bastan para lograr lo que se propone); y</w:t>
      </w:r>
      <w:r>
        <w:t xml:space="preserve"> </w:t>
      </w:r>
      <w:r>
        <w:rPr>
          <w:bCs/>
          <w:b/>
        </w:rPr>
        <w:t xml:space="preserve">aplicabilidad</w:t>
      </w:r>
      <w:r>
        <w:t xml:space="preserve"> </w:t>
      </w:r>
      <w:r>
        <w:t xml:space="preserve">(puede aplicarse en obra con los recursos y el personal disponibles).</w:t>
      </w:r>
    </w:p>
    <w:tbl>
      <w:tblPr>
        <w:tblStyle w:val="Table"/>
        <w:tblW w:w="10989"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0" w:lastRow="0" w:firstColumn="0" w:lastColumn="0" w:noHBand="0" w:noVBand="0" w:val="0000"/>
      </w:tblPr>
      <w:tblGrid>
        <w:gridCol w:w="666"/>
        <w:gridCol w:w="2169"/>
        <w:gridCol w:w="1604"/>
        <w:gridCol w:w="1251"/>
        <w:gridCol w:w="1604"/>
        <w:gridCol w:w="1822"/>
        <w:gridCol w:w="1873"/>
      </w:tblGrid>
      <w:tr>
        <w:trPr>
          <w:cantSplit/>
          <w:tblHeader/>
        </w:trPr>
        <w:tc>
          <w:tcPr>
            <w:tcW w:w="10989" w:type="dxa"/>
            <w:gridSpan w:val="7"/>
          </w:tcPr>
          <w:p>
            <w:pPr>
              <w:pStyle w:val="CeldaAPA"/>
              <w:jc w:val="left"/>
            </w:pPr>
            <w:r>
              <w:rPr>
                <w:bCs/>
                <w:b/>
                <w:sz w:val="20"/>
                <w:szCs w:val="20"/>
              </w:rPr>
              <w:t xml:space="preserve">3. Evaluación (puntaje de 1 a 4)</w:t>
            </w:r>
          </w:p>
        </w:tc>
      </w:tr>
      <w:tr>
        <w:trPr>
          <w:cantSplit/>
          <w:tblHeader/>
        </w:trPr>
        <w:tc>
          <w:tcPr>
            <w:tcW w:w="666" w:type="dxa"/>
          </w:tcPr>
          <w:p>
            <w:pPr>
              <w:pStyle w:val="CeldaAPA"/>
              <w:jc w:val="center"/>
            </w:pPr>
            <w:r>
              <w:rPr>
                <w:bCs/>
                <w:b/>
                <w:sz w:val="20"/>
                <w:szCs w:val="20"/>
              </w:rPr>
              <w:t xml:space="preserve">N.</w:t>
            </w:r>
            <w:r>
              <w:rPr>
                <w:vertAlign w:val="superscript"/>
                <w:bCs/>
                <w:b/>
                <w:sz w:val="20"/>
                <w:szCs w:val="20"/>
              </w:rPr>
              <w:t xml:space="preserve">o</w:t>
            </w:r>
          </w:p>
        </w:tc>
        <w:tc>
          <w:tcPr>
            <w:tcW w:w="2169" w:type="dxa"/>
          </w:tcPr>
          <w:p>
            <w:pPr>
              <w:pStyle w:val="CeldaAPA"/>
              <w:jc w:val="left"/>
            </w:pPr>
            <w:r>
              <w:rPr>
                <w:bCs/>
                <w:b/>
                <w:sz w:val="20"/>
                <w:szCs w:val="20"/>
              </w:rPr>
              <w:t xml:space="preserve">Componente o instrumento</w:t>
            </w:r>
          </w:p>
        </w:tc>
        <w:tc>
          <w:tcPr>
            <w:tcW w:w="1604" w:type="dxa"/>
          </w:tcPr>
          <w:p>
            <w:pPr>
              <w:pStyle w:val="CeldaAPA"/>
              <w:jc w:val="center"/>
            </w:pPr>
            <w:r>
              <w:rPr>
                <w:bCs/>
                <w:b/>
                <w:sz w:val="20"/>
                <w:szCs w:val="20"/>
              </w:rPr>
              <w:t xml:space="preserve">Pertinencia</w:t>
            </w:r>
          </w:p>
        </w:tc>
        <w:tc>
          <w:tcPr>
            <w:tcW w:w="1251" w:type="dxa"/>
          </w:tcPr>
          <w:p>
            <w:pPr>
              <w:pStyle w:val="CeldaAPA"/>
              <w:jc w:val="center"/>
            </w:pPr>
            <w:r>
              <w:rPr>
                <w:bCs/>
                <w:b/>
                <w:sz w:val="20"/>
                <w:szCs w:val="20"/>
              </w:rPr>
              <w:t xml:space="preserve">Claridad</w:t>
            </w:r>
          </w:p>
        </w:tc>
        <w:tc>
          <w:tcPr>
            <w:tcW w:w="1604" w:type="dxa"/>
          </w:tcPr>
          <w:p>
            <w:pPr>
              <w:pStyle w:val="CeldaAPA"/>
              <w:jc w:val="center"/>
            </w:pPr>
            <w:r>
              <w:rPr>
                <w:bCs/>
                <w:b/>
                <w:sz w:val="20"/>
                <w:szCs w:val="20"/>
              </w:rPr>
              <w:t xml:space="preserve">Suficiencia</w:t>
            </w:r>
          </w:p>
        </w:tc>
        <w:tc>
          <w:tcPr>
            <w:tcW w:w="1822" w:type="dxa"/>
          </w:tcPr>
          <w:p>
            <w:pPr>
              <w:pStyle w:val="CeldaAPA"/>
              <w:jc w:val="center"/>
            </w:pPr>
            <w:r>
              <w:rPr>
                <w:bCs/>
                <w:b/>
                <w:sz w:val="20"/>
                <w:szCs w:val="20"/>
              </w:rPr>
              <w:t xml:space="preserve">Aplicabilidad</w:t>
            </w:r>
          </w:p>
        </w:tc>
        <w:tc>
          <w:tcPr>
            <w:tcW w:w="1873" w:type="dxa"/>
          </w:tcPr>
          <w:p>
            <w:pPr>
              <w:pStyle w:val="CeldaAPA"/>
              <w:jc w:val="left"/>
            </w:pPr>
            <w:r>
              <w:rPr>
                <w:bCs/>
                <w:b/>
                <w:sz w:val="20"/>
                <w:szCs w:val="20"/>
              </w:rPr>
              <w:t xml:space="preserve">Observaciones</w:t>
            </w:r>
          </w:p>
        </w:tc>
      </w:tr>
      <w:tr>
        <w:tc>
          <w:tcPr>
            <w:tcW w:w="666" w:type="dxa"/>
          </w:tcPr>
          <w:p>
            <w:pPr>
              <w:pStyle w:val="CeldaAPA"/>
              <w:jc w:val="center"/>
            </w:pPr>
            <w:r>
              <w:rPr>
                <w:sz w:val="20"/>
                <w:szCs w:val="20"/>
              </w:rPr>
              <w:t xml:space="preserve">1</w:t>
            </w:r>
          </w:p>
        </w:tc>
        <w:tc>
          <w:tcPr>
            <w:tcW w:w="2169" w:type="dxa"/>
          </w:tcPr>
          <w:p>
            <w:pPr>
              <w:pStyle w:val="CeldaAPA"/>
              <w:jc w:val="left"/>
            </w:pPr>
            <w:r>
              <w:rPr>
                <w:sz w:val="20"/>
                <w:szCs w:val="20"/>
              </w:rPr>
              <w:t xml:space="preserve">Política de la calidad y objetivos con metas (Tabla 33)</w:t>
            </w:r>
          </w:p>
        </w:tc>
        <w:tc>
          <w:tcPr>
            <w:tcW w:w="1604" w:type="dxa"/>
          </w:tcPr>
          <w:p>
            <w:pPr>
              <w:pStyle w:val="CeldaAPA"/>
            </w:pPr>
          </w:p>
        </w:tc>
        <w:tc>
          <w:tcPr>
            <w:tcW w:w="1251" w:type="dxa"/>
          </w:tcPr>
          <w:p>
            <w:pPr>
              <w:pStyle w:val="CeldaAPA"/>
            </w:pPr>
          </w:p>
        </w:tc>
        <w:tc>
          <w:tcPr>
            <w:tcW w:w="1604" w:type="dxa"/>
          </w:tcPr>
          <w:p>
            <w:pPr>
              <w:pStyle w:val="CeldaAPA"/>
            </w:pPr>
          </w:p>
        </w:tc>
        <w:tc>
          <w:tcPr>
            <w:tcW w:w="1822" w:type="dxa"/>
          </w:tcPr>
          <w:p>
            <w:pPr>
              <w:pStyle w:val="CeldaAPA"/>
            </w:pPr>
          </w:p>
        </w:tc>
        <w:tc>
          <w:tcPr>
            <w:tcW w:w="1873" w:type="dxa"/>
          </w:tcPr>
          <w:p>
            <w:pPr>
              <w:pStyle w:val="CeldaAPA"/>
            </w:pPr>
          </w:p>
        </w:tc>
      </w:tr>
      <w:tr>
        <w:tc>
          <w:tcPr>
            <w:tcW w:w="666" w:type="dxa"/>
          </w:tcPr>
          <w:p>
            <w:pPr>
              <w:pStyle w:val="CeldaAPA"/>
              <w:jc w:val="center"/>
            </w:pPr>
            <w:r>
              <w:rPr>
                <w:sz w:val="20"/>
                <w:szCs w:val="20"/>
              </w:rPr>
              <w:t xml:space="preserve">2</w:t>
            </w:r>
          </w:p>
        </w:tc>
        <w:tc>
          <w:tcPr>
            <w:tcW w:w="2169" w:type="dxa"/>
          </w:tcPr>
          <w:p>
            <w:pPr>
              <w:pStyle w:val="CeldaAPA"/>
              <w:jc w:val="left"/>
            </w:pPr>
            <w:r>
              <w:rPr>
                <w:sz w:val="20"/>
                <w:szCs w:val="20"/>
              </w:rPr>
              <w:t xml:space="preserve">Matriz de riesgos (Tabla 32)</w:t>
            </w:r>
          </w:p>
        </w:tc>
        <w:tc>
          <w:tcPr>
            <w:tcW w:w="1604" w:type="dxa"/>
          </w:tcPr>
          <w:p>
            <w:pPr>
              <w:pStyle w:val="CeldaAPA"/>
            </w:pPr>
          </w:p>
        </w:tc>
        <w:tc>
          <w:tcPr>
            <w:tcW w:w="1251" w:type="dxa"/>
          </w:tcPr>
          <w:p>
            <w:pPr>
              <w:pStyle w:val="CeldaAPA"/>
            </w:pPr>
          </w:p>
        </w:tc>
        <w:tc>
          <w:tcPr>
            <w:tcW w:w="1604" w:type="dxa"/>
          </w:tcPr>
          <w:p>
            <w:pPr>
              <w:pStyle w:val="CeldaAPA"/>
            </w:pPr>
          </w:p>
        </w:tc>
        <w:tc>
          <w:tcPr>
            <w:tcW w:w="1822" w:type="dxa"/>
          </w:tcPr>
          <w:p>
            <w:pPr>
              <w:pStyle w:val="CeldaAPA"/>
            </w:pPr>
          </w:p>
        </w:tc>
        <w:tc>
          <w:tcPr>
            <w:tcW w:w="1873" w:type="dxa"/>
          </w:tcPr>
          <w:p>
            <w:pPr>
              <w:pStyle w:val="CeldaAPA"/>
            </w:pPr>
          </w:p>
        </w:tc>
      </w:tr>
      <w:tr>
        <w:tc>
          <w:tcPr>
            <w:tcW w:w="666" w:type="dxa"/>
          </w:tcPr>
          <w:p>
            <w:pPr>
              <w:pStyle w:val="CeldaAPA"/>
              <w:jc w:val="center"/>
            </w:pPr>
            <w:r>
              <w:rPr>
                <w:sz w:val="20"/>
                <w:szCs w:val="20"/>
              </w:rPr>
              <w:t xml:space="preserve">3</w:t>
            </w:r>
          </w:p>
        </w:tc>
        <w:tc>
          <w:tcPr>
            <w:tcW w:w="2169" w:type="dxa"/>
          </w:tcPr>
          <w:p>
            <w:pPr>
              <w:pStyle w:val="CeldaAPA"/>
              <w:jc w:val="left"/>
            </w:pPr>
            <w:r>
              <w:rPr>
                <w:sz w:val="20"/>
                <w:szCs w:val="20"/>
              </w:rPr>
              <w:t xml:space="preserve">Matriz de responsabilidades RACI (Tabla 31)</w:t>
            </w:r>
          </w:p>
        </w:tc>
        <w:tc>
          <w:tcPr>
            <w:tcW w:w="1604" w:type="dxa"/>
          </w:tcPr>
          <w:p>
            <w:pPr>
              <w:pStyle w:val="CeldaAPA"/>
            </w:pPr>
          </w:p>
        </w:tc>
        <w:tc>
          <w:tcPr>
            <w:tcW w:w="1251" w:type="dxa"/>
          </w:tcPr>
          <w:p>
            <w:pPr>
              <w:pStyle w:val="CeldaAPA"/>
            </w:pPr>
          </w:p>
        </w:tc>
        <w:tc>
          <w:tcPr>
            <w:tcW w:w="1604" w:type="dxa"/>
          </w:tcPr>
          <w:p>
            <w:pPr>
              <w:pStyle w:val="CeldaAPA"/>
            </w:pPr>
          </w:p>
        </w:tc>
        <w:tc>
          <w:tcPr>
            <w:tcW w:w="1822" w:type="dxa"/>
          </w:tcPr>
          <w:p>
            <w:pPr>
              <w:pStyle w:val="CeldaAPA"/>
            </w:pPr>
          </w:p>
        </w:tc>
        <w:tc>
          <w:tcPr>
            <w:tcW w:w="1873" w:type="dxa"/>
          </w:tcPr>
          <w:p>
            <w:pPr>
              <w:pStyle w:val="CeldaAPA"/>
            </w:pPr>
          </w:p>
        </w:tc>
      </w:tr>
      <w:tr>
        <w:tc>
          <w:tcPr>
            <w:tcW w:w="666" w:type="dxa"/>
          </w:tcPr>
          <w:p>
            <w:pPr>
              <w:pStyle w:val="CeldaAPA"/>
              <w:jc w:val="center"/>
            </w:pPr>
            <w:r>
              <w:rPr>
                <w:sz w:val="20"/>
                <w:szCs w:val="20"/>
              </w:rPr>
              <w:t xml:space="preserve">4</w:t>
            </w:r>
          </w:p>
        </w:tc>
        <w:tc>
          <w:tcPr>
            <w:tcW w:w="2169" w:type="dxa"/>
          </w:tcPr>
          <w:p>
            <w:pPr>
              <w:pStyle w:val="CeldaAPA"/>
              <w:jc w:val="left"/>
            </w:pPr>
            <w:r>
              <w:rPr>
                <w:sz w:val="20"/>
                <w:szCs w:val="20"/>
              </w:rPr>
              <w:t xml:space="preserve">Estructura del plan de la calidad (Tabla 35)</w:t>
            </w:r>
          </w:p>
        </w:tc>
        <w:tc>
          <w:tcPr>
            <w:tcW w:w="1604" w:type="dxa"/>
          </w:tcPr>
          <w:p>
            <w:pPr>
              <w:pStyle w:val="CeldaAPA"/>
            </w:pPr>
          </w:p>
        </w:tc>
        <w:tc>
          <w:tcPr>
            <w:tcW w:w="1251" w:type="dxa"/>
          </w:tcPr>
          <w:p>
            <w:pPr>
              <w:pStyle w:val="CeldaAPA"/>
            </w:pPr>
          </w:p>
        </w:tc>
        <w:tc>
          <w:tcPr>
            <w:tcW w:w="1604" w:type="dxa"/>
          </w:tcPr>
          <w:p>
            <w:pPr>
              <w:pStyle w:val="CeldaAPA"/>
            </w:pPr>
          </w:p>
        </w:tc>
        <w:tc>
          <w:tcPr>
            <w:tcW w:w="1822" w:type="dxa"/>
          </w:tcPr>
          <w:p>
            <w:pPr>
              <w:pStyle w:val="CeldaAPA"/>
            </w:pPr>
          </w:p>
        </w:tc>
        <w:tc>
          <w:tcPr>
            <w:tcW w:w="1873" w:type="dxa"/>
          </w:tcPr>
          <w:p>
            <w:pPr>
              <w:pStyle w:val="CeldaAPA"/>
            </w:pPr>
          </w:p>
        </w:tc>
      </w:tr>
      <w:tr>
        <w:tc>
          <w:tcPr>
            <w:tcW w:w="666" w:type="dxa"/>
          </w:tcPr>
          <w:p>
            <w:pPr>
              <w:pStyle w:val="CeldaAPA"/>
              <w:jc w:val="center"/>
            </w:pPr>
            <w:r>
              <w:rPr>
                <w:sz w:val="20"/>
                <w:szCs w:val="20"/>
              </w:rPr>
              <w:t xml:space="preserve">5</w:t>
            </w:r>
          </w:p>
        </w:tc>
        <w:tc>
          <w:tcPr>
            <w:tcW w:w="2169" w:type="dxa"/>
          </w:tcPr>
          <w:p>
            <w:pPr>
              <w:pStyle w:val="CeldaAPA"/>
              <w:jc w:val="left"/>
            </w:pPr>
            <w:r>
              <w:rPr>
                <w:sz w:val="20"/>
                <w:szCs w:val="20"/>
              </w:rPr>
              <w:t xml:space="preserve">PPI y puntos de espera (Tabla 36)</w:t>
            </w:r>
          </w:p>
        </w:tc>
        <w:tc>
          <w:tcPr>
            <w:tcW w:w="1604" w:type="dxa"/>
          </w:tcPr>
          <w:p>
            <w:pPr>
              <w:pStyle w:val="CeldaAPA"/>
            </w:pPr>
          </w:p>
        </w:tc>
        <w:tc>
          <w:tcPr>
            <w:tcW w:w="1251" w:type="dxa"/>
          </w:tcPr>
          <w:p>
            <w:pPr>
              <w:pStyle w:val="CeldaAPA"/>
            </w:pPr>
          </w:p>
        </w:tc>
        <w:tc>
          <w:tcPr>
            <w:tcW w:w="1604" w:type="dxa"/>
          </w:tcPr>
          <w:p>
            <w:pPr>
              <w:pStyle w:val="CeldaAPA"/>
            </w:pPr>
          </w:p>
        </w:tc>
        <w:tc>
          <w:tcPr>
            <w:tcW w:w="1822" w:type="dxa"/>
          </w:tcPr>
          <w:p>
            <w:pPr>
              <w:pStyle w:val="CeldaAPA"/>
            </w:pPr>
          </w:p>
        </w:tc>
        <w:tc>
          <w:tcPr>
            <w:tcW w:w="1873" w:type="dxa"/>
          </w:tcPr>
          <w:p>
            <w:pPr>
              <w:pStyle w:val="CeldaAPA"/>
            </w:pPr>
          </w:p>
        </w:tc>
      </w:tr>
      <w:tr>
        <w:tc>
          <w:tcPr>
            <w:tcW w:w="666" w:type="dxa"/>
          </w:tcPr>
          <w:p>
            <w:pPr>
              <w:pStyle w:val="CeldaAPA"/>
              <w:jc w:val="center"/>
            </w:pPr>
            <w:r>
              <w:rPr>
                <w:sz w:val="20"/>
                <w:szCs w:val="20"/>
              </w:rPr>
              <w:t xml:space="preserve">6</w:t>
            </w:r>
          </w:p>
        </w:tc>
        <w:tc>
          <w:tcPr>
            <w:tcW w:w="2169" w:type="dxa"/>
          </w:tcPr>
          <w:p>
            <w:pPr>
              <w:pStyle w:val="CeldaAPA"/>
              <w:jc w:val="left"/>
            </w:pPr>
            <w:r>
              <w:rPr>
                <w:sz w:val="20"/>
                <w:szCs w:val="20"/>
              </w:rPr>
              <w:t xml:space="preserve">PCM-01: recepción y aceptación de materiales</w:t>
            </w:r>
          </w:p>
        </w:tc>
        <w:tc>
          <w:tcPr>
            <w:tcW w:w="1604" w:type="dxa"/>
          </w:tcPr>
          <w:p>
            <w:pPr>
              <w:pStyle w:val="CeldaAPA"/>
            </w:pPr>
          </w:p>
        </w:tc>
        <w:tc>
          <w:tcPr>
            <w:tcW w:w="1251" w:type="dxa"/>
          </w:tcPr>
          <w:p>
            <w:pPr>
              <w:pStyle w:val="CeldaAPA"/>
            </w:pPr>
          </w:p>
        </w:tc>
        <w:tc>
          <w:tcPr>
            <w:tcW w:w="1604" w:type="dxa"/>
          </w:tcPr>
          <w:p>
            <w:pPr>
              <w:pStyle w:val="CeldaAPA"/>
            </w:pPr>
          </w:p>
        </w:tc>
        <w:tc>
          <w:tcPr>
            <w:tcW w:w="1822" w:type="dxa"/>
          </w:tcPr>
          <w:p>
            <w:pPr>
              <w:pStyle w:val="CeldaAPA"/>
            </w:pPr>
          </w:p>
        </w:tc>
        <w:tc>
          <w:tcPr>
            <w:tcW w:w="1873" w:type="dxa"/>
          </w:tcPr>
          <w:p>
            <w:pPr>
              <w:pStyle w:val="CeldaAPA"/>
            </w:pPr>
          </w:p>
        </w:tc>
      </w:tr>
      <w:tr>
        <w:tc>
          <w:tcPr>
            <w:tcW w:w="666" w:type="dxa"/>
          </w:tcPr>
          <w:p>
            <w:pPr>
              <w:pStyle w:val="CeldaAPA"/>
              <w:jc w:val="center"/>
            </w:pPr>
            <w:r>
              <w:rPr>
                <w:sz w:val="20"/>
                <w:szCs w:val="20"/>
              </w:rPr>
              <w:t xml:space="preserve">7</w:t>
            </w:r>
          </w:p>
        </w:tc>
        <w:tc>
          <w:tcPr>
            <w:tcW w:w="2169" w:type="dxa"/>
          </w:tcPr>
          <w:p>
            <w:pPr>
              <w:pStyle w:val="CeldaAPA"/>
              <w:jc w:val="left"/>
            </w:pPr>
            <w:r>
              <w:rPr>
                <w:sz w:val="20"/>
                <w:szCs w:val="20"/>
              </w:rPr>
              <w:t xml:space="preserve">PCM-02: almacenamiento e identificación</w:t>
            </w:r>
          </w:p>
        </w:tc>
        <w:tc>
          <w:tcPr>
            <w:tcW w:w="1604" w:type="dxa"/>
          </w:tcPr>
          <w:p>
            <w:pPr>
              <w:pStyle w:val="CeldaAPA"/>
            </w:pPr>
          </w:p>
        </w:tc>
        <w:tc>
          <w:tcPr>
            <w:tcW w:w="1251" w:type="dxa"/>
          </w:tcPr>
          <w:p>
            <w:pPr>
              <w:pStyle w:val="CeldaAPA"/>
            </w:pPr>
          </w:p>
        </w:tc>
        <w:tc>
          <w:tcPr>
            <w:tcW w:w="1604" w:type="dxa"/>
          </w:tcPr>
          <w:p>
            <w:pPr>
              <w:pStyle w:val="CeldaAPA"/>
            </w:pPr>
          </w:p>
        </w:tc>
        <w:tc>
          <w:tcPr>
            <w:tcW w:w="1822" w:type="dxa"/>
          </w:tcPr>
          <w:p>
            <w:pPr>
              <w:pStyle w:val="CeldaAPA"/>
            </w:pPr>
          </w:p>
        </w:tc>
        <w:tc>
          <w:tcPr>
            <w:tcW w:w="1873" w:type="dxa"/>
          </w:tcPr>
          <w:p>
            <w:pPr>
              <w:pStyle w:val="CeldaAPA"/>
            </w:pPr>
          </w:p>
        </w:tc>
      </w:tr>
      <w:tr>
        <w:tc>
          <w:tcPr>
            <w:tcW w:w="666" w:type="dxa"/>
          </w:tcPr>
          <w:p>
            <w:pPr>
              <w:pStyle w:val="CeldaAPA"/>
              <w:jc w:val="center"/>
            </w:pPr>
            <w:r>
              <w:rPr>
                <w:sz w:val="20"/>
                <w:szCs w:val="20"/>
              </w:rPr>
              <w:t xml:space="preserve">8</w:t>
            </w:r>
          </w:p>
        </w:tc>
        <w:tc>
          <w:tcPr>
            <w:tcW w:w="2169" w:type="dxa"/>
          </w:tcPr>
          <w:p>
            <w:pPr>
              <w:pStyle w:val="CeldaAPA"/>
              <w:jc w:val="left"/>
            </w:pPr>
            <w:r>
              <w:rPr>
                <w:sz w:val="20"/>
                <w:szCs w:val="20"/>
              </w:rPr>
              <w:t xml:space="preserve">PCM-03: despacho y registro de consumos por paño</w:t>
            </w:r>
          </w:p>
        </w:tc>
        <w:tc>
          <w:tcPr>
            <w:tcW w:w="1604" w:type="dxa"/>
          </w:tcPr>
          <w:p>
            <w:pPr>
              <w:pStyle w:val="CeldaAPA"/>
            </w:pPr>
          </w:p>
        </w:tc>
        <w:tc>
          <w:tcPr>
            <w:tcW w:w="1251" w:type="dxa"/>
          </w:tcPr>
          <w:p>
            <w:pPr>
              <w:pStyle w:val="CeldaAPA"/>
            </w:pPr>
          </w:p>
        </w:tc>
        <w:tc>
          <w:tcPr>
            <w:tcW w:w="1604" w:type="dxa"/>
          </w:tcPr>
          <w:p>
            <w:pPr>
              <w:pStyle w:val="CeldaAPA"/>
            </w:pPr>
          </w:p>
        </w:tc>
        <w:tc>
          <w:tcPr>
            <w:tcW w:w="1822" w:type="dxa"/>
          </w:tcPr>
          <w:p>
            <w:pPr>
              <w:pStyle w:val="CeldaAPA"/>
            </w:pPr>
          </w:p>
        </w:tc>
        <w:tc>
          <w:tcPr>
            <w:tcW w:w="1873" w:type="dxa"/>
          </w:tcPr>
          <w:p>
            <w:pPr>
              <w:pStyle w:val="CeldaAPA"/>
            </w:pPr>
          </w:p>
        </w:tc>
      </w:tr>
      <w:tr>
        <w:tc>
          <w:tcPr>
            <w:tcW w:w="666" w:type="dxa"/>
          </w:tcPr>
          <w:p>
            <w:pPr>
              <w:pStyle w:val="CeldaAPA"/>
              <w:jc w:val="center"/>
            </w:pPr>
            <w:r>
              <w:rPr>
                <w:sz w:val="20"/>
                <w:szCs w:val="20"/>
              </w:rPr>
              <w:t xml:space="preserve">9</w:t>
            </w:r>
          </w:p>
        </w:tc>
        <w:tc>
          <w:tcPr>
            <w:tcW w:w="2169" w:type="dxa"/>
          </w:tcPr>
          <w:p>
            <w:pPr>
              <w:pStyle w:val="CeldaAPA"/>
              <w:jc w:val="left"/>
            </w:pPr>
            <w:r>
              <w:rPr>
                <w:sz w:val="20"/>
                <w:szCs w:val="20"/>
              </w:rPr>
              <w:t xml:space="preserve">PCM-04: conciliación de cantidades y umbrales de alerta</w:t>
            </w:r>
          </w:p>
        </w:tc>
        <w:tc>
          <w:tcPr>
            <w:tcW w:w="1604" w:type="dxa"/>
          </w:tcPr>
          <w:p>
            <w:pPr>
              <w:pStyle w:val="CeldaAPA"/>
            </w:pPr>
          </w:p>
        </w:tc>
        <w:tc>
          <w:tcPr>
            <w:tcW w:w="1251" w:type="dxa"/>
          </w:tcPr>
          <w:p>
            <w:pPr>
              <w:pStyle w:val="CeldaAPA"/>
            </w:pPr>
          </w:p>
        </w:tc>
        <w:tc>
          <w:tcPr>
            <w:tcW w:w="1604" w:type="dxa"/>
          </w:tcPr>
          <w:p>
            <w:pPr>
              <w:pStyle w:val="CeldaAPA"/>
            </w:pPr>
          </w:p>
        </w:tc>
        <w:tc>
          <w:tcPr>
            <w:tcW w:w="1822" w:type="dxa"/>
          </w:tcPr>
          <w:p>
            <w:pPr>
              <w:pStyle w:val="CeldaAPA"/>
            </w:pPr>
          </w:p>
        </w:tc>
        <w:tc>
          <w:tcPr>
            <w:tcW w:w="1873" w:type="dxa"/>
          </w:tcPr>
          <w:p>
            <w:pPr>
              <w:pStyle w:val="CeldaAPA"/>
            </w:pPr>
          </w:p>
        </w:tc>
      </w:tr>
      <w:tr>
        <w:tc>
          <w:tcPr>
            <w:tcW w:w="666" w:type="dxa"/>
          </w:tcPr>
          <w:p>
            <w:pPr>
              <w:pStyle w:val="CeldaAPA"/>
              <w:jc w:val="center"/>
            </w:pPr>
            <w:r>
              <w:rPr>
                <w:sz w:val="20"/>
                <w:szCs w:val="20"/>
              </w:rPr>
              <w:t xml:space="preserve">10</w:t>
            </w:r>
          </w:p>
        </w:tc>
        <w:tc>
          <w:tcPr>
            <w:tcW w:w="2169" w:type="dxa"/>
          </w:tcPr>
          <w:p>
            <w:pPr>
              <w:pStyle w:val="CeldaAPA"/>
              <w:jc w:val="left"/>
            </w:pPr>
            <w:r>
              <w:rPr>
                <w:sz w:val="20"/>
                <w:szCs w:val="20"/>
              </w:rPr>
              <w:t xml:space="preserve">PCM-05: control del material no conforme</w:t>
            </w:r>
          </w:p>
        </w:tc>
        <w:tc>
          <w:tcPr>
            <w:tcW w:w="1604" w:type="dxa"/>
          </w:tcPr>
          <w:p>
            <w:pPr>
              <w:pStyle w:val="CeldaAPA"/>
            </w:pPr>
          </w:p>
        </w:tc>
        <w:tc>
          <w:tcPr>
            <w:tcW w:w="1251" w:type="dxa"/>
          </w:tcPr>
          <w:p>
            <w:pPr>
              <w:pStyle w:val="CeldaAPA"/>
            </w:pPr>
          </w:p>
        </w:tc>
        <w:tc>
          <w:tcPr>
            <w:tcW w:w="1604" w:type="dxa"/>
          </w:tcPr>
          <w:p>
            <w:pPr>
              <w:pStyle w:val="CeldaAPA"/>
            </w:pPr>
          </w:p>
        </w:tc>
        <w:tc>
          <w:tcPr>
            <w:tcW w:w="1822" w:type="dxa"/>
          </w:tcPr>
          <w:p>
            <w:pPr>
              <w:pStyle w:val="CeldaAPA"/>
            </w:pPr>
          </w:p>
        </w:tc>
        <w:tc>
          <w:tcPr>
            <w:tcW w:w="1873" w:type="dxa"/>
          </w:tcPr>
          <w:p>
            <w:pPr>
              <w:pStyle w:val="CeldaAPA"/>
            </w:pPr>
          </w:p>
        </w:tc>
      </w:tr>
      <w:tr>
        <w:tc>
          <w:tcPr>
            <w:tcW w:w="666" w:type="dxa"/>
          </w:tcPr>
          <w:p>
            <w:pPr>
              <w:pStyle w:val="CeldaAPA"/>
              <w:jc w:val="center"/>
            </w:pPr>
            <w:r>
              <w:rPr>
                <w:sz w:val="20"/>
                <w:szCs w:val="20"/>
              </w:rPr>
              <w:t xml:space="preserve">11</w:t>
            </w:r>
          </w:p>
        </w:tc>
        <w:tc>
          <w:tcPr>
            <w:tcW w:w="2169" w:type="dxa"/>
          </w:tcPr>
          <w:p>
            <w:pPr>
              <w:pStyle w:val="CeldaAPA"/>
              <w:jc w:val="left"/>
            </w:pPr>
            <w:r>
              <w:rPr>
                <w:sz w:val="20"/>
                <w:szCs w:val="20"/>
              </w:rPr>
              <w:t xml:space="preserve">Control del hormigón: muestreo, aceptación, curado y tiempo frío</w:t>
            </w:r>
          </w:p>
        </w:tc>
        <w:tc>
          <w:tcPr>
            <w:tcW w:w="1604" w:type="dxa"/>
          </w:tcPr>
          <w:p>
            <w:pPr>
              <w:pStyle w:val="CeldaAPA"/>
            </w:pPr>
          </w:p>
        </w:tc>
        <w:tc>
          <w:tcPr>
            <w:tcW w:w="1251" w:type="dxa"/>
          </w:tcPr>
          <w:p>
            <w:pPr>
              <w:pStyle w:val="CeldaAPA"/>
            </w:pPr>
          </w:p>
        </w:tc>
        <w:tc>
          <w:tcPr>
            <w:tcW w:w="1604" w:type="dxa"/>
          </w:tcPr>
          <w:p>
            <w:pPr>
              <w:pStyle w:val="CeldaAPA"/>
            </w:pPr>
          </w:p>
        </w:tc>
        <w:tc>
          <w:tcPr>
            <w:tcW w:w="1822" w:type="dxa"/>
          </w:tcPr>
          <w:p>
            <w:pPr>
              <w:pStyle w:val="CeldaAPA"/>
            </w:pPr>
          </w:p>
        </w:tc>
        <w:tc>
          <w:tcPr>
            <w:tcW w:w="1873" w:type="dxa"/>
          </w:tcPr>
          <w:p>
            <w:pPr>
              <w:pStyle w:val="CeldaAPA"/>
            </w:pPr>
          </w:p>
        </w:tc>
      </w:tr>
      <w:tr>
        <w:tc>
          <w:tcPr>
            <w:tcW w:w="666" w:type="dxa"/>
          </w:tcPr>
          <w:p>
            <w:pPr>
              <w:pStyle w:val="CeldaAPA"/>
              <w:jc w:val="center"/>
            </w:pPr>
            <w:r>
              <w:rPr>
                <w:sz w:val="20"/>
                <w:szCs w:val="20"/>
              </w:rPr>
              <w:t xml:space="preserve">12</w:t>
            </w:r>
          </w:p>
        </w:tc>
        <w:tc>
          <w:tcPr>
            <w:tcW w:w="2169" w:type="dxa"/>
          </w:tcPr>
          <w:p>
            <w:pPr>
              <w:pStyle w:val="CeldaAPA"/>
              <w:jc w:val="left"/>
            </w:pPr>
            <w:r>
              <w:rPr>
                <w:sz w:val="20"/>
                <w:szCs w:val="20"/>
              </w:rPr>
              <w:t xml:space="preserve">Liberación de paños y control de salidas no conformes</w:t>
            </w:r>
          </w:p>
        </w:tc>
        <w:tc>
          <w:tcPr>
            <w:tcW w:w="1604" w:type="dxa"/>
          </w:tcPr>
          <w:p>
            <w:pPr>
              <w:pStyle w:val="CeldaAPA"/>
            </w:pPr>
          </w:p>
        </w:tc>
        <w:tc>
          <w:tcPr>
            <w:tcW w:w="1251" w:type="dxa"/>
          </w:tcPr>
          <w:p>
            <w:pPr>
              <w:pStyle w:val="CeldaAPA"/>
            </w:pPr>
          </w:p>
        </w:tc>
        <w:tc>
          <w:tcPr>
            <w:tcW w:w="1604" w:type="dxa"/>
          </w:tcPr>
          <w:p>
            <w:pPr>
              <w:pStyle w:val="CeldaAPA"/>
            </w:pPr>
          </w:p>
        </w:tc>
        <w:tc>
          <w:tcPr>
            <w:tcW w:w="1822" w:type="dxa"/>
          </w:tcPr>
          <w:p>
            <w:pPr>
              <w:pStyle w:val="CeldaAPA"/>
            </w:pPr>
          </w:p>
        </w:tc>
        <w:tc>
          <w:tcPr>
            <w:tcW w:w="1873" w:type="dxa"/>
          </w:tcPr>
          <w:p>
            <w:pPr>
              <w:pStyle w:val="CeldaAPA"/>
            </w:pPr>
          </w:p>
        </w:tc>
      </w:tr>
      <w:tr>
        <w:tc>
          <w:tcPr>
            <w:tcW w:w="666" w:type="dxa"/>
          </w:tcPr>
          <w:p>
            <w:pPr>
              <w:pStyle w:val="CeldaAPA"/>
              <w:jc w:val="center"/>
            </w:pPr>
            <w:r>
              <w:rPr>
                <w:sz w:val="20"/>
                <w:szCs w:val="20"/>
              </w:rPr>
              <w:t xml:space="preserve">13</w:t>
            </w:r>
          </w:p>
        </w:tc>
        <w:tc>
          <w:tcPr>
            <w:tcW w:w="2169" w:type="dxa"/>
          </w:tcPr>
          <w:p>
            <w:pPr>
              <w:pStyle w:val="CeldaAPA"/>
              <w:jc w:val="left"/>
            </w:pPr>
            <w:r>
              <w:rPr>
                <w:sz w:val="20"/>
                <w:szCs w:val="20"/>
              </w:rPr>
              <w:t xml:space="preserve">Procedimiento de no conformidades y acción correctiva</w:t>
            </w:r>
          </w:p>
        </w:tc>
        <w:tc>
          <w:tcPr>
            <w:tcW w:w="1604" w:type="dxa"/>
          </w:tcPr>
          <w:p>
            <w:pPr>
              <w:pStyle w:val="CeldaAPA"/>
            </w:pPr>
          </w:p>
        </w:tc>
        <w:tc>
          <w:tcPr>
            <w:tcW w:w="1251" w:type="dxa"/>
          </w:tcPr>
          <w:p>
            <w:pPr>
              <w:pStyle w:val="CeldaAPA"/>
            </w:pPr>
          </w:p>
        </w:tc>
        <w:tc>
          <w:tcPr>
            <w:tcW w:w="1604" w:type="dxa"/>
          </w:tcPr>
          <w:p>
            <w:pPr>
              <w:pStyle w:val="CeldaAPA"/>
            </w:pPr>
          </w:p>
        </w:tc>
        <w:tc>
          <w:tcPr>
            <w:tcW w:w="1822" w:type="dxa"/>
          </w:tcPr>
          <w:p>
            <w:pPr>
              <w:pStyle w:val="CeldaAPA"/>
            </w:pPr>
          </w:p>
        </w:tc>
        <w:tc>
          <w:tcPr>
            <w:tcW w:w="1873" w:type="dxa"/>
          </w:tcPr>
          <w:p>
            <w:pPr>
              <w:pStyle w:val="CeldaAPA"/>
            </w:pPr>
          </w:p>
        </w:tc>
      </w:tr>
      <w:tr>
        <w:tc>
          <w:tcPr>
            <w:tcW w:w="666" w:type="dxa"/>
          </w:tcPr>
          <w:p>
            <w:pPr>
              <w:pStyle w:val="CeldaAPA"/>
              <w:jc w:val="center"/>
            </w:pPr>
            <w:r>
              <w:rPr>
                <w:sz w:val="20"/>
                <w:szCs w:val="20"/>
              </w:rPr>
              <w:t xml:space="preserve">14</w:t>
            </w:r>
          </w:p>
        </w:tc>
        <w:tc>
          <w:tcPr>
            <w:tcW w:w="2169" w:type="dxa"/>
          </w:tcPr>
          <w:p>
            <w:pPr>
              <w:pStyle w:val="CeldaAPA"/>
              <w:jc w:val="left"/>
            </w:pPr>
            <w:r>
              <w:rPr>
                <w:sz w:val="20"/>
                <w:szCs w:val="20"/>
              </w:rPr>
              <w:t xml:space="preserve">Registro de costos de la calidad (modelo PAF)</w:t>
            </w:r>
          </w:p>
        </w:tc>
        <w:tc>
          <w:tcPr>
            <w:tcW w:w="1604" w:type="dxa"/>
          </w:tcPr>
          <w:p>
            <w:pPr>
              <w:pStyle w:val="CeldaAPA"/>
            </w:pPr>
          </w:p>
        </w:tc>
        <w:tc>
          <w:tcPr>
            <w:tcW w:w="1251" w:type="dxa"/>
          </w:tcPr>
          <w:p>
            <w:pPr>
              <w:pStyle w:val="CeldaAPA"/>
            </w:pPr>
          </w:p>
        </w:tc>
        <w:tc>
          <w:tcPr>
            <w:tcW w:w="1604" w:type="dxa"/>
          </w:tcPr>
          <w:p>
            <w:pPr>
              <w:pStyle w:val="CeldaAPA"/>
            </w:pPr>
          </w:p>
        </w:tc>
        <w:tc>
          <w:tcPr>
            <w:tcW w:w="1822" w:type="dxa"/>
          </w:tcPr>
          <w:p>
            <w:pPr>
              <w:pStyle w:val="CeldaAPA"/>
            </w:pPr>
          </w:p>
        </w:tc>
        <w:tc>
          <w:tcPr>
            <w:tcW w:w="1873" w:type="dxa"/>
          </w:tcPr>
          <w:p>
            <w:pPr>
              <w:pStyle w:val="CeldaAPA"/>
            </w:pPr>
          </w:p>
        </w:tc>
      </w:tr>
      <w:tr>
        <w:tc>
          <w:tcPr>
            <w:tcW w:w="666" w:type="dxa"/>
          </w:tcPr>
          <w:p>
            <w:pPr>
              <w:pStyle w:val="CeldaAPA"/>
              <w:jc w:val="center"/>
            </w:pPr>
            <w:r>
              <w:rPr>
                <w:sz w:val="20"/>
                <w:szCs w:val="20"/>
              </w:rPr>
              <w:t xml:space="preserve">15</w:t>
            </w:r>
          </w:p>
        </w:tc>
        <w:tc>
          <w:tcPr>
            <w:tcW w:w="2169" w:type="dxa"/>
          </w:tcPr>
          <w:p>
            <w:pPr>
              <w:pStyle w:val="CeldaAPA"/>
              <w:jc w:val="left"/>
            </w:pPr>
            <w:r>
              <w:rPr>
                <w:sz w:val="20"/>
                <w:szCs w:val="20"/>
              </w:rPr>
              <w:t xml:space="preserve">Indicadores, seguimiento y auditoría interna</w:t>
            </w:r>
          </w:p>
        </w:tc>
        <w:tc>
          <w:tcPr>
            <w:tcW w:w="1604" w:type="dxa"/>
          </w:tcPr>
          <w:p>
            <w:pPr>
              <w:pStyle w:val="CeldaAPA"/>
            </w:pPr>
          </w:p>
        </w:tc>
        <w:tc>
          <w:tcPr>
            <w:tcW w:w="1251" w:type="dxa"/>
          </w:tcPr>
          <w:p>
            <w:pPr>
              <w:pStyle w:val="CeldaAPA"/>
            </w:pPr>
          </w:p>
        </w:tc>
        <w:tc>
          <w:tcPr>
            <w:tcW w:w="1604" w:type="dxa"/>
          </w:tcPr>
          <w:p>
            <w:pPr>
              <w:pStyle w:val="CeldaAPA"/>
            </w:pPr>
          </w:p>
        </w:tc>
        <w:tc>
          <w:tcPr>
            <w:tcW w:w="1822" w:type="dxa"/>
          </w:tcPr>
          <w:p>
            <w:pPr>
              <w:pStyle w:val="CeldaAPA"/>
            </w:pPr>
          </w:p>
        </w:tc>
        <w:tc>
          <w:tcPr>
            <w:tcW w:w="1873" w:type="dxa"/>
          </w:tcPr>
          <w:p>
            <w:pPr>
              <w:pStyle w:val="CeldaAPA"/>
            </w:pPr>
          </w:p>
        </w:tc>
      </w:tr>
      <w:tr>
        <w:tc>
          <w:tcPr>
            <w:tcW w:w="666" w:type="dxa"/>
          </w:tcPr>
          <w:p>
            <w:pPr>
              <w:pStyle w:val="CeldaAPA"/>
              <w:jc w:val="center"/>
            </w:pPr>
            <w:r>
              <w:rPr>
                <w:sz w:val="20"/>
                <w:szCs w:val="20"/>
              </w:rPr>
              <w:t xml:space="preserve">16</w:t>
            </w:r>
          </w:p>
        </w:tc>
        <w:tc>
          <w:tcPr>
            <w:tcW w:w="2169" w:type="dxa"/>
          </w:tcPr>
          <w:p>
            <w:pPr>
              <w:pStyle w:val="CeldaAPA"/>
              <w:jc w:val="left"/>
            </w:pPr>
            <w:r>
              <w:rPr>
                <w:sz w:val="20"/>
                <w:szCs w:val="20"/>
              </w:rPr>
              <w:t xml:space="preserve">C.1 Lista de verificación ISO 9001:2026</w:t>
            </w:r>
          </w:p>
        </w:tc>
        <w:tc>
          <w:tcPr>
            <w:tcW w:w="1604" w:type="dxa"/>
          </w:tcPr>
          <w:p>
            <w:pPr>
              <w:pStyle w:val="CeldaAPA"/>
            </w:pPr>
          </w:p>
        </w:tc>
        <w:tc>
          <w:tcPr>
            <w:tcW w:w="1251" w:type="dxa"/>
          </w:tcPr>
          <w:p>
            <w:pPr>
              <w:pStyle w:val="CeldaAPA"/>
            </w:pPr>
          </w:p>
        </w:tc>
        <w:tc>
          <w:tcPr>
            <w:tcW w:w="1604" w:type="dxa"/>
          </w:tcPr>
          <w:p>
            <w:pPr>
              <w:pStyle w:val="CeldaAPA"/>
            </w:pPr>
          </w:p>
        </w:tc>
        <w:tc>
          <w:tcPr>
            <w:tcW w:w="1822" w:type="dxa"/>
          </w:tcPr>
          <w:p>
            <w:pPr>
              <w:pStyle w:val="CeldaAPA"/>
            </w:pPr>
          </w:p>
        </w:tc>
        <w:tc>
          <w:tcPr>
            <w:tcW w:w="1873" w:type="dxa"/>
          </w:tcPr>
          <w:p>
            <w:pPr>
              <w:pStyle w:val="CeldaAPA"/>
            </w:pPr>
          </w:p>
        </w:tc>
      </w:tr>
      <w:tr>
        <w:tc>
          <w:tcPr>
            <w:tcW w:w="666" w:type="dxa"/>
          </w:tcPr>
          <w:p>
            <w:pPr>
              <w:pStyle w:val="CeldaAPA"/>
              <w:jc w:val="center"/>
            </w:pPr>
            <w:r>
              <w:rPr>
                <w:sz w:val="20"/>
                <w:szCs w:val="20"/>
              </w:rPr>
              <w:t xml:space="preserve">17</w:t>
            </w:r>
          </w:p>
        </w:tc>
        <w:tc>
          <w:tcPr>
            <w:tcW w:w="2169" w:type="dxa"/>
          </w:tcPr>
          <w:p>
            <w:pPr>
              <w:pStyle w:val="CeldaAPA"/>
              <w:jc w:val="left"/>
            </w:pPr>
            <w:r>
              <w:rPr>
                <w:sz w:val="20"/>
                <w:szCs w:val="20"/>
              </w:rPr>
              <w:t xml:space="preserve">C.2 Fichas PPI de liberación por paño</w:t>
            </w:r>
          </w:p>
        </w:tc>
        <w:tc>
          <w:tcPr>
            <w:tcW w:w="1604" w:type="dxa"/>
          </w:tcPr>
          <w:p>
            <w:pPr>
              <w:pStyle w:val="CeldaAPA"/>
            </w:pPr>
          </w:p>
        </w:tc>
        <w:tc>
          <w:tcPr>
            <w:tcW w:w="1251" w:type="dxa"/>
          </w:tcPr>
          <w:p>
            <w:pPr>
              <w:pStyle w:val="CeldaAPA"/>
            </w:pPr>
          </w:p>
        </w:tc>
        <w:tc>
          <w:tcPr>
            <w:tcW w:w="1604" w:type="dxa"/>
          </w:tcPr>
          <w:p>
            <w:pPr>
              <w:pStyle w:val="CeldaAPA"/>
            </w:pPr>
          </w:p>
        </w:tc>
        <w:tc>
          <w:tcPr>
            <w:tcW w:w="1822" w:type="dxa"/>
          </w:tcPr>
          <w:p>
            <w:pPr>
              <w:pStyle w:val="CeldaAPA"/>
            </w:pPr>
          </w:p>
        </w:tc>
        <w:tc>
          <w:tcPr>
            <w:tcW w:w="1873" w:type="dxa"/>
          </w:tcPr>
          <w:p>
            <w:pPr>
              <w:pStyle w:val="CeldaAPA"/>
            </w:pPr>
          </w:p>
        </w:tc>
      </w:tr>
      <w:tr>
        <w:tc>
          <w:tcPr>
            <w:tcW w:w="666" w:type="dxa"/>
          </w:tcPr>
          <w:p>
            <w:pPr>
              <w:pStyle w:val="CeldaAPA"/>
              <w:jc w:val="center"/>
            </w:pPr>
            <w:r>
              <w:rPr>
                <w:sz w:val="20"/>
                <w:szCs w:val="20"/>
              </w:rPr>
              <w:t xml:space="preserve">18</w:t>
            </w:r>
          </w:p>
        </w:tc>
        <w:tc>
          <w:tcPr>
            <w:tcW w:w="2169" w:type="dxa"/>
          </w:tcPr>
          <w:p>
            <w:pPr>
              <w:pStyle w:val="CeldaAPA"/>
              <w:jc w:val="left"/>
            </w:pPr>
            <w:r>
              <w:rPr>
                <w:sz w:val="20"/>
                <w:szCs w:val="20"/>
              </w:rPr>
              <w:t xml:space="preserve">C.3 Ficha de recepción de materiales</w:t>
            </w:r>
          </w:p>
        </w:tc>
        <w:tc>
          <w:tcPr>
            <w:tcW w:w="1604" w:type="dxa"/>
          </w:tcPr>
          <w:p>
            <w:pPr>
              <w:pStyle w:val="CeldaAPA"/>
            </w:pPr>
          </w:p>
        </w:tc>
        <w:tc>
          <w:tcPr>
            <w:tcW w:w="1251" w:type="dxa"/>
          </w:tcPr>
          <w:p>
            <w:pPr>
              <w:pStyle w:val="CeldaAPA"/>
            </w:pPr>
          </w:p>
        </w:tc>
        <w:tc>
          <w:tcPr>
            <w:tcW w:w="1604" w:type="dxa"/>
          </w:tcPr>
          <w:p>
            <w:pPr>
              <w:pStyle w:val="CeldaAPA"/>
            </w:pPr>
          </w:p>
        </w:tc>
        <w:tc>
          <w:tcPr>
            <w:tcW w:w="1822" w:type="dxa"/>
          </w:tcPr>
          <w:p>
            <w:pPr>
              <w:pStyle w:val="CeldaAPA"/>
            </w:pPr>
          </w:p>
        </w:tc>
        <w:tc>
          <w:tcPr>
            <w:tcW w:w="1873" w:type="dxa"/>
          </w:tcPr>
          <w:p>
            <w:pPr>
              <w:pStyle w:val="CeldaAPA"/>
            </w:pPr>
          </w:p>
        </w:tc>
      </w:tr>
      <w:tr>
        <w:tc>
          <w:tcPr>
            <w:tcW w:w="666" w:type="dxa"/>
          </w:tcPr>
          <w:p>
            <w:pPr>
              <w:pStyle w:val="CeldaAPA"/>
              <w:jc w:val="center"/>
            </w:pPr>
            <w:r>
              <w:rPr>
                <w:sz w:val="20"/>
                <w:szCs w:val="20"/>
              </w:rPr>
              <w:t xml:space="preserve">19</w:t>
            </w:r>
          </w:p>
        </w:tc>
        <w:tc>
          <w:tcPr>
            <w:tcW w:w="2169" w:type="dxa"/>
          </w:tcPr>
          <w:p>
            <w:pPr>
              <w:pStyle w:val="CeldaAPA"/>
              <w:jc w:val="left"/>
            </w:pPr>
            <w:r>
              <w:rPr>
                <w:sz w:val="20"/>
                <w:szCs w:val="20"/>
              </w:rPr>
              <w:t xml:space="preserve">C.4 Control de materiales y conciliación</w:t>
            </w:r>
          </w:p>
        </w:tc>
        <w:tc>
          <w:tcPr>
            <w:tcW w:w="1604" w:type="dxa"/>
          </w:tcPr>
          <w:p>
            <w:pPr>
              <w:pStyle w:val="CeldaAPA"/>
            </w:pPr>
          </w:p>
        </w:tc>
        <w:tc>
          <w:tcPr>
            <w:tcW w:w="1251" w:type="dxa"/>
          </w:tcPr>
          <w:p>
            <w:pPr>
              <w:pStyle w:val="CeldaAPA"/>
            </w:pPr>
          </w:p>
        </w:tc>
        <w:tc>
          <w:tcPr>
            <w:tcW w:w="1604" w:type="dxa"/>
          </w:tcPr>
          <w:p>
            <w:pPr>
              <w:pStyle w:val="CeldaAPA"/>
            </w:pPr>
          </w:p>
        </w:tc>
        <w:tc>
          <w:tcPr>
            <w:tcW w:w="1822" w:type="dxa"/>
          </w:tcPr>
          <w:p>
            <w:pPr>
              <w:pStyle w:val="CeldaAPA"/>
            </w:pPr>
          </w:p>
        </w:tc>
        <w:tc>
          <w:tcPr>
            <w:tcW w:w="1873" w:type="dxa"/>
          </w:tcPr>
          <w:p>
            <w:pPr>
              <w:pStyle w:val="CeldaAPA"/>
            </w:pPr>
          </w:p>
        </w:tc>
      </w:tr>
      <w:tr>
        <w:tc>
          <w:tcPr>
            <w:tcW w:w="666" w:type="dxa"/>
          </w:tcPr>
          <w:p>
            <w:pPr>
              <w:pStyle w:val="CeldaAPA"/>
              <w:jc w:val="center"/>
            </w:pPr>
            <w:r>
              <w:rPr>
                <w:sz w:val="20"/>
                <w:szCs w:val="20"/>
              </w:rPr>
              <w:t xml:space="preserve">20</w:t>
            </w:r>
          </w:p>
        </w:tc>
        <w:tc>
          <w:tcPr>
            <w:tcW w:w="2169" w:type="dxa"/>
          </w:tcPr>
          <w:p>
            <w:pPr>
              <w:pStyle w:val="CeldaAPA"/>
              <w:jc w:val="left"/>
            </w:pPr>
            <w:r>
              <w:rPr>
                <w:sz w:val="20"/>
                <w:szCs w:val="20"/>
              </w:rPr>
              <w:t xml:space="preserve">C.5 Registro de no conformidades</w:t>
            </w:r>
          </w:p>
        </w:tc>
        <w:tc>
          <w:tcPr>
            <w:tcW w:w="1604" w:type="dxa"/>
          </w:tcPr>
          <w:p>
            <w:pPr>
              <w:pStyle w:val="CeldaAPA"/>
            </w:pPr>
          </w:p>
        </w:tc>
        <w:tc>
          <w:tcPr>
            <w:tcW w:w="1251" w:type="dxa"/>
          </w:tcPr>
          <w:p>
            <w:pPr>
              <w:pStyle w:val="CeldaAPA"/>
            </w:pPr>
          </w:p>
        </w:tc>
        <w:tc>
          <w:tcPr>
            <w:tcW w:w="1604" w:type="dxa"/>
          </w:tcPr>
          <w:p>
            <w:pPr>
              <w:pStyle w:val="CeldaAPA"/>
            </w:pPr>
          </w:p>
        </w:tc>
        <w:tc>
          <w:tcPr>
            <w:tcW w:w="1822" w:type="dxa"/>
          </w:tcPr>
          <w:p>
            <w:pPr>
              <w:pStyle w:val="CeldaAPA"/>
            </w:pPr>
          </w:p>
        </w:tc>
        <w:tc>
          <w:tcPr>
            <w:tcW w:w="1873" w:type="dxa"/>
          </w:tcPr>
          <w:p>
            <w:pPr>
              <w:pStyle w:val="CeldaAPA"/>
            </w:pPr>
          </w:p>
        </w:tc>
      </w:tr>
      <w:tr>
        <w:tc>
          <w:tcPr>
            <w:tcW w:w="666" w:type="dxa"/>
          </w:tcPr>
          <w:p>
            <w:pPr>
              <w:pStyle w:val="CeldaAPA"/>
              <w:jc w:val="center"/>
            </w:pPr>
            <w:r>
              <w:rPr>
                <w:sz w:val="20"/>
                <w:szCs w:val="20"/>
              </w:rPr>
              <w:t xml:space="preserve">21</w:t>
            </w:r>
          </w:p>
        </w:tc>
        <w:tc>
          <w:tcPr>
            <w:tcW w:w="2169" w:type="dxa"/>
          </w:tcPr>
          <w:p>
            <w:pPr>
              <w:pStyle w:val="CeldaAPA"/>
              <w:jc w:val="left"/>
            </w:pPr>
            <w:r>
              <w:rPr>
                <w:sz w:val="20"/>
                <w:szCs w:val="20"/>
              </w:rPr>
              <w:t xml:space="preserve">C.6 Planilla de costos de la calidad</w:t>
            </w:r>
          </w:p>
        </w:tc>
        <w:tc>
          <w:tcPr>
            <w:tcW w:w="1604" w:type="dxa"/>
          </w:tcPr>
          <w:p>
            <w:pPr>
              <w:pStyle w:val="CeldaAPA"/>
            </w:pPr>
          </w:p>
        </w:tc>
        <w:tc>
          <w:tcPr>
            <w:tcW w:w="1251" w:type="dxa"/>
          </w:tcPr>
          <w:p>
            <w:pPr>
              <w:pStyle w:val="CeldaAPA"/>
            </w:pPr>
          </w:p>
        </w:tc>
        <w:tc>
          <w:tcPr>
            <w:tcW w:w="1604" w:type="dxa"/>
          </w:tcPr>
          <w:p>
            <w:pPr>
              <w:pStyle w:val="CeldaAPA"/>
            </w:pPr>
          </w:p>
        </w:tc>
        <w:tc>
          <w:tcPr>
            <w:tcW w:w="1822" w:type="dxa"/>
          </w:tcPr>
          <w:p>
            <w:pPr>
              <w:pStyle w:val="CeldaAPA"/>
            </w:pPr>
          </w:p>
        </w:tc>
        <w:tc>
          <w:tcPr>
            <w:tcW w:w="1873" w:type="dxa"/>
          </w:tcPr>
          <w:p>
            <w:pPr>
              <w:pStyle w:val="CeldaAPA"/>
            </w:pPr>
          </w:p>
        </w:tc>
      </w:tr>
      <w:tr>
        <w:tc>
          <w:tcPr>
            <w:tcW w:w="666" w:type="dxa"/>
          </w:tcPr>
          <w:p>
            <w:pPr>
              <w:pStyle w:val="CeldaAPA"/>
              <w:jc w:val="center"/>
            </w:pPr>
            <w:r>
              <w:rPr>
                <w:sz w:val="20"/>
                <w:szCs w:val="20"/>
              </w:rPr>
              <w:t xml:space="preserve">22</w:t>
            </w:r>
          </w:p>
        </w:tc>
        <w:tc>
          <w:tcPr>
            <w:tcW w:w="2169" w:type="dxa"/>
          </w:tcPr>
          <w:p>
            <w:pPr>
              <w:pStyle w:val="CeldaAPA"/>
              <w:jc w:val="left"/>
            </w:pPr>
            <w:r>
              <w:rPr>
                <w:sz w:val="20"/>
                <w:szCs w:val="20"/>
              </w:rPr>
              <w:t xml:space="preserve">C.7 Guía de entrevista semiestructurada</w:t>
            </w:r>
          </w:p>
        </w:tc>
        <w:tc>
          <w:tcPr>
            <w:tcW w:w="1604" w:type="dxa"/>
          </w:tcPr>
          <w:p>
            <w:pPr>
              <w:pStyle w:val="CeldaAPA"/>
            </w:pPr>
          </w:p>
        </w:tc>
        <w:tc>
          <w:tcPr>
            <w:tcW w:w="1251" w:type="dxa"/>
          </w:tcPr>
          <w:p>
            <w:pPr>
              <w:pStyle w:val="CeldaAPA"/>
            </w:pPr>
          </w:p>
        </w:tc>
        <w:tc>
          <w:tcPr>
            <w:tcW w:w="1604" w:type="dxa"/>
          </w:tcPr>
          <w:p>
            <w:pPr>
              <w:pStyle w:val="CeldaAPA"/>
            </w:pPr>
          </w:p>
        </w:tc>
        <w:tc>
          <w:tcPr>
            <w:tcW w:w="1822" w:type="dxa"/>
          </w:tcPr>
          <w:p>
            <w:pPr>
              <w:pStyle w:val="CeldaAPA"/>
            </w:pPr>
          </w:p>
        </w:tc>
        <w:tc>
          <w:tcPr>
            <w:tcW w:w="1873" w:type="dxa"/>
          </w:tcPr>
          <w:p>
            <w:pPr>
              <w:pStyle w:val="CeldaAPA"/>
            </w:pPr>
          </w:p>
        </w:tc>
      </w:tr>
    </w:tbl>
    <w:tbl>
      <w:tblPr>
        <w:tblStyle w:val="Table"/>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0" w:lastRow="0" w:firstColumn="0" w:lastColumn="0" w:noHBand="0" w:noVBand="0" w:val="0000"/>
      </w:tblPr>
      <w:tblGrid>
        <w:gridCol w:w="9360"/>
      </w:tblGrid>
      <w:tr>
        <w:tc>
          <w:tcPr>
            <w:tcW w:w="9360" w:type="dxa"/>
          </w:tcPr>
          <w:p>
            <w:pPr>
              <w:pStyle w:val="CeldaAPA"/>
              <w:jc w:val="left"/>
            </w:pPr>
            <w:r>
              <w:rPr>
                <w:bCs/>
                <w:b/>
                <w:sz w:val="20"/>
                <w:szCs w:val="20"/>
              </w:rPr>
              <w:t xml:space="preserve">4. Opinión de aplicabilidad del SGC:</w:t>
            </w:r>
            <w:r>
              <w:rPr>
                <w:sz w:val="20"/>
                <w:szCs w:val="20"/>
              </w:rPr>
              <w:t xml:space="preserve"> </w:t>
            </w:r>
            <w:r>
              <w:rPr>
                <w:sz w:val="20"/>
                <w:szCs w:val="20"/>
              </w:rPr>
              <w:t xml:space="preserve">☐ Aplicable ☐ Aplicable después de corregir ☐ No aplicable</w:t>
            </w:r>
          </w:p>
        </w:tc>
      </w:tr>
      <w:tr>
        <w:tc>
          <w:tcPr>
            <w:tcW w:w="9360" w:type="dxa"/>
          </w:tcPr>
          <w:p>
            <w:pPr>
              <w:pStyle w:val="CeldaAPA"/>
              <w:jc w:val="left"/>
            </w:pPr>
            <w:r>
              <w:rPr>
                <w:bCs/>
                <w:b/>
                <w:sz w:val="20"/>
                <w:szCs w:val="20"/>
              </w:rPr>
              <w:t xml:space="preserve">Observaciones y sugerencias:</w:t>
            </w:r>
          </w:p>
        </w:tc>
      </w:tr>
      <w:tr>
        <w:tc>
          <w:tcPr>
            <w:tcW w:w="9360" w:type="dxa"/>
          </w:tcPr>
          <w:p>
            <w:pPr>
              <w:pStyle w:val="CeldaAPA"/>
              <w:jc w:val="left"/>
            </w:pPr>
            <w:r>
              <w:rPr>
                <w:sz w:val="20"/>
                <w:szCs w:val="20"/>
              </w:rPr>
              <w:t xml:space="preserve">_________________ _________________ _________________</w:t>
            </w:r>
          </w:p>
        </w:tc>
      </w:tr>
    </w:tbl>
    <w:p>
      <w:pPr>
        <w:pStyle w:val="BodyText"/>
        <w:spacing w:before="240"/>
      </w:pPr>
      <w:r>
        <w:rPr>
          <w:bCs/>
          <w:b/>
        </w:rPr>
        <w:t xml:space="preserve">5. Cálculo del coeficiente V de Aiken (para el investigador).</w:t>
      </w:r>
      <w:r>
        <w:t xml:space="preserve"> </w:t>
      </w:r>
      <w:r>
        <w:t xml:space="preserve">Para cada componente y criterio se calcula</w:t>
      </w:r>
    </w:p>
    <w:p>
      <w:pPr>
        <w:pStyle w:val="EcuacionAPA"/>
      </w:pPr>
      <m:oMathPara>
        <m:oMathParaPr>
          <m:jc m:val="center"/>
        </m:oMathParaPr>
        <m:oMath>
          <m:r>
            <m:t>V</m:t>
          </m:r>
          <m:r>
            <m:rPr>
              <m:sty m:val="p"/>
            </m:rPr>
            <m:t>=</m:t>
          </m:r>
          <m:f>
            <m:fPr>
              <m:type m:val="bar"/>
            </m:fPr>
            <m:num>
              <m:r>
                <m:t>S</m:t>
              </m:r>
            </m:num>
            <m:den>
              <m:r>
                <m:t>n</m:t>
              </m:r>
              <m:r>
                <m:t> </m:t>
              </m:r>
              <m:d>
                <m:dPr>
                  <m:begChr m:val="("/>
                  <m:endChr m:val=")"/>
                  <m:sepChr m:val=""/>
                  <m:grow/>
                </m:dPr>
                <m:e>
                  <m:r>
                    <m:t>c</m:t>
                  </m:r>
                  <m:r>
                    <m:rPr>
                      <m:sty m:val="p"/>
                    </m:rPr>
                    <m:t>−</m:t>
                  </m:r>
                  <m:r>
                    <m:t>1</m:t>
                  </m:r>
                </m:e>
              </m:d>
            </m:den>
          </m:f>
          <m:r>
            <m:rPr>
              <m:sty m:val="p"/>
            </m:rPr>
            <m:t>,</m:t>
          </m:r>
          <m:r>
            <m:t>  </m:t>
          </m:r>
          <m:r>
            <m:t>S</m:t>
          </m:r>
          <m:r>
            <m:rPr>
              <m:sty m:val="p"/>
            </m:rPr>
            <m:t>=</m:t>
          </m:r>
          <m:nary>
            <m:naryPr>
              <m:chr m:val="∑"/>
              <m:limLoc m:val="undOvr"/>
              <m:subHide m:val="off"/>
              <m:supHide m:val="off"/>
            </m:naryPr>
            <m:sub>
              <m:r>
                <m:t>i</m:t>
              </m:r>
              <m:r>
                <m:rPr>
                  <m:sty m:val="p"/>
                </m:rPr>
                <m:t>=</m:t>
              </m:r>
              <m:r>
                <m:t>1</m:t>
              </m:r>
            </m:sub>
            <m:sup>
              <m:r>
                <m:t>n</m:t>
              </m:r>
            </m:sup>
            <m:e>
              <m:d>
                <m:dPr>
                  <m:begChr m:val="("/>
                  <m:endChr m:val=")"/>
                  <m:sepChr m:val=""/>
                  <m:grow/>
                </m:dPr>
                <m:e>
                  <m:sSub>
                    <m:e>
                      <m:r>
                        <m:t>x</m:t>
                      </m:r>
                    </m:e>
                    <m:sub>
                      <m:r>
                        <m:t>i</m:t>
                      </m:r>
                    </m:sub>
                  </m:sSub>
                  <m:r>
                    <m:rPr>
                      <m:sty m:val="p"/>
                    </m:rPr>
                    <m:t>−</m:t>
                  </m:r>
                  <m:r>
                    <m:t>l</m:t>
                  </m:r>
                </m:e>
              </m:d>
            </m:e>
          </m:nary>
        </m:oMath>
      </m:oMathPara>
    </w:p>
    <w:p>
      <w:pPr>
        <w:pStyle w:val="FirstParagraph"/>
        <w:ind w:firstLine="0"/>
      </w:pPr>
      <w:r>
        <w:t xml:space="preserve"/>
      </w:r>
      <w:r>
        <w:t xml:space="preserve"/>
      </w:r>
      <w:r>
        <w:t xml:space="preserve">donde</w:t>
      </w:r>
      <w:r>
        <w:t xml:space="preserve"> </w:t>
      </w:r>
      <m:oMath>
        <m:sSub>
          <m:e>
            <m:r>
              <m:t>x</m:t>
            </m:r>
          </m:e>
          <m:sub>
            <m:r>
              <m:t>i</m:t>
            </m:r>
          </m:sub>
        </m:sSub>
      </m:oMath>
      <w:r>
        <w:t xml:space="preserve"> </w:t>
      </w:r>
      <w:r>
        <w:t xml:space="preserve">es el puntaje del experto</w:t>
      </w:r>
      <w:r>
        <w:t xml:space="preserve"> </w:t>
      </w:r>
      <m:oMath>
        <m:r>
          <m:t>i</m:t>
        </m:r>
      </m:oMath>
      <w:r>
        <w:t xml:space="preserve">,</w:t>
      </w:r>
      <w:r>
        <w:t xml:space="preserve"> </w:t>
      </w:r>
      <m:oMath>
        <m:r>
          <m:t>l</m:t>
        </m:r>
      </m:oMath>
      <w:r>
        <w:t xml:space="preserve"> </w:t>
      </w:r>
      <w:r>
        <w:t xml:space="preserve">el valor mínimo de la escala (1),</w:t>
      </w:r>
      <w:r>
        <w:t xml:space="preserve"> </w:t>
      </w:r>
      <m:oMath>
        <m:r>
          <m:t>n</m:t>
        </m:r>
      </m:oMath>
      <w:r>
        <w:t xml:space="preserve"> </w:t>
      </w:r>
      <w:r>
        <w:t xml:space="preserve">el número de expertos y</w:t>
      </w:r>
      <w:r>
        <w:t xml:space="preserve"> </w:t>
      </w:r>
      <m:oMath>
        <m:r>
          <m:t>c</m:t>
        </m:r>
      </m:oMath>
      <w:r>
        <w:t xml:space="preserve"> </w:t>
      </w:r>
      <w:r>
        <w:t xml:space="preserve">el número de categorías de la escala (4). Con</w:t>
      </w:r>
      <w:r>
        <w:t xml:space="preserve"> </w:t>
      </w:r>
      <m:oMath>
        <m:r>
          <m:t>n</m:t>
        </m:r>
        <m:r>
          <m:rPr>
            <m:sty m:val="p"/>
          </m:rPr>
          <m:t>=</m:t>
        </m:r>
        <m:r>
          <m:t>5</m:t>
        </m:r>
      </m:oMath>
      <w:r>
        <w:t xml:space="preserve"> </w:t>
      </w:r>
      <w:r>
        <w:t xml:space="preserve">expertos,</w:t>
      </w:r>
      <w:r>
        <w:t xml:space="preserve"> </w:t>
      </w:r>
      <m:oMath>
        <m:r>
          <m:t>V</m:t>
        </m:r>
        <m:r>
          <m:rPr>
            <m:sty m:val="p"/>
          </m:rPr>
          <m:t>=</m:t>
        </m:r>
        <m:r>
          <m:t>S</m:t>
        </m:r>
        <m:r>
          <m:rPr>
            <m:sty m:val="p"/>
          </m:rPr>
          <m:t>/</m:t>
        </m:r>
        <m:r>
          <m:t>15</m:t>
        </m:r>
      </m:oMath>
      <w:r>
        <w:t xml:space="preserve">; con</w:t>
      </w:r>
      <w:r>
        <w:t xml:space="preserve"> </w:t>
      </w:r>
      <m:oMath>
        <m:r>
          <m:t>n</m:t>
        </m:r>
        <m:r>
          <m:rPr>
            <m:sty m:val="p"/>
          </m:rPr>
          <m:t>=</m:t>
        </m:r>
        <m:r>
          <m:t>3</m:t>
        </m:r>
      </m:oMath>
      <w:r>
        <w:t xml:space="preserve">,</w:t>
      </w:r>
      <w:r>
        <w:t xml:space="preserve"> </w:t>
      </w:r>
      <m:oMath>
        <m:r>
          <m:t>V</m:t>
        </m:r>
        <m:r>
          <m:rPr>
            <m:sty m:val="p"/>
          </m:rPr>
          <m:t>=</m:t>
        </m:r>
        <m:r>
          <m:t>S</m:t>
        </m:r>
        <m:r>
          <m:rPr>
            <m:sty m:val="p"/>
          </m:rPr>
          <m:t>/</m:t>
        </m:r>
        <m:r>
          <m:t>9</m:t>
        </m:r>
      </m:oMath>
      <w:r>
        <w:t xml:space="preserve">. Se aceptan los componentes con</w:t>
      </w:r>
      <w:r>
        <w:t xml:space="preserve"> </w:t>
      </w:r>
      <m:oMath>
        <m:r>
          <m:t>V</m:t>
        </m:r>
        <m:r>
          <m:rPr>
            <m:sty m:val="p"/>
          </m:rPr>
          <m:t>≥</m:t>
        </m:r>
        <m:r>
          <m:t>0</m:t>
        </m:r>
        <m:r>
          <m:rPr>
            <m:sty m:val="p"/>
          </m:rPr>
          <m:t>,</m:t>
        </m:r>
        <m:r>
          <m:t>70</m:t>
        </m:r>
      </m:oMath>
      <w:r>
        <w:t xml:space="preserve"> </w:t>
      </w:r>
      <w:r>
        <w:t xml:space="preserve">en cada criterio, y los demás se corrigen con las observaciones de los expertos (Sección 2.8).</w:t>
      </w:r>
    </w:p>
    <w:tbl>
      <w:tblPr>
        <w:tblStyle w:val="Table"/>
        <w:tblW w:w="9363"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0" w:lastRow="0" w:firstColumn="0" w:lastColumn="0" w:noHBand="0" w:noVBand="0" w:val="0000"/>
      </w:tblPr>
      <w:tblGrid>
        <w:gridCol w:w="666"/>
        <w:gridCol w:w="675"/>
        <w:gridCol w:w="675"/>
        <w:gridCol w:w="675"/>
        <w:gridCol w:w="675"/>
        <w:gridCol w:w="675"/>
        <w:gridCol w:w="675"/>
        <w:gridCol w:w="675"/>
        <w:gridCol w:w="675"/>
        <w:gridCol w:w="675"/>
        <w:gridCol w:w="675"/>
        <w:gridCol w:w="696"/>
        <w:gridCol w:w="1251"/>
      </w:tblGrid>
      <w:tr>
        <w:trPr>
          <w:cantSplit/>
          <w:tblHeader/>
        </w:trPr>
        <w:tc>
          <w:tcPr>
            <w:tcW w:w="666" w:type="dxa"/>
            <w:vMerge w:val="restart"/>
          </w:tcPr>
          <w:p>
            <w:pPr>
              <w:pStyle w:val="CeldaAPA"/>
              <w:jc w:val="center"/>
            </w:pPr>
            <w:r>
              <w:rPr>
                <w:bCs/>
                <w:b/>
                <w:sz w:val="20"/>
                <w:szCs w:val="20"/>
              </w:rPr>
              <w:t xml:space="preserve">N.</w:t>
            </w:r>
            <w:r>
              <w:rPr>
                <w:vertAlign w:val="superscript"/>
                <w:bCs/>
                <w:b/>
                <w:sz w:val="20"/>
                <w:szCs w:val="20"/>
              </w:rPr>
              <w:t xml:space="preserve">o</w:t>
            </w:r>
          </w:p>
        </w:tc>
        <w:tc>
          <w:tcPr>
            <w:tcW w:w="1350" w:type="dxa"/>
            <w:gridSpan w:val="2"/>
          </w:tcPr>
          <w:p>
            <w:pPr>
              <w:pStyle w:val="CeldaAPA"/>
              <w:jc w:val="center"/>
            </w:pPr>
            <w:r>
              <w:rPr>
                <w:bCs/>
                <w:b/>
                <w:sz w:val="20"/>
                <w:szCs w:val="20"/>
              </w:rPr>
              <w:t xml:space="preserve">Pertinencia</w:t>
            </w:r>
          </w:p>
        </w:tc>
        <w:tc>
          <w:tcPr>
            <w:tcW w:w="1350" w:type="dxa"/>
            <w:gridSpan w:val="2"/>
          </w:tcPr>
          <w:p>
            <w:pPr>
              <w:pStyle w:val="CeldaAPA"/>
              <w:jc w:val="center"/>
            </w:pPr>
            <w:r>
              <w:rPr>
                <w:bCs/>
                <w:b/>
                <w:sz w:val="20"/>
                <w:szCs w:val="20"/>
              </w:rPr>
              <w:t xml:space="preserve">Claridad</w:t>
            </w:r>
          </w:p>
        </w:tc>
        <w:tc>
          <w:tcPr>
            <w:tcW w:w="1350" w:type="dxa"/>
            <w:gridSpan w:val="2"/>
          </w:tcPr>
          <w:p>
            <w:pPr>
              <w:pStyle w:val="CeldaAPA"/>
              <w:jc w:val="center"/>
            </w:pPr>
            <w:r>
              <w:rPr>
                <w:bCs/>
                <w:b/>
                <w:sz w:val="20"/>
                <w:szCs w:val="20"/>
              </w:rPr>
              <w:t xml:space="preserve">Suficiencia</w:t>
            </w:r>
          </w:p>
        </w:tc>
        <w:tc>
          <w:tcPr>
            <w:tcW w:w="1350" w:type="dxa"/>
            <w:gridSpan w:val="2"/>
          </w:tcPr>
          <w:p>
            <w:pPr>
              <w:pStyle w:val="CeldaAPA"/>
              <w:jc w:val="center"/>
            </w:pPr>
            <w:r>
              <w:rPr>
                <w:bCs/>
                <w:b/>
                <w:sz w:val="20"/>
                <w:szCs w:val="20"/>
              </w:rPr>
              <w:t xml:space="preserve">Aplicabilidad</w:t>
            </w:r>
          </w:p>
        </w:tc>
        <w:tc>
          <w:tcPr>
            <w:tcW w:w="1350" w:type="dxa"/>
            <w:gridSpan w:val="2"/>
          </w:tcPr>
          <w:p>
            <w:pPr>
              <w:pStyle w:val="CeldaAPA"/>
              <w:jc w:val="center"/>
            </w:pPr>
            <w:r>
              <w:rPr>
                <w:bCs/>
                <w:b/>
                <w:sz w:val="20"/>
                <w:szCs w:val="20"/>
              </w:rPr>
              <w:t xml:space="preserve">Global</w:t>
            </w:r>
          </w:p>
        </w:tc>
        <w:tc>
          <w:tcPr>
            <w:tcW w:w="696" w:type="dxa"/>
            <w:vMerge w:val="restart"/>
          </w:tcPr>
          <w:p>
            <w:pPr>
              <w:pStyle w:val="CeldaAPA"/>
              <w:jc w:val="center"/>
            </w:pPr>
            <m:oMath>
              <m:r>
                <m:t>n</m:t>
              </m:r>
            </m:oMath>
          </w:p>
        </w:tc>
        <w:tc>
          <w:tcPr>
            <w:tcW w:w="1251" w:type="dxa"/>
            <w:vMerge w:val="restart"/>
          </w:tcPr>
          <w:p>
            <w:pPr>
              <w:pStyle w:val="CeldaAPA"/>
              <w:jc w:val="left"/>
            </w:pPr>
            <w:r>
              <w:rPr>
                <w:bCs/>
                <w:b/>
                <w:sz w:val="20"/>
                <w:szCs w:val="20"/>
              </w:rPr>
              <w:t xml:space="preserve">Decisión</w:t>
            </w:r>
          </w:p>
        </w:tc>
      </w:tr>
      <w:tr>
        <w:trPr>
          <w:cantSplit/>
          <w:tblHeader/>
        </w:trPr>
        <w:tc>
          <w:tcPr>
            <w:tcW w:w="666" w:type="dxa"/>
            <w:gridSpan w:val="1"/>
            <w:vMerge w:val="continue"/>
          </w:tcPr>
          <w:p>
            <w:pPr>
              <w:pStyle w:val="CeldaAPA"/>
            </w:pPr>
          </w:p>
        </w:tc>
        <w:tc>
          <w:tcPr>
            <w:tcW w:w="675" w:type="dxa"/>
          </w:tcPr>
          <w:p>
            <w:pPr>
              <w:pStyle w:val="CeldaAPA"/>
              <w:jc w:val="center"/>
            </w:pPr>
            <m:oMath>
              <m:r>
                <m:t>S</m:t>
              </m:r>
            </m:oMath>
          </w:p>
        </w:tc>
        <w:tc>
          <w:tcPr>
            <w:tcW w:w="675" w:type="dxa"/>
          </w:tcPr>
          <w:p>
            <w:pPr>
              <w:pStyle w:val="CeldaAPA"/>
              <w:jc w:val="center"/>
            </w:pPr>
            <m:oMath>
              <m:r>
                <m:t>V</m:t>
              </m:r>
            </m:oMath>
          </w:p>
        </w:tc>
        <w:tc>
          <w:tcPr>
            <w:tcW w:w="675" w:type="dxa"/>
          </w:tcPr>
          <w:p>
            <w:pPr>
              <w:pStyle w:val="CeldaAPA"/>
              <w:jc w:val="center"/>
            </w:pPr>
            <m:oMath>
              <m:r>
                <m:t>S</m:t>
              </m:r>
            </m:oMath>
          </w:p>
        </w:tc>
        <w:tc>
          <w:tcPr>
            <w:tcW w:w="675" w:type="dxa"/>
          </w:tcPr>
          <w:p>
            <w:pPr>
              <w:pStyle w:val="CeldaAPA"/>
              <w:jc w:val="center"/>
            </w:pPr>
            <m:oMath>
              <m:r>
                <m:t>V</m:t>
              </m:r>
            </m:oMath>
          </w:p>
        </w:tc>
        <w:tc>
          <w:tcPr>
            <w:tcW w:w="675" w:type="dxa"/>
          </w:tcPr>
          <w:p>
            <w:pPr>
              <w:pStyle w:val="CeldaAPA"/>
              <w:jc w:val="center"/>
            </w:pPr>
            <m:oMath>
              <m:r>
                <m:t>S</m:t>
              </m:r>
            </m:oMath>
          </w:p>
        </w:tc>
        <w:tc>
          <w:tcPr>
            <w:tcW w:w="675" w:type="dxa"/>
          </w:tcPr>
          <w:p>
            <w:pPr>
              <w:pStyle w:val="CeldaAPA"/>
              <w:jc w:val="center"/>
            </w:pPr>
            <m:oMath>
              <m:r>
                <m:t>V</m:t>
              </m:r>
            </m:oMath>
          </w:p>
        </w:tc>
        <w:tc>
          <w:tcPr>
            <w:tcW w:w="675" w:type="dxa"/>
          </w:tcPr>
          <w:p>
            <w:pPr>
              <w:pStyle w:val="CeldaAPA"/>
              <w:jc w:val="center"/>
            </w:pPr>
            <m:oMath>
              <m:r>
                <m:t>S</m:t>
              </m:r>
            </m:oMath>
          </w:p>
        </w:tc>
        <w:tc>
          <w:tcPr>
            <w:tcW w:w="675" w:type="dxa"/>
          </w:tcPr>
          <w:p>
            <w:pPr>
              <w:pStyle w:val="CeldaAPA"/>
              <w:jc w:val="center"/>
            </w:pPr>
            <m:oMath>
              <m:r>
                <m:t>V</m:t>
              </m:r>
            </m:oMath>
          </w:p>
        </w:tc>
        <w:tc>
          <w:tcPr>
            <w:tcW w:w="675" w:type="dxa"/>
          </w:tcPr>
          <w:p>
            <w:pPr>
              <w:pStyle w:val="CeldaAPA"/>
              <w:jc w:val="center"/>
            </w:pPr>
            <m:oMath>
              <m:r>
                <m:t>S</m:t>
              </m:r>
            </m:oMath>
          </w:p>
        </w:tc>
        <w:tc>
          <w:tcPr>
            <w:tcW w:w="675" w:type="dxa"/>
          </w:tcPr>
          <w:p>
            <w:pPr>
              <w:pStyle w:val="CeldaAPA"/>
              <w:jc w:val="center"/>
            </w:pPr>
            <m:oMath>
              <m:r>
                <m:t>V</m:t>
              </m:r>
            </m:oMath>
          </w:p>
        </w:tc>
        <w:tc>
          <w:tcPr>
            <w:tcW w:w="696" w:type="dxa"/>
            <w:gridSpan w:val="1"/>
            <w:vMerge w:val="continue"/>
          </w:tcPr>
          <w:p>
            <w:pPr>
              <w:pStyle w:val="CeldaAPA"/>
            </w:pPr>
          </w:p>
        </w:tc>
        <w:tc>
          <w:tcPr>
            <w:tcW w:w="1251" w:type="dxa"/>
            <w:gridSpan w:val="1"/>
            <w:vMerge w:val="continue"/>
          </w:tcPr>
          <w:p>
            <w:pPr>
              <w:pStyle w:val="CeldaAPA"/>
            </w:pPr>
          </w:p>
        </w:tc>
      </w:tr>
      <w:tr>
        <w:tc>
          <w:tcPr>
            <w:tcW w:w="666" w:type="dxa"/>
          </w:tcPr>
          <w:p>
            <w:pPr>
              <w:pStyle w:val="CeldaAPA"/>
              <w:jc w:val="center"/>
            </w:pPr>
            <w:r>
              <w:rPr>
                <w:sz w:val="20"/>
                <w:szCs w:val="20"/>
              </w:rPr>
              <w:t xml:space="preserve">1</w:t>
            </w: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96" w:type="dxa"/>
          </w:tcPr>
          <w:p>
            <w:pPr>
              <w:pStyle w:val="CeldaAPA"/>
            </w:pPr>
          </w:p>
        </w:tc>
        <w:tc>
          <w:tcPr>
            <w:tcW w:w="1251" w:type="dxa"/>
          </w:tcPr>
          <w:p>
            <w:pPr>
              <w:pStyle w:val="CeldaAPA"/>
            </w:pPr>
          </w:p>
        </w:tc>
      </w:tr>
      <w:tr>
        <w:tc>
          <w:tcPr>
            <w:tcW w:w="666" w:type="dxa"/>
          </w:tcPr>
          <w:p>
            <w:pPr>
              <w:pStyle w:val="CeldaAPA"/>
              <w:jc w:val="center"/>
            </w:pPr>
            <w:r>
              <w:rPr>
                <w:sz w:val="20"/>
                <w:szCs w:val="20"/>
              </w:rPr>
              <w:t xml:space="preserve">2</w:t>
            </w: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96" w:type="dxa"/>
          </w:tcPr>
          <w:p>
            <w:pPr>
              <w:pStyle w:val="CeldaAPA"/>
            </w:pPr>
          </w:p>
        </w:tc>
        <w:tc>
          <w:tcPr>
            <w:tcW w:w="1251" w:type="dxa"/>
          </w:tcPr>
          <w:p>
            <w:pPr>
              <w:pStyle w:val="CeldaAPA"/>
            </w:pPr>
          </w:p>
        </w:tc>
      </w:tr>
      <w:tr>
        <w:tc>
          <w:tcPr>
            <w:tcW w:w="666" w:type="dxa"/>
          </w:tcPr>
          <w:p>
            <w:pPr>
              <w:pStyle w:val="CeldaAPA"/>
              <w:jc w:val="center"/>
            </w:pPr>
            <w:r>
              <w:rPr>
                <w:sz w:val="20"/>
                <w:szCs w:val="20"/>
              </w:rPr>
              <w:t xml:space="preserve">3</w:t>
            </w: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96" w:type="dxa"/>
          </w:tcPr>
          <w:p>
            <w:pPr>
              <w:pStyle w:val="CeldaAPA"/>
            </w:pPr>
          </w:p>
        </w:tc>
        <w:tc>
          <w:tcPr>
            <w:tcW w:w="1251" w:type="dxa"/>
          </w:tcPr>
          <w:p>
            <w:pPr>
              <w:pStyle w:val="CeldaAPA"/>
            </w:pPr>
          </w:p>
        </w:tc>
      </w:tr>
      <w:tr>
        <w:tc>
          <w:tcPr>
            <w:tcW w:w="666" w:type="dxa"/>
          </w:tcPr>
          <w:p>
            <w:pPr>
              <w:pStyle w:val="CeldaAPA"/>
              <w:jc w:val="center"/>
            </w:pPr>
            <w:r>
              <w:rPr>
                <w:sz w:val="20"/>
                <w:szCs w:val="20"/>
              </w:rPr>
              <w:t xml:space="preserve">4</w:t>
            </w: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96" w:type="dxa"/>
          </w:tcPr>
          <w:p>
            <w:pPr>
              <w:pStyle w:val="CeldaAPA"/>
            </w:pPr>
          </w:p>
        </w:tc>
        <w:tc>
          <w:tcPr>
            <w:tcW w:w="1251" w:type="dxa"/>
          </w:tcPr>
          <w:p>
            <w:pPr>
              <w:pStyle w:val="CeldaAPA"/>
            </w:pPr>
          </w:p>
        </w:tc>
      </w:tr>
      <w:tr>
        <w:tc>
          <w:tcPr>
            <w:tcW w:w="666" w:type="dxa"/>
          </w:tcPr>
          <w:p>
            <w:pPr>
              <w:pStyle w:val="CeldaAPA"/>
              <w:jc w:val="center"/>
            </w:pPr>
            <w:r>
              <w:rPr>
                <w:sz w:val="20"/>
                <w:szCs w:val="20"/>
              </w:rPr>
              <w:t xml:space="preserve">5</w:t>
            </w: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96" w:type="dxa"/>
          </w:tcPr>
          <w:p>
            <w:pPr>
              <w:pStyle w:val="CeldaAPA"/>
            </w:pPr>
          </w:p>
        </w:tc>
        <w:tc>
          <w:tcPr>
            <w:tcW w:w="1251" w:type="dxa"/>
          </w:tcPr>
          <w:p>
            <w:pPr>
              <w:pStyle w:val="CeldaAPA"/>
            </w:pPr>
          </w:p>
        </w:tc>
      </w:tr>
      <w:tr>
        <w:tc>
          <w:tcPr>
            <w:tcW w:w="666" w:type="dxa"/>
          </w:tcPr>
          <w:p>
            <w:pPr>
              <w:pStyle w:val="CeldaAPA"/>
              <w:jc w:val="center"/>
            </w:pPr>
            <w:r>
              <w:rPr>
                <w:sz w:val="20"/>
                <w:szCs w:val="20"/>
              </w:rPr>
              <w:t xml:space="preserve">6</w:t>
            </w: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96" w:type="dxa"/>
          </w:tcPr>
          <w:p>
            <w:pPr>
              <w:pStyle w:val="CeldaAPA"/>
            </w:pPr>
          </w:p>
        </w:tc>
        <w:tc>
          <w:tcPr>
            <w:tcW w:w="1251" w:type="dxa"/>
          </w:tcPr>
          <w:p>
            <w:pPr>
              <w:pStyle w:val="CeldaAPA"/>
            </w:pPr>
          </w:p>
        </w:tc>
      </w:tr>
      <w:tr>
        <w:tc>
          <w:tcPr>
            <w:tcW w:w="666" w:type="dxa"/>
          </w:tcPr>
          <w:p>
            <w:pPr>
              <w:pStyle w:val="CeldaAPA"/>
              <w:jc w:val="center"/>
            </w:pPr>
            <w:r>
              <w:rPr>
                <w:sz w:val="20"/>
                <w:szCs w:val="20"/>
              </w:rPr>
              <w:t xml:space="preserve">7</w:t>
            </w: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96" w:type="dxa"/>
          </w:tcPr>
          <w:p>
            <w:pPr>
              <w:pStyle w:val="CeldaAPA"/>
            </w:pPr>
          </w:p>
        </w:tc>
        <w:tc>
          <w:tcPr>
            <w:tcW w:w="1251" w:type="dxa"/>
          </w:tcPr>
          <w:p>
            <w:pPr>
              <w:pStyle w:val="CeldaAPA"/>
            </w:pPr>
          </w:p>
        </w:tc>
      </w:tr>
      <w:tr>
        <w:tc>
          <w:tcPr>
            <w:tcW w:w="666" w:type="dxa"/>
          </w:tcPr>
          <w:p>
            <w:pPr>
              <w:pStyle w:val="CeldaAPA"/>
              <w:jc w:val="center"/>
            </w:pPr>
            <w:r>
              <w:rPr>
                <w:sz w:val="20"/>
                <w:szCs w:val="20"/>
              </w:rPr>
              <w:t xml:space="preserve">8</w:t>
            </w: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96" w:type="dxa"/>
          </w:tcPr>
          <w:p>
            <w:pPr>
              <w:pStyle w:val="CeldaAPA"/>
            </w:pPr>
          </w:p>
        </w:tc>
        <w:tc>
          <w:tcPr>
            <w:tcW w:w="1251" w:type="dxa"/>
          </w:tcPr>
          <w:p>
            <w:pPr>
              <w:pStyle w:val="CeldaAPA"/>
            </w:pPr>
          </w:p>
        </w:tc>
      </w:tr>
      <w:tr>
        <w:tc>
          <w:tcPr>
            <w:tcW w:w="666" w:type="dxa"/>
          </w:tcPr>
          <w:p>
            <w:pPr>
              <w:pStyle w:val="CeldaAPA"/>
              <w:jc w:val="center"/>
            </w:pPr>
            <w:r>
              <w:rPr>
                <w:sz w:val="20"/>
                <w:szCs w:val="20"/>
              </w:rPr>
              <w:t xml:space="preserve">9</w:t>
            </w: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96" w:type="dxa"/>
          </w:tcPr>
          <w:p>
            <w:pPr>
              <w:pStyle w:val="CeldaAPA"/>
            </w:pPr>
          </w:p>
        </w:tc>
        <w:tc>
          <w:tcPr>
            <w:tcW w:w="1251" w:type="dxa"/>
          </w:tcPr>
          <w:p>
            <w:pPr>
              <w:pStyle w:val="CeldaAPA"/>
            </w:pPr>
          </w:p>
        </w:tc>
      </w:tr>
      <w:tr>
        <w:tc>
          <w:tcPr>
            <w:tcW w:w="666" w:type="dxa"/>
          </w:tcPr>
          <w:p>
            <w:pPr>
              <w:pStyle w:val="CeldaAPA"/>
              <w:jc w:val="center"/>
            </w:pPr>
            <w:r>
              <w:rPr>
                <w:sz w:val="20"/>
                <w:szCs w:val="20"/>
              </w:rPr>
              <w:t xml:space="preserve">10</w:t>
            </w: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96" w:type="dxa"/>
          </w:tcPr>
          <w:p>
            <w:pPr>
              <w:pStyle w:val="CeldaAPA"/>
            </w:pPr>
          </w:p>
        </w:tc>
        <w:tc>
          <w:tcPr>
            <w:tcW w:w="1251" w:type="dxa"/>
          </w:tcPr>
          <w:p>
            <w:pPr>
              <w:pStyle w:val="CeldaAPA"/>
            </w:pPr>
          </w:p>
        </w:tc>
      </w:tr>
      <w:tr>
        <w:tc>
          <w:tcPr>
            <w:tcW w:w="666" w:type="dxa"/>
          </w:tcPr>
          <w:p>
            <w:pPr>
              <w:pStyle w:val="CeldaAPA"/>
              <w:jc w:val="center"/>
            </w:pPr>
            <w:r>
              <w:rPr>
                <w:sz w:val="20"/>
                <w:szCs w:val="20"/>
              </w:rPr>
              <w:t xml:space="preserve">11</w:t>
            </w: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96" w:type="dxa"/>
          </w:tcPr>
          <w:p>
            <w:pPr>
              <w:pStyle w:val="CeldaAPA"/>
            </w:pPr>
          </w:p>
        </w:tc>
        <w:tc>
          <w:tcPr>
            <w:tcW w:w="1251" w:type="dxa"/>
          </w:tcPr>
          <w:p>
            <w:pPr>
              <w:pStyle w:val="CeldaAPA"/>
            </w:pPr>
          </w:p>
        </w:tc>
      </w:tr>
      <w:tr>
        <w:tc>
          <w:tcPr>
            <w:tcW w:w="666" w:type="dxa"/>
          </w:tcPr>
          <w:p>
            <w:pPr>
              <w:pStyle w:val="CeldaAPA"/>
              <w:jc w:val="center"/>
            </w:pPr>
            <w:r>
              <w:rPr>
                <w:sz w:val="20"/>
                <w:szCs w:val="20"/>
              </w:rPr>
              <w:t xml:space="preserve">12</w:t>
            </w: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96" w:type="dxa"/>
          </w:tcPr>
          <w:p>
            <w:pPr>
              <w:pStyle w:val="CeldaAPA"/>
            </w:pPr>
          </w:p>
        </w:tc>
        <w:tc>
          <w:tcPr>
            <w:tcW w:w="1251" w:type="dxa"/>
          </w:tcPr>
          <w:p>
            <w:pPr>
              <w:pStyle w:val="CeldaAPA"/>
            </w:pPr>
          </w:p>
        </w:tc>
      </w:tr>
      <w:tr>
        <w:tc>
          <w:tcPr>
            <w:tcW w:w="666" w:type="dxa"/>
          </w:tcPr>
          <w:p>
            <w:pPr>
              <w:pStyle w:val="CeldaAPA"/>
              <w:jc w:val="center"/>
            </w:pPr>
            <w:r>
              <w:rPr>
                <w:sz w:val="20"/>
                <w:szCs w:val="20"/>
              </w:rPr>
              <w:t xml:space="preserve">13</w:t>
            </w: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96" w:type="dxa"/>
          </w:tcPr>
          <w:p>
            <w:pPr>
              <w:pStyle w:val="CeldaAPA"/>
            </w:pPr>
          </w:p>
        </w:tc>
        <w:tc>
          <w:tcPr>
            <w:tcW w:w="1251" w:type="dxa"/>
          </w:tcPr>
          <w:p>
            <w:pPr>
              <w:pStyle w:val="CeldaAPA"/>
            </w:pPr>
          </w:p>
        </w:tc>
      </w:tr>
      <w:tr>
        <w:tc>
          <w:tcPr>
            <w:tcW w:w="666" w:type="dxa"/>
          </w:tcPr>
          <w:p>
            <w:pPr>
              <w:pStyle w:val="CeldaAPA"/>
              <w:jc w:val="center"/>
            </w:pPr>
            <w:r>
              <w:rPr>
                <w:sz w:val="20"/>
                <w:szCs w:val="20"/>
              </w:rPr>
              <w:t xml:space="preserve">14</w:t>
            </w: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96" w:type="dxa"/>
          </w:tcPr>
          <w:p>
            <w:pPr>
              <w:pStyle w:val="CeldaAPA"/>
            </w:pPr>
          </w:p>
        </w:tc>
        <w:tc>
          <w:tcPr>
            <w:tcW w:w="1251" w:type="dxa"/>
          </w:tcPr>
          <w:p>
            <w:pPr>
              <w:pStyle w:val="CeldaAPA"/>
            </w:pPr>
          </w:p>
        </w:tc>
      </w:tr>
      <w:tr>
        <w:tc>
          <w:tcPr>
            <w:tcW w:w="666" w:type="dxa"/>
          </w:tcPr>
          <w:p>
            <w:pPr>
              <w:pStyle w:val="CeldaAPA"/>
              <w:jc w:val="center"/>
            </w:pPr>
            <w:r>
              <w:rPr>
                <w:sz w:val="20"/>
                <w:szCs w:val="20"/>
              </w:rPr>
              <w:t xml:space="preserve">15</w:t>
            </w: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96" w:type="dxa"/>
          </w:tcPr>
          <w:p>
            <w:pPr>
              <w:pStyle w:val="CeldaAPA"/>
            </w:pPr>
          </w:p>
        </w:tc>
        <w:tc>
          <w:tcPr>
            <w:tcW w:w="1251" w:type="dxa"/>
          </w:tcPr>
          <w:p>
            <w:pPr>
              <w:pStyle w:val="CeldaAPA"/>
            </w:pPr>
          </w:p>
        </w:tc>
      </w:tr>
      <w:tr>
        <w:tc>
          <w:tcPr>
            <w:tcW w:w="666" w:type="dxa"/>
          </w:tcPr>
          <w:p>
            <w:pPr>
              <w:pStyle w:val="CeldaAPA"/>
              <w:jc w:val="center"/>
            </w:pPr>
            <w:r>
              <w:rPr>
                <w:sz w:val="20"/>
                <w:szCs w:val="20"/>
              </w:rPr>
              <w:t xml:space="preserve">16</w:t>
            </w: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96" w:type="dxa"/>
          </w:tcPr>
          <w:p>
            <w:pPr>
              <w:pStyle w:val="CeldaAPA"/>
            </w:pPr>
          </w:p>
        </w:tc>
        <w:tc>
          <w:tcPr>
            <w:tcW w:w="1251" w:type="dxa"/>
          </w:tcPr>
          <w:p>
            <w:pPr>
              <w:pStyle w:val="CeldaAPA"/>
            </w:pPr>
          </w:p>
        </w:tc>
      </w:tr>
      <w:tr>
        <w:tc>
          <w:tcPr>
            <w:tcW w:w="666" w:type="dxa"/>
          </w:tcPr>
          <w:p>
            <w:pPr>
              <w:pStyle w:val="CeldaAPA"/>
              <w:jc w:val="center"/>
            </w:pPr>
            <w:r>
              <w:rPr>
                <w:sz w:val="20"/>
                <w:szCs w:val="20"/>
              </w:rPr>
              <w:t xml:space="preserve">17</w:t>
            </w: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96" w:type="dxa"/>
          </w:tcPr>
          <w:p>
            <w:pPr>
              <w:pStyle w:val="CeldaAPA"/>
            </w:pPr>
          </w:p>
        </w:tc>
        <w:tc>
          <w:tcPr>
            <w:tcW w:w="1251" w:type="dxa"/>
          </w:tcPr>
          <w:p>
            <w:pPr>
              <w:pStyle w:val="CeldaAPA"/>
            </w:pPr>
          </w:p>
        </w:tc>
      </w:tr>
      <w:tr>
        <w:tc>
          <w:tcPr>
            <w:tcW w:w="666" w:type="dxa"/>
          </w:tcPr>
          <w:p>
            <w:pPr>
              <w:pStyle w:val="CeldaAPA"/>
              <w:jc w:val="center"/>
            </w:pPr>
            <w:r>
              <w:rPr>
                <w:sz w:val="20"/>
                <w:szCs w:val="20"/>
              </w:rPr>
              <w:t xml:space="preserve">18</w:t>
            </w: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96" w:type="dxa"/>
          </w:tcPr>
          <w:p>
            <w:pPr>
              <w:pStyle w:val="CeldaAPA"/>
            </w:pPr>
          </w:p>
        </w:tc>
        <w:tc>
          <w:tcPr>
            <w:tcW w:w="1251" w:type="dxa"/>
          </w:tcPr>
          <w:p>
            <w:pPr>
              <w:pStyle w:val="CeldaAPA"/>
            </w:pPr>
          </w:p>
        </w:tc>
      </w:tr>
      <w:tr>
        <w:tc>
          <w:tcPr>
            <w:tcW w:w="666" w:type="dxa"/>
          </w:tcPr>
          <w:p>
            <w:pPr>
              <w:pStyle w:val="CeldaAPA"/>
              <w:jc w:val="center"/>
            </w:pPr>
            <w:r>
              <w:rPr>
                <w:sz w:val="20"/>
                <w:szCs w:val="20"/>
              </w:rPr>
              <w:t xml:space="preserve">19</w:t>
            </w: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96" w:type="dxa"/>
          </w:tcPr>
          <w:p>
            <w:pPr>
              <w:pStyle w:val="CeldaAPA"/>
            </w:pPr>
          </w:p>
        </w:tc>
        <w:tc>
          <w:tcPr>
            <w:tcW w:w="1251" w:type="dxa"/>
          </w:tcPr>
          <w:p>
            <w:pPr>
              <w:pStyle w:val="CeldaAPA"/>
            </w:pPr>
          </w:p>
        </w:tc>
      </w:tr>
      <w:tr>
        <w:tc>
          <w:tcPr>
            <w:tcW w:w="666" w:type="dxa"/>
          </w:tcPr>
          <w:p>
            <w:pPr>
              <w:pStyle w:val="CeldaAPA"/>
              <w:jc w:val="center"/>
            </w:pPr>
            <w:r>
              <w:rPr>
                <w:sz w:val="20"/>
                <w:szCs w:val="20"/>
              </w:rPr>
              <w:t xml:space="preserve">20</w:t>
            </w: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96" w:type="dxa"/>
          </w:tcPr>
          <w:p>
            <w:pPr>
              <w:pStyle w:val="CeldaAPA"/>
            </w:pPr>
          </w:p>
        </w:tc>
        <w:tc>
          <w:tcPr>
            <w:tcW w:w="1251" w:type="dxa"/>
          </w:tcPr>
          <w:p>
            <w:pPr>
              <w:pStyle w:val="CeldaAPA"/>
            </w:pPr>
          </w:p>
        </w:tc>
      </w:tr>
      <w:tr>
        <w:tc>
          <w:tcPr>
            <w:tcW w:w="666" w:type="dxa"/>
          </w:tcPr>
          <w:p>
            <w:pPr>
              <w:pStyle w:val="CeldaAPA"/>
              <w:jc w:val="center"/>
            </w:pPr>
            <w:r>
              <w:rPr>
                <w:sz w:val="20"/>
                <w:szCs w:val="20"/>
              </w:rPr>
              <w:t xml:space="preserve">21</w:t>
            </w: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96" w:type="dxa"/>
          </w:tcPr>
          <w:p>
            <w:pPr>
              <w:pStyle w:val="CeldaAPA"/>
            </w:pPr>
          </w:p>
        </w:tc>
        <w:tc>
          <w:tcPr>
            <w:tcW w:w="1251" w:type="dxa"/>
          </w:tcPr>
          <w:p>
            <w:pPr>
              <w:pStyle w:val="CeldaAPA"/>
            </w:pPr>
          </w:p>
        </w:tc>
      </w:tr>
      <w:tr>
        <w:tc>
          <w:tcPr>
            <w:tcW w:w="666" w:type="dxa"/>
          </w:tcPr>
          <w:p>
            <w:pPr>
              <w:pStyle w:val="CeldaAPA"/>
              <w:jc w:val="center"/>
            </w:pPr>
            <w:r>
              <w:rPr>
                <w:sz w:val="20"/>
                <w:szCs w:val="20"/>
              </w:rPr>
              <w:t xml:space="preserve">22</w:t>
            </w: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96" w:type="dxa"/>
          </w:tcPr>
          <w:p>
            <w:pPr>
              <w:pStyle w:val="CeldaAPA"/>
            </w:pPr>
          </w:p>
        </w:tc>
        <w:tc>
          <w:tcPr>
            <w:tcW w:w="1251" w:type="dxa"/>
          </w:tcPr>
          <w:p>
            <w:pPr>
              <w:pStyle w:val="CeldaAPA"/>
            </w:pPr>
          </w:p>
        </w:tc>
      </w:tr>
    </w:tbl>
    <w:p>
      <w:pPr>
        <w:pStyle w:val="BodyText"/>
        <w:spacing w:before="240"/>
        <w:ind w:firstLine="0"/>
      </w:pPr>
      <w:r>
        <w:t xml:space="preserve"/>
      </w:r>
      <w:r>
        <w:rPr>
          <w:iCs/>
          <w:i/>
        </w:rPr>
        <w:t xml:space="preserve">Nota.</w:t>
      </w:r>
      <w:r>
        <w:t xml:space="preserve"> </w:t>
      </w:r>
      <w:r>
        <w:t xml:space="preserve">El valor global se calcula con la suma de los cuatro criterios:</w:t>
      </w:r>
      <w:r>
        <w:t xml:space="preserve"> </w:t>
      </w:r>
      <m:oMath>
        <m:r>
          <m:t>V</m:t>
        </m:r>
        <m:r>
          <m:rPr>
            <m:sty m:val="p"/>
          </m:rPr>
          <m:t>=</m:t>
        </m:r>
        <m:r>
          <m:t>S</m:t>
        </m:r>
        <m:r>
          <m:rPr>
            <m:sty m:val="p"/>
          </m:rPr>
          <m:t>/</m:t>
        </m:r>
        <m:d>
          <m:dPr>
            <m:begChr m:val="["/>
            <m:endChr m:val="]"/>
            <m:sepChr m:val=""/>
            <m:grow/>
          </m:dPr>
          <m:e>
            <m:r>
              <m:t>4</m:t>
            </m:r>
            <m:r>
              <m:t> </m:t>
            </m:r>
            <m:r>
              <m:t>n</m:t>
            </m:r>
            <m:r>
              <m:t> </m:t>
            </m:r>
            <m:d>
              <m:dPr>
                <m:begChr m:val="("/>
                <m:endChr m:val=")"/>
                <m:sepChr m:val=""/>
                <m:grow/>
              </m:dPr>
              <m:e>
                <m:r>
                  <m:t>c</m:t>
                </m:r>
                <m:r>
                  <m:rPr>
                    <m:sty m:val="p"/>
                  </m:rPr>
                  <m:t>−</m:t>
                </m:r>
                <m:r>
                  <m:t>1</m:t>
                </m:r>
              </m:e>
            </m:d>
          </m:e>
        </m:d>
      </m:oMath>
      <w:r>
        <w:t xml:space="preserve">.</w:t>
      </w:r>
    </w:p>
    <w:p>
      <w:pPr>
        <w:pStyle w:val="Heading1"/>
      </w:pPr>
      <w:bookmarkStart w:id="360" w:name="tit171"/>
      <w:r>
        <w:t xml:space="preserve">ANEXO D</w:t>
      </w:r>
      <w:r>
        <w:br/>
      </w:r>
      <w:r>
        <w:t xml:space="preserve">VALIDACIÓN DEL SGC POR JUICIO DE EXPERTOS</w:t>
      </w:r>
      <w:bookmarkEnd w:id="360"/>
    </w:p>
    <w:p>
      <w:pPr>
        <w:pStyle w:val="FirstParagraph"/>
      </w:pPr>
      <w:r>
        <w:t xml:space="preserve">La validación del SGC y de sus instrumentos por juicio de expertos se diseñó para el quinto objetivo específico. El procedimiento se describe en la Sección 2.8: entre tres y cinco ingenieros civiles con experiencia en supervisión de obras, control del hormigón o gestión de la calidad califican cada componente del sistema con el formato C.8 del Anexo C. Para cada componente se calcula el coeficiente V de Aiken, que varía entre 0 y 1; un componente se considera válido cuando V es igual o mayor que 0,70.</w:t>
      </w:r>
    </w:p>
    <w:p>
      <w:pPr>
        <w:pStyle w:val="BodyText"/>
      </w:pPr>
      <w:r>
        <w:t xml:space="preserve">Los componentes que se someten a validación son el plan de la calidad, el plan de puntos de inspección y ensayo, los procedimientos de control de materiales PCM-01 a PCM-05, la gestión de no conformidades, la planilla de costos de la calidad y los instrumentos de recolección C.1 a C.7.</w:t>
      </w:r>
    </w:p>
    <w:p>
      <w:pPr>
        <w:pStyle w:val="Heading1"/>
      </w:pPr>
      <w:bookmarkStart w:id="370" w:name="tit172"/>
      <w:r>
        <w:t xml:space="preserve">ANEXO E</w:t>
      </w:r>
      <w:r>
        <w:br/>
      </w:r>
      <w:r>
        <w:t xml:space="preserve">PLANOS DE LA PRIMERA LOSA</w:t>
      </w:r>
      <w:bookmarkEnd w:id="370"/>
    </w:p>
    <w:p>
      <w:pPr>
        <w:pStyle w:val="FirstParagraph"/>
        <w:sectPr>
          <w:headerReference r:id="rId9" w:type="default"/>
          <w:pgSz w:h="15840" w:w="12240"/>
          <w:pgMar w:bottom="1440" w:footer="720" w:gutter="0" w:header="720" w:left="1440" w:right="1440" w:top="1440"/>
          <w:pgNumType w:fmt="decimal" w:start="1"/>
        </w:sectPr>
      </w:pPr>
      <w:r>
        <w:t xml:space="preserve">Se incluyen los planos del proyecto: geometría y sistema de ejes de la primera losa, sección y detalles de la losa con viguetas pretensadas, y cantidad de viguetas por paño.</w:t>
      </w:r>
    </w:p>
    <w:p>
      <w:pPr>
        <w:pStyle w:val="FiguraAPA"/>
        <w:pageBreakBefore w:val="0"/>
      </w:pPr>
      <w:r>
        <w:drawing>
          <wp:inline>
            <wp:extent cx="5943600" cy="4920141"/>
            <wp:effectExtent b="0" l="0" r="0" t="0"/>
            <wp:docPr descr="image" title="" id="362" name="Picture"/>
            <a:graphic>
              <a:graphicData uri="http://schemas.openxmlformats.org/drawingml/2006/picture">
                <pic:pic>
                  <pic:nvPicPr>
                    <pic:cNvPr descr="/home/user/TesisSGC/07_Entregables/scripts/_trabajo_sencilla/imagenes/pdfpag_8a2a479eebbf113f14a3.png" id="363" name="Picture"/>
                    <pic:cNvPicPr>
                      <a:picLocks noChangeArrowheads="1" noChangeAspect="1"/>
                    </pic:cNvPicPr>
                  </pic:nvPicPr>
                  <pic:blipFill>
                    <a:blip r:embed="rId361"/>
                    <a:stretch>
                      <a:fillRect/>
                    </a:stretch>
                  </pic:blipFill>
                  <pic:spPr bwMode="auto">
                    <a:xfrm>
                      <a:off x="0" y="0"/>
                      <a:ext cx="5943600" cy="4920141"/>
                    </a:xfrm>
                    <a:prstGeom prst="rect">
                      <a:avLst/>
                    </a:prstGeom>
                    <a:noFill/>
                    <a:ln w="9525">
                      <a:noFill/>
                      <a:headEnd/>
                      <a:tailEnd/>
                    </a:ln>
                  </pic:spPr>
                </pic:pic>
              </a:graphicData>
            </a:graphic>
          </wp:inline>
        </w:drawing>
      </w:r>
    </w:p>
    <w:p>
      <w:pPr>
        <w:pStyle w:val="FiguraAPA"/>
        <w:pageBreakBefore/>
      </w:pPr>
      <w:r>
        <w:drawing>
          <wp:inline>
            <wp:extent cx="5943600" cy="2806941"/>
            <wp:effectExtent b="0" l="0" r="0" t="0"/>
            <wp:docPr descr="image" title="" id="365" name="Picture"/>
            <a:graphic>
              <a:graphicData uri="http://schemas.openxmlformats.org/drawingml/2006/picture">
                <pic:pic>
                  <pic:nvPicPr>
                    <pic:cNvPr descr="/home/user/TesisSGC/07_Entregables/scripts/_trabajo_sencilla/imagenes/pdfpag_d9714f4a0f6d4923ab81.png" id="366" name="Picture"/>
                    <pic:cNvPicPr>
                      <a:picLocks noChangeArrowheads="1" noChangeAspect="1"/>
                    </pic:cNvPicPr>
                  </pic:nvPicPr>
                  <pic:blipFill>
                    <a:blip r:embed="rId364"/>
                    <a:stretch>
                      <a:fillRect/>
                    </a:stretch>
                  </pic:blipFill>
                  <pic:spPr bwMode="auto">
                    <a:xfrm>
                      <a:off x="0" y="0"/>
                      <a:ext cx="5943600" cy="2806941"/>
                    </a:xfrm>
                    <a:prstGeom prst="rect">
                      <a:avLst/>
                    </a:prstGeom>
                    <a:noFill/>
                    <a:ln w="9525">
                      <a:noFill/>
                      <a:headEnd/>
                      <a:tailEnd/>
                    </a:ln>
                  </pic:spPr>
                </pic:pic>
              </a:graphicData>
            </a:graphic>
          </wp:inline>
        </w:drawing>
      </w:r>
    </w:p>
    <w:p>
      <w:pPr>
        <w:pStyle w:val="FiguraAPA"/>
        <w:pageBreakBefore/>
        <w:sectPr>
          <w:headerReference r:id="rId9" w:type="default"/>
          <w:pgSz w:h="12240" w:w="15840" w:orient="landscape"/>
          <w:pgMar w:bottom="1440" w:footer="720" w:gutter="0" w:header="720" w:left="1440" w:right="1440" w:top="1440"/>
          <w:pgNumType w:fmt="decimal"/>
        </w:sectPr>
      </w:pPr>
      <w:r>
        <w:drawing>
          <wp:inline>
            <wp:extent cx="5943600" cy="4533827"/>
            <wp:effectExtent b="0" l="0" r="0" t="0"/>
            <wp:docPr descr="image" title="" id="368" name="Picture"/>
            <a:graphic>
              <a:graphicData uri="http://schemas.openxmlformats.org/drawingml/2006/picture">
                <pic:pic>
                  <pic:nvPicPr>
                    <pic:cNvPr descr="/home/user/TesisSGC/07_Entregables/scripts/_trabajo_sencilla/imagenes/pdfpag_208dd597fc679ea710d9.png" id="369" name="Picture"/>
                    <pic:cNvPicPr>
                      <a:picLocks noChangeArrowheads="1" noChangeAspect="1"/>
                    </pic:cNvPicPr>
                  </pic:nvPicPr>
                  <pic:blipFill>
                    <a:blip r:embed="rId367"/>
                    <a:stretch>
                      <a:fillRect/>
                    </a:stretch>
                  </pic:blipFill>
                  <pic:spPr bwMode="auto">
                    <a:xfrm>
                      <a:off x="0" y="0"/>
                      <a:ext cx="5943600" cy="4533827"/>
                    </a:xfrm>
                    <a:prstGeom prst="rect">
                      <a:avLst/>
                    </a:prstGeom>
                    <a:noFill/>
                    <a:ln w="9525">
                      <a:noFill/>
                      <a:headEnd/>
                      <a:tailEnd/>
                    </a:ln>
                  </pic:spPr>
                </pic:pic>
              </a:graphicData>
            </a:graphic>
          </wp:inline>
        </w:drawing>
      </w:r>
    </w:p>
    <w:p>
      <w:pPr>
        <w:pStyle w:val="Heading1"/>
        <w:pageBreakBefore w:val="0"/>
      </w:pPr>
      <w:bookmarkStart w:id="377" w:name="tit173"/>
      <w:r>
        <w:t xml:space="preserve">ANEXO F</w:t>
      </w:r>
      <w:r>
        <w:br/>
      </w:r>
      <w:r>
        <w:t xml:space="preserve">CÓMPUTOS MÉTRICOS Y PLANILLAS DE AVANCE</w:t>
      </w:r>
      <w:bookmarkEnd w:id="377"/>
    </w:p>
    <w:p>
      <w:pPr>
        <w:pStyle w:val="FirstParagraph"/>
      </w:pPr>
      <w:r>
        <w:t xml:space="preserve">Cómputo de los paños de la primera losa (ítem 13):</w:t>
      </w:r>
    </w:p>
    <w:p>
      <w:pPr>
        <w:pStyle w:val="FiguraAPA"/>
        <w:pageBreakBefore/>
        <w:sectPr>
          <w:headerReference r:id="rId9" w:type="default"/>
          <w:pgSz w:h="15840" w:w="12240"/>
          <w:pgMar w:bottom="1440" w:footer="720" w:gutter="0" w:header="720" w:left="1440" w:right="1440" w:top="1440"/>
          <w:pgNumType w:fmt="decimal"/>
        </w:sectPr>
      </w:pPr>
      <w:r>
        <w:drawing>
          <wp:inline>
            <wp:extent cx="5943599" cy="7509509"/>
            <wp:effectExtent b="0" l="0" r="0" t="0"/>
            <wp:docPr descr="image" title="" id="372" name="Picture"/>
            <a:graphic>
              <a:graphicData uri="http://schemas.openxmlformats.org/drawingml/2006/picture">
                <pic:pic>
                  <pic:nvPicPr>
                    <pic:cNvPr descr="/home/user/TesisSGC/07_Entregables/scripts/_trabajo_sencilla/imagenes/pdfpag_b6fa2141aa72be9ea170.png" id="373" name="Picture"/>
                    <pic:cNvPicPr>
                      <a:picLocks noChangeArrowheads="1" noChangeAspect="1"/>
                    </pic:cNvPicPr>
                  </pic:nvPicPr>
                  <pic:blipFill>
                    <a:blip r:embed="rId371"/>
                    <a:stretch>
                      <a:fillRect/>
                    </a:stretch>
                  </pic:blipFill>
                  <pic:spPr bwMode="auto">
                    <a:xfrm>
                      <a:off x="0" y="0"/>
                      <a:ext cx="5943599" cy="7509509"/>
                    </a:xfrm>
                    <a:prstGeom prst="rect">
                      <a:avLst/>
                    </a:prstGeom>
                    <a:noFill/>
                    <a:ln w="9525">
                      <a:noFill/>
                      <a:headEnd/>
                      <a:tailEnd/>
                    </a:ln>
                  </pic:spPr>
                </pic:pic>
              </a:graphicData>
            </a:graphic>
          </wp:inline>
        </w:drawing>
      </w:r>
    </w:p>
    <w:p>
      <w:pPr>
        <w:pStyle w:val="FiguraAPA"/>
        <w:pageBreakBefore w:val="0"/>
        <w:sectPr>
          <w:headerReference r:id="rId9" w:type="default"/>
          <w:pgSz w:h="12240" w:w="15840" w:orient="landscape"/>
          <w:pgMar w:bottom="1440" w:footer="720" w:gutter="0" w:header="720" w:left="1440" w:right="1440" w:top="1440"/>
          <w:pgNumType w:fmt="decimal"/>
        </w:sectPr>
      </w:pPr>
      <w:r>
        <w:drawing>
          <wp:inline>
            <wp:extent cx="5617799" cy="4691655"/>
            <wp:effectExtent b="0" l="0" r="0" t="0"/>
            <wp:docPr descr="image" title="" id="375" name="Picture"/>
            <a:graphic>
              <a:graphicData uri="http://schemas.openxmlformats.org/drawingml/2006/picture">
                <pic:pic>
                  <pic:nvPicPr>
                    <pic:cNvPr descr="/home/user/TesisSGC/07_Entregables/scripts/_trabajo_sencilla/imagenes/pdfpag_0d07002bd03667c90f24.png" id="376" name="Picture"/>
                    <pic:cNvPicPr>
                      <a:picLocks noChangeArrowheads="1" noChangeAspect="1"/>
                    </pic:cNvPicPr>
                  </pic:nvPicPr>
                  <pic:blipFill>
                    <a:blip r:embed="rId374"/>
                    <a:stretch>
                      <a:fillRect/>
                    </a:stretch>
                  </pic:blipFill>
                  <pic:spPr bwMode="auto">
                    <a:xfrm>
                      <a:off x="0" y="0"/>
                      <a:ext cx="5617799" cy="4691655"/>
                    </a:xfrm>
                    <a:prstGeom prst="rect">
                      <a:avLst/>
                    </a:prstGeom>
                    <a:noFill/>
                    <a:ln w="9525">
                      <a:noFill/>
                      <a:headEnd/>
                      <a:tailEnd/>
                    </a:ln>
                  </pic:spPr>
                </pic:pic>
              </a:graphicData>
            </a:graphic>
          </wp:inline>
        </w:drawing>
      </w:r>
    </w:p>
    <w:p>
      <w:pPr>
        <w:pStyle w:val="Heading1"/>
        <w:pageBreakBefore w:val="0"/>
      </w:pPr>
      <w:bookmarkStart w:id="384" w:name="tit174"/>
      <w:r>
        <w:t xml:space="preserve">ANEXO G</w:t>
      </w:r>
      <w:r>
        <w:br/>
      </w:r>
      <w:r>
        <w:t xml:space="preserve">CERTIFICADOS DE CALIDAD DE MATERIALES</w:t>
      </w:r>
      <w:bookmarkEnd w:id="384"/>
    </w:p>
    <w:p>
      <w:pPr>
        <w:pStyle w:val="FirstParagraph"/>
      </w:pPr>
      <w:r>
        <w:t xml:space="preserve">Certificados de calidad de las viguetas pretensadas (PRETENSA) y de los complementos de poliestireno expandido (UNICON), del 27 de noviembre de 2025.</w:t>
      </w:r>
    </w:p>
    <w:p>
      <w:pPr>
        <w:pStyle w:val="FiguraAPA"/>
        <w:pageBreakBefore/>
      </w:pPr>
      <w:r>
        <w:drawing>
          <wp:inline>
            <wp:extent cx="5413319" cy="7651058"/>
            <wp:effectExtent b="0" l="0" r="0" t="0"/>
            <wp:docPr descr="image" title="" id="379" name="Picture"/>
            <a:graphic>
              <a:graphicData uri="http://schemas.openxmlformats.org/drawingml/2006/picture">
                <pic:pic>
                  <pic:nvPicPr>
                    <pic:cNvPr descr="/home/user/TesisSGC/07_Entregables/scripts/_trabajo_sencilla/imagenes/pdfpag_f762a4452ebcecdf8df1.png" id="380" name="Picture"/>
                    <pic:cNvPicPr>
                      <a:picLocks noChangeArrowheads="1" noChangeAspect="1"/>
                    </pic:cNvPicPr>
                  </pic:nvPicPr>
                  <pic:blipFill>
                    <a:blip r:embed="rId378"/>
                    <a:stretch>
                      <a:fillRect/>
                    </a:stretch>
                  </pic:blipFill>
                  <pic:spPr bwMode="auto">
                    <a:xfrm>
                      <a:off x="0" y="0"/>
                      <a:ext cx="5413319" cy="7651058"/>
                    </a:xfrm>
                    <a:prstGeom prst="rect">
                      <a:avLst/>
                    </a:prstGeom>
                    <a:noFill/>
                    <a:ln w="9525">
                      <a:noFill/>
                      <a:headEnd/>
                      <a:tailEnd/>
                    </a:ln>
                  </pic:spPr>
                </pic:pic>
              </a:graphicData>
            </a:graphic>
          </wp:inline>
        </w:drawing>
      </w:r>
    </w:p>
    <w:p>
      <w:pPr>
        <w:pStyle w:val="FiguraAPA"/>
        <w:pageBreakBefore/>
      </w:pPr>
      <w:r>
        <w:drawing>
          <wp:inline>
            <wp:extent cx="5286599" cy="7651114"/>
            <wp:effectExtent b="0" l="0" r="0" t="0"/>
            <wp:docPr descr="image" title="" id="382" name="Picture"/>
            <a:graphic>
              <a:graphicData uri="http://schemas.openxmlformats.org/drawingml/2006/picture">
                <pic:pic>
                  <pic:nvPicPr>
                    <pic:cNvPr descr="/home/user/TesisSGC/07_Entregables/scripts/_trabajo_sencilla/imagenes/pdfpag_e4293883a27863387d4e.png" id="383" name="Picture"/>
                    <pic:cNvPicPr>
                      <a:picLocks noChangeArrowheads="1" noChangeAspect="1"/>
                    </pic:cNvPicPr>
                  </pic:nvPicPr>
                  <pic:blipFill>
                    <a:blip r:embed="rId381"/>
                    <a:stretch>
                      <a:fillRect/>
                    </a:stretch>
                  </pic:blipFill>
                  <pic:spPr bwMode="auto">
                    <a:xfrm>
                      <a:off x="0" y="0"/>
                      <a:ext cx="5286599" cy="7651114"/>
                    </a:xfrm>
                    <a:prstGeom prst="rect">
                      <a:avLst/>
                    </a:prstGeom>
                    <a:noFill/>
                    <a:ln w="9525">
                      <a:noFill/>
                      <a:headEnd/>
                      <a:tailEnd/>
                    </a:ln>
                  </pic:spPr>
                </pic:pic>
              </a:graphicData>
            </a:graphic>
          </wp:inline>
        </w:drawing>
      </w:r>
    </w:p>
    <w:p>
      <w:pPr>
        <w:pStyle w:val="Heading1"/>
      </w:pPr>
      <w:bookmarkStart w:id="388" w:name="tit175"/>
      <w:r>
        <w:t xml:space="preserve">ANEXO H</w:t>
      </w:r>
      <w:r>
        <w:br/>
      </w:r>
      <w:r>
        <w:t xml:space="preserve">RESULTADOS DE ENSAYOS DE LABORATORIO</w:t>
      </w:r>
      <w:bookmarkEnd w:id="388"/>
    </w:p>
    <w:p>
      <w:pPr>
        <w:pStyle w:val="FirstParagraph"/>
      </w:pPr>
      <w:r>
        <w:t xml:space="preserve">Certificado de laboratorio N.</w:t>
      </w:r>
      <w:r>
        <w:rPr>
          <w:vertAlign w:val="superscript"/>
        </w:rPr>
        <w:t xml:space="preserve">o</w:t>
      </w:r>
      <w:r>
        <w:t xml:space="preserve"> 000293 del Laboratorio de Resistencia de Materiales y Tecnología del Hormigón de la Carrera de Ingeniería Civil (UATF).</w:t>
      </w:r>
    </w:p>
    <w:p>
      <w:pPr>
        <w:pStyle w:val="FiguraAPA"/>
        <w:pageBreakBefore/>
      </w:pPr>
      <w:r>
        <w:drawing>
          <wp:inline>
            <wp:extent cx="5411519" cy="7648514"/>
            <wp:effectExtent b="0" l="0" r="0" t="0"/>
            <wp:docPr descr="image" title="" id="386" name="Picture"/>
            <a:graphic>
              <a:graphicData uri="http://schemas.openxmlformats.org/drawingml/2006/picture">
                <pic:pic>
                  <pic:nvPicPr>
                    <pic:cNvPr descr="/home/user/TesisSGC/07_Entregables/scripts/_trabajo_sencilla/imagenes/pdfpag_40660e10dc0c98a3d8a6.png" id="387" name="Picture"/>
                    <pic:cNvPicPr>
                      <a:picLocks noChangeArrowheads="1" noChangeAspect="1"/>
                    </pic:cNvPicPr>
                  </pic:nvPicPr>
                  <pic:blipFill>
                    <a:blip r:embed="rId385"/>
                    <a:stretch>
                      <a:fillRect/>
                    </a:stretch>
                  </pic:blipFill>
                  <pic:spPr bwMode="auto">
                    <a:xfrm>
                      <a:off x="0" y="0"/>
                      <a:ext cx="5411519" cy="7648514"/>
                    </a:xfrm>
                    <a:prstGeom prst="rect">
                      <a:avLst/>
                    </a:prstGeom>
                    <a:noFill/>
                    <a:ln w="9525">
                      <a:noFill/>
                      <a:headEnd/>
                      <a:tailEnd/>
                    </a:ln>
                  </pic:spPr>
                </pic:pic>
              </a:graphicData>
            </a:graphic>
          </wp:inline>
        </w:drawing>
      </w:r>
    </w:p>
    <w:p>
      <w:pPr>
        <w:pStyle w:val="BodyText"/>
        <w:spacing w:before="240"/>
      </w:pPr>
      <w:r>
        <w:t xml:space="preserve">De la primera losa no se ensayó ninguna probeta: el certificado N.</w:t>
      </w:r>
      <w:r>
        <w:rPr>
          <w:vertAlign w:val="superscript"/>
        </w:rPr>
        <w:t xml:space="preserve">o</w:t>
      </w:r>
      <w:r>
        <w:t xml:space="preserve"> 000293 corresponde solo a 10 probetas de columnas y 2 de vigas (Sección 2.5.2).</w:t>
      </w:r>
    </w:p>
    <w:p>
      <w:pPr>
        <w:pStyle w:val="Heading1"/>
      </w:pPr>
      <w:bookmarkStart w:id="391" w:name="tit176"/>
      <w:r>
        <w:t xml:space="preserve">ANEXO I</w:t>
      </w:r>
      <w:r>
        <w:br/>
      </w:r>
      <w:r>
        <w:t xml:space="preserve">ANÁLISIS DE PRECIOS UNITARIOS DE REFERENCIA</w:t>
      </w:r>
      <w:bookmarkEnd w:id="391"/>
    </w:p>
    <w:p>
      <w:pPr>
        <w:pStyle w:val="FirstParagraph"/>
      </w:pPr>
      <w:r>
        <w:t xml:space="preserve">El análisis de precios unitarios (APU) contractual del ítem 13 no forma parte de la documentación de obra disponible para esta investigación. Para valorar las pérdidas de materiales a precios del contrato se reconstruyó un APU de referencia con las cantidades teóricas de la losa (Sección 2.5.4), los precios base de insumos y las incidencias de un APU boliviano documentado</w:t>
      </w:r>
      <w:r>
        <w:t xml:space="preserve"> </w:t>
      </w:r>
      <w:r>
        <w:t xml:space="preserve">(Cocarico Mamani, 2022)</w:t>
      </w:r>
      <w:r>
        <w:t xml:space="preserve">, y el precio de la vigueta pretensada con plastoformo publicado por el</w:t>
      </w:r>
      <w:r>
        <w:t xml:space="preserve"> </w:t>
      </w:r>
      <w:r>
        <w:t xml:space="preserve">INE (2026)</w:t>
      </w:r>
      <w:r>
        <w:t xml:space="preserve">. El APU reconstruido se calibró al precio contractual con un factor único</w:t>
      </w:r>
      <w:r>
        <w:t xml:space="preserve"> </w:t>
      </w:r>
      <m:oMath>
        <m:r>
          <m:t>κ</m:t>
        </m:r>
      </m:oMath>
      <w:r>
        <w:t xml:space="preserve">. Un valor de</w:t>
      </w:r>
      <w:r>
        <w:t xml:space="preserve"> </w:t>
      </w:r>
      <m:oMath>
        <m:r>
          <m:t>κ</m:t>
        </m:r>
      </m:oMath>
      <w:r>
        <w:t xml:space="preserve"> </w:t>
      </w:r>
      <w:r>
        <w:t xml:space="preserve">cercano a 1 indica que la estructura de costos reconstruida es coherente con el precio adjudicado.</w:t>
      </w:r>
    </w:p>
    <w:p>
      <w:pPr>
        <w:pStyle w:val="Heading2"/>
      </w:pPr>
      <w:bookmarkStart w:id="389" w:name="tit177"/>
      <w:r>
        <w:t xml:space="preserve">I.1. Ítem 13: losa alivianada con viguetas pretensadas y plastoformo, h = 25 cm (por m</w:t>
      </w:r>
      <w:r>
        <w:rPr>
          <w:vertAlign w:val="superscript"/>
        </w:rPr>
        <w:t xml:space="preserve">2</w:t>
      </w:r>
      <w:r>
        <w:t xml:space="preserve">)</w:t>
      </w:r>
      <w:bookmarkEnd w:id="389"/>
    </w:p>
    <w:tbl>
      <w:tblPr>
        <w:tblStyle w:val="Table"/>
        <w:tblW w:w="9359" w:type="dxa"/>
        <w:jc w:val="left"/>
        <w:tblLayout w:type="fixed"/>
        <w:tblCellMar>
          <w:top w:w="0" w:type="dxa"/>
          <w:left w:w="85" w:type="dxa"/>
          <w:bottom w:w="0" w:type="dxa"/>
          <w:right w:w="85" w:type="dxa"/>
        </w:tblCellMar>
        <w:tblLook w:firstRow="1" w:lastRow="0" w:firstColumn="0" w:lastColumn="0" w:noHBand="0" w:noVBand="0" w:val="0020"/>
      </w:tblPr>
      <w:tblGrid>
        <w:gridCol w:w="2576"/>
        <w:gridCol w:w="884"/>
        <w:gridCol w:w="1302"/>
        <w:gridCol w:w="1032"/>
        <w:gridCol w:w="1210"/>
        <w:gridCol w:w="2355"/>
      </w:tblGrid>
      <w:tr>
        <w:trPr>
          <w:cantSplit/>
          <w:tblHeader w:val="true"/>
        </w:trPr>
        <w:tc>
          <w:tcPr>
            <w:tcW w:w="2576" w:type="dxa"/>
            <w:tcBorders>
              <w:top w:val="single" w:sz="8" w:space="0" w:color="000000"/>
              <w:bottom w:val="single" w:sz="4" w:space="0" w:color="000000"/>
            </w:tcBorders>
          </w:tcPr>
          <w:p>
            <w:pPr>
              <w:pStyle w:val="CeldaAPA"/>
              <w:jc w:val="center"/>
            </w:pPr>
            <w:r>
              <w:rPr>
                <w:bCs/>
                <w:b/>
              </w:rPr>
              <w:t xml:space="preserve">Insumo</w:t>
            </w:r>
          </w:p>
        </w:tc>
        <w:tc>
          <w:tcPr>
            <w:tcW w:w="884" w:type="dxa"/>
            <w:tcBorders>
              <w:top w:val="single" w:sz="8" w:space="0" w:color="000000"/>
              <w:bottom w:val="single" w:sz="4" w:space="0" w:color="000000"/>
            </w:tcBorders>
          </w:tcPr>
          <w:p>
            <w:pPr>
              <w:pStyle w:val="CeldaAPA"/>
              <w:jc w:val="center"/>
            </w:pPr>
            <w:r>
              <w:rPr>
                <w:bCs/>
                <w:b/>
              </w:rPr>
              <w:t xml:space="preserve">Unid.</w:t>
            </w:r>
          </w:p>
        </w:tc>
        <w:tc>
          <w:tcPr>
            <w:tcW w:w="1302" w:type="dxa"/>
            <w:tcBorders>
              <w:top w:val="single" w:sz="8" w:space="0" w:color="000000"/>
              <w:bottom w:val="single" w:sz="4" w:space="0" w:color="000000"/>
            </w:tcBorders>
          </w:tcPr>
          <w:p>
            <w:pPr>
              <w:pStyle w:val="CeldaAPA"/>
              <w:jc w:val="center"/>
            </w:pPr>
            <w:r>
              <w:rPr>
                <w:bCs/>
                <w:b/>
              </w:rPr>
              <w:t xml:space="preserve">Cantidad</w:t>
            </w:r>
          </w:p>
        </w:tc>
        <w:tc>
          <w:tcPr>
            <w:tcW w:w="1032" w:type="dxa"/>
            <w:tcBorders>
              <w:top w:val="single" w:sz="8" w:space="0" w:color="000000"/>
              <w:bottom w:val="single" w:sz="4" w:space="0" w:color="000000"/>
            </w:tcBorders>
          </w:tcPr>
          <w:p>
            <w:pPr>
              <w:pStyle w:val="CeldaAPA"/>
              <w:jc w:val="center"/>
            </w:pPr>
            <w:r>
              <w:rPr>
                <w:bCs/>
                <w:b/>
              </w:rPr>
              <w:t xml:space="preserve">Precio base (Bs)</w:t>
            </w:r>
          </w:p>
        </w:tc>
        <w:tc>
          <w:tcPr>
            <w:tcW w:w="1210" w:type="dxa"/>
            <w:tcBorders>
              <w:top w:val="single" w:sz="8" w:space="0" w:color="000000"/>
              <w:bottom w:val="single" w:sz="4" w:space="0" w:color="000000"/>
            </w:tcBorders>
          </w:tcPr>
          <w:p>
            <w:pPr>
              <w:pStyle w:val="CeldaAPA"/>
              <w:jc w:val="center"/>
            </w:pPr>
            <w:r>
              <w:rPr>
                <w:bCs/>
                <w:b/>
              </w:rPr>
              <w:t xml:space="preserve">Parcial (Bs)</w:t>
            </w:r>
          </w:p>
        </w:tc>
        <w:tc>
          <w:tcPr>
            <w:tcW w:w="2355" w:type="dxa"/>
            <w:tcBorders>
              <w:top w:val="single" w:sz="8" w:space="0" w:color="000000"/>
              <w:bottom w:val="single" w:sz="4" w:space="0" w:color="000000"/>
            </w:tcBorders>
          </w:tcPr>
          <w:p>
            <w:pPr>
              <w:pStyle w:val="CeldaAPA"/>
              <w:jc w:val="center"/>
            </w:pPr>
            <w:r>
              <w:rPr>
                <w:bCs/>
                <w:b/>
              </w:rPr>
              <w:t xml:space="preserve">Fuente</w:t>
            </w:r>
          </w:p>
        </w:tc>
      </w:tr>
      <w:tr>
        <w:tc>
          <w:tcPr>
            <w:tcW w:w="9359" w:type="dxa"/>
            <w:gridSpan w:val="6"/>
          </w:tcPr>
          <w:p>
            <w:pPr>
              <w:pStyle w:val="CeldaAPA"/>
              <w:jc w:val="left"/>
            </w:pPr>
            <w:r>
              <w:rPr>
                <w:bCs/>
                <w:b/>
              </w:rPr>
              <w:t xml:space="preserve">Materiales</w:t>
            </w:r>
          </w:p>
        </w:tc>
      </w:tr>
      <w:tr>
        <w:tc>
          <w:tcPr>
            <w:tcW w:w="2576" w:type="dxa"/>
          </w:tcPr>
          <w:p>
            <w:pPr>
              <w:pStyle w:val="CeldaAPA"/>
              <w:jc w:val="left"/>
            </w:pPr>
            <w:r>
              <w:rPr/>
              <w:t xml:space="preserve">Vigueta pretensada</w:t>
            </w:r>
          </w:p>
        </w:tc>
        <w:tc>
          <w:tcPr>
            <w:tcW w:w="884" w:type="dxa"/>
          </w:tcPr>
          <w:p>
            <w:pPr>
              <w:pStyle w:val="CeldaAPA"/>
              <w:jc w:val="left"/>
            </w:pPr>
            <w:r>
              <w:rPr/>
              <w:t xml:space="preserve">m</w:t>
            </w:r>
          </w:p>
        </w:tc>
        <w:tc>
          <w:tcPr>
            <w:tcW w:w="1302" w:type="dxa"/>
          </w:tcPr>
          <w:p>
            <w:pPr>
              <w:pStyle w:val="CeldaAPA"/>
              <w:jc w:val="right"/>
            </w:pPr>
            <w:r>
              <w:rPr/>
              <w:t xml:space="preserve">1,9869</w:t>
            </w:r>
          </w:p>
        </w:tc>
        <w:tc>
          <w:tcPr>
            <w:tcW w:w="1032" w:type="dxa"/>
          </w:tcPr>
          <w:p>
            <w:pPr>
              <w:pStyle w:val="CeldaAPA"/>
              <w:jc w:val="right"/>
            </w:pPr>
            <w:r>
              <w:rPr/>
              <w:t xml:space="preserve">25,75</w:t>
            </w:r>
          </w:p>
        </w:tc>
        <w:tc>
          <w:tcPr>
            <w:tcW w:w="1210" w:type="dxa"/>
          </w:tcPr>
          <w:p>
            <w:pPr>
              <w:pStyle w:val="CeldaAPA"/>
              <w:jc w:val="right"/>
            </w:pPr>
            <w:r>
              <w:rPr/>
              <w:t xml:space="preserve">51,16</w:t>
            </w:r>
          </w:p>
        </w:tc>
        <w:tc>
          <w:tcPr>
            <w:tcW w:w="2355" w:type="dxa"/>
          </w:tcPr>
          <w:p>
            <w:pPr>
              <w:pStyle w:val="CeldaAPA"/>
              <w:jc w:val="left"/>
            </w:pPr>
            <w:r>
              <w:rPr/>
              <w:t xml:space="preserve">INE (2026), dic-2023, 2/3 del precio por m² de vigueta con plastoformo</w:t>
            </w:r>
          </w:p>
        </w:tc>
      </w:tr>
      <w:tr>
        <w:tc>
          <w:tcPr>
            <w:tcW w:w="2576" w:type="dxa"/>
          </w:tcPr>
          <w:p>
            <w:pPr>
              <w:pStyle w:val="CeldaAPA"/>
              <w:jc w:val="left"/>
            </w:pPr>
            <w:r>
              <w:rPr/>
              <w:t xml:space="preserve">Complemento de EPS</w:t>
            </w:r>
          </w:p>
        </w:tc>
        <w:tc>
          <w:tcPr>
            <w:tcW w:w="884" w:type="dxa"/>
          </w:tcPr>
          <w:p>
            <w:pPr>
              <w:pStyle w:val="CeldaAPA"/>
              <w:jc w:val="left"/>
            </w:pPr>
            <w:r>
              <w:rPr/>
              <w:t xml:space="preserve">pza</w:t>
            </w:r>
          </w:p>
        </w:tc>
        <w:tc>
          <w:tcPr>
            <w:tcW w:w="1302" w:type="dxa"/>
          </w:tcPr>
          <w:p>
            <w:pPr>
              <w:pStyle w:val="CeldaAPA"/>
              <w:jc w:val="right"/>
            </w:pPr>
            <w:r>
              <w:rPr/>
              <w:t xml:space="preserve">2,0164</w:t>
            </w:r>
          </w:p>
        </w:tc>
        <w:tc>
          <w:tcPr>
            <w:tcW w:w="1032" w:type="dxa"/>
          </w:tcPr>
          <w:p>
            <w:pPr>
              <w:pStyle w:val="CeldaAPA"/>
              <w:jc w:val="right"/>
            </w:pPr>
            <w:r>
              <w:rPr/>
              <w:t xml:space="preserve">12,63</w:t>
            </w:r>
          </w:p>
        </w:tc>
        <w:tc>
          <w:tcPr>
            <w:tcW w:w="1210" w:type="dxa"/>
          </w:tcPr>
          <w:p>
            <w:pPr>
              <w:pStyle w:val="CeldaAPA"/>
              <w:jc w:val="right"/>
            </w:pPr>
            <w:r>
              <w:rPr/>
              <w:t xml:space="preserve">25,47</w:t>
            </w:r>
          </w:p>
        </w:tc>
        <w:tc>
          <w:tcPr>
            <w:tcW w:w="2355" w:type="dxa"/>
          </w:tcPr>
          <w:p>
            <w:pPr>
              <w:pStyle w:val="CeldaAPA"/>
              <w:jc w:val="left"/>
            </w:pPr>
            <w:r>
              <w:rPr/>
              <w:t xml:space="preserve">INE (2026), dic-2023, 1/3 del precio por m² de vigueta con plastoformo</w:t>
            </w:r>
          </w:p>
        </w:tc>
      </w:tr>
      <w:tr>
        <w:tc>
          <w:tcPr>
            <w:tcW w:w="2576" w:type="dxa"/>
          </w:tcPr>
          <w:p>
            <w:pPr>
              <w:pStyle w:val="CeldaAPA"/>
              <w:jc w:val="left"/>
            </w:pPr>
            <w:r>
              <w:rPr/>
              <w:t xml:space="preserve">Cemento portland</w:t>
            </w:r>
          </w:p>
        </w:tc>
        <w:tc>
          <w:tcPr>
            <w:tcW w:w="884" w:type="dxa"/>
          </w:tcPr>
          <w:p>
            <w:pPr>
              <w:pStyle w:val="CeldaAPA"/>
              <w:jc w:val="left"/>
            </w:pPr>
            <w:r>
              <w:rPr/>
              <w:t xml:space="preserve">kg</w:t>
            </w:r>
          </w:p>
        </w:tc>
        <w:tc>
          <w:tcPr>
            <w:tcW w:w="1302" w:type="dxa"/>
          </w:tcPr>
          <w:p>
            <w:pPr>
              <w:pStyle w:val="CeldaAPA"/>
              <w:jc w:val="right"/>
            </w:pPr>
            <w:r>
              <w:rPr/>
              <w:t xml:space="preserve">28,5840</w:t>
            </w:r>
          </w:p>
        </w:tc>
        <w:tc>
          <w:tcPr>
            <w:tcW w:w="1032" w:type="dxa"/>
          </w:tcPr>
          <w:p>
            <w:pPr>
              <w:pStyle w:val="CeldaAPA"/>
              <w:jc w:val="right"/>
            </w:pPr>
            <w:r>
              <w:rPr/>
              <w:t xml:space="preserve">1,00</w:t>
            </w:r>
          </w:p>
        </w:tc>
        <w:tc>
          <w:tcPr>
            <w:tcW w:w="1210" w:type="dxa"/>
          </w:tcPr>
          <w:p>
            <w:pPr>
              <w:pStyle w:val="CeldaAPA"/>
              <w:jc w:val="right"/>
            </w:pPr>
            <w:r>
              <w:rPr/>
              <w:t xml:space="preserve">28,58</w:t>
            </w:r>
          </w:p>
        </w:tc>
        <w:tc>
          <w:tcPr>
            <w:tcW w:w="2355" w:type="dxa"/>
          </w:tcPr>
          <w:p>
            <w:pPr>
              <w:pStyle w:val="CeldaAPA"/>
              <w:jc w:val="left"/>
            </w:pPr>
            <w:r>
              <w:rPr/>
              <w:t xml:space="preserve">Cocarico Mamani (2022, p. 255); ET: 400 kg/m³</w:t>
            </w:r>
          </w:p>
        </w:tc>
      </w:tr>
      <w:tr>
        <w:tc>
          <w:tcPr>
            <w:tcW w:w="2576" w:type="dxa"/>
          </w:tcPr>
          <w:p>
            <w:pPr>
              <w:pStyle w:val="CeldaAPA"/>
              <w:jc w:val="left"/>
            </w:pPr>
            <w:r>
              <w:rPr/>
              <w:t xml:space="preserve">Arena común</w:t>
            </w:r>
          </w:p>
        </w:tc>
        <w:tc>
          <w:tcPr>
            <w:tcW w:w="884" w:type="dxa"/>
          </w:tcPr>
          <w:p>
            <w:pPr>
              <w:pStyle w:val="CeldaAPA"/>
              <w:jc w:val="left"/>
            </w:pPr>
            <w:r>
              <w:rPr/>
              <w:t xml:space="preserve">m3</w:t>
            </w:r>
          </w:p>
        </w:tc>
        <w:tc>
          <w:tcPr>
            <w:tcW w:w="1302" w:type="dxa"/>
          </w:tcPr>
          <w:p>
            <w:pPr>
              <w:pStyle w:val="CeldaAPA"/>
              <w:jc w:val="right"/>
            </w:pPr>
            <w:r>
              <w:rPr/>
              <w:t xml:space="preserve">0,0357</w:t>
            </w:r>
          </w:p>
        </w:tc>
        <w:tc>
          <w:tcPr>
            <w:tcW w:w="1032" w:type="dxa"/>
          </w:tcPr>
          <w:p>
            <w:pPr>
              <w:pStyle w:val="CeldaAPA"/>
              <w:jc w:val="right"/>
            </w:pPr>
            <w:r>
              <w:rPr/>
              <w:t xml:space="preserve">120,00</w:t>
            </w:r>
          </w:p>
        </w:tc>
        <w:tc>
          <w:tcPr>
            <w:tcW w:w="1210" w:type="dxa"/>
          </w:tcPr>
          <w:p>
            <w:pPr>
              <w:pStyle w:val="CeldaAPA"/>
              <w:jc w:val="right"/>
            </w:pPr>
            <w:r>
              <w:rPr/>
              <w:t xml:space="preserve">4,29</w:t>
            </w:r>
          </w:p>
        </w:tc>
        <w:tc>
          <w:tcPr>
            <w:tcW w:w="2355" w:type="dxa"/>
          </w:tcPr>
          <w:p>
            <w:pPr>
              <w:pStyle w:val="CeldaAPA"/>
              <w:jc w:val="left"/>
            </w:pPr>
            <w:r>
              <w:rPr/>
              <w:t xml:space="preserve">Cocarico Mamani (2022, p. 255)</w:t>
            </w:r>
          </w:p>
        </w:tc>
      </w:tr>
      <w:tr>
        <w:tc>
          <w:tcPr>
            <w:tcW w:w="2576" w:type="dxa"/>
          </w:tcPr>
          <w:p>
            <w:pPr>
              <w:pStyle w:val="CeldaAPA"/>
              <w:jc w:val="left"/>
            </w:pPr>
            <w:r>
              <w:rPr/>
              <w:t xml:space="preserve">Grava</w:t>
            </w:r>
          </w:p>
        </w:tc>
        <w:tc>
          <w:tcPr>
            <w:tcW w:w="884" w:type="dxa"/>
          </w:tcPr>
          <w:p>
            <w:pPr>
              <w:pStyle w:val="CeldaAPA"/>
              <w:jc w:val="left"/>
            </w:pPr>
            <w:r>
              <w:rPr/>
              <w:t xml:space="preserve">m3</w:t>
            </w:r>
          </w:p>
        </w:tc>
        <w:tc>
          <w:tcPr>
            <w:tcW w:w="1302" w:type="dxa"/>
          </w:tcPr>
          <w:p>
            <w:pPr>
              <w:pStyle w:val="CeldaAPA"/>
              <w:jc w:val="right"/>
            </w:pPr>
            <w:r>
              <w:rPr/>
              <w:t xml:space="preserve">0,0572</w:t>
            </w:r>
          </w:p>
        </w:tc>
        <w:tc>
          <w:tcPr>
            <w:tcW w:w="1032" w:type="dxa"/>
          </w:tcPr>
          <w:p>
            <w:pPr>
              <w:pStyle w:val="CeldaAPA"/>
              <w:jc w:val="right"/>
            </w:pPr>
            <w:r>
              <w:rPr/>
              <w:t xml:space="preserve">120,00</w:t>
            </w:r>
          </w:p>
        </w:tc>
        <w:tc>
          <w:tcPr>
            <w:tcW w:w="1210" w:type="dxa"/>
          </w:tcPr>
          <w:p>
            <w:pPr>
              <w:pStyle w:val="CeldaAPA"/>
              <w:jc w:val="right"/>
            </w:pPr>
            <w:r>
              <w:rPr/>
              <w:t xml:space="preserve">6,86</w:t>
            </w:r>
          </w:p>
        </w:tc>
        <w:tc>
          <w:tcPr>
            <w:tcW w:w="2355" w:type="dxa"/>
          </w:tcPr>
          <w:p>
            <w:pPr>
              <w:pStyle w:val="CeldaAPA"/>
              <w:jc w:val="left"/>
            </w:pPr>
            <w:r>
              <w:rPr/>
              <w:t xml:space="preserve">Cocarico Mamani (2022, p. 255)</w:t>
            </w:r>
          </w:p>
        </w:tc>
      </w:tr>
      <w:tr>
        <w:tc>
          <w:tcPr>
            <w:tcW w:w="2576" w:type="dxa"/>
          </w:tcPr>
          <w:p>
            <w:pPr>
              <w:pStyle w:val="CeldaAPA"/>
              <w:jc w:val="left"/>
            </w:pPr>
            <w:r>
              <w:rPr/>
              <w:t xml:space="preserve">Madera de construcción</w:t>
            </w:r>
          </w:p>
        </w:tc>
        <w:tc>
          <w:tcPr>
            <w:tcW w:w="884" w:type="dxa"/>
          </w:tcPr>
          <w:p>
            <w:pPr>
              <w:pStyle w:val="CeldaAPA"/>
              <w:jc w:val="left"/>
            </w:pPr>
            <w:r>
              <w:rPr/>
              <w:t xml:space="preserve">p2</w:t>
            </w:r>
          </w:p>
        </w:tc>
        <w:tc>
          <w:tcPr>
            <w:tcW w:w="1302" w:type="dxa"/>
          </w:tcPr>
          <w:p>
            <w:pPr>
              <w:pStyle w:val="CeldaAPA"/>
              <w:jc w:val="right"/>
            </w:pPr>
            <w:r>
              <w:rPr/>
              <w:t xml:space="preserve">1,0000</w:t>
            </w:r>
          </w:p>
        </w:tc>
        <w:tc>
          <w:tcPr>
            <w:tcW w:w="1032" w:type="dxa"/>
          </w:tcPr>
          <w:p>
            <w:pPr>
              <w:pStyle w:val="CeldaAPA"/>
              <w:jc w:val="right"/>
            </w:pPr>
            <w:r>
              <w:rPr/>
              <w:t xml:space="preserve">8,00</w:t>
            </w:r>
          </w:p>
        </w:tc>
        <w:tc>
          <w:tcPr>
            <w:tcW w:w="1210" w:type="dxa"/>
          </w:tcPr>
          <w:p>
            <w:pPr>
              <w:pStyle w:val="CeldaAPA"/>
              <w:jc w:val="right"/>
            </w:pPr>
            <w:r>
              <w:rPr/>
              <w:t xml:space="preserve">8,00</w:t>
            </w:r>
          </w:p>
        </w:tc>
        <w:tc>
          <w:tcPr>
            <w:tcW w:w="2355" w:type="dxa"/>
          </w:tcPr>
          <w:p>
            <w:pPr>
              <w:pStyle w:val="CeldaAPA"/>
              <w:jc w:val="left"/>
            </w:pPr>
            <w:r>
              <w:rPr/>
              <w:t xml:space="preserve">Cocarico Mamani (2022, p. 255)</w:t>
            </w:r>
          </w:p>
        </w:tc>
      </w:tr>
      <w:tr>
        <w:tc>
          <w:tcPr>
            <w:tcW w:w="2576" w:type="dxa"/>
          </w:tcPr>
          <w:p>
            <w:pPr>
              <w:pStyle w:val="CeldaAPA"/>
              <w:jc w:val="left"/>
            </w:pPr>
            <w:r>
              <w:rPr/>
              <w:t xml:space="preserve">Clavos</w:t>
            </w:r>
          </w:p>
        </w:tc>
        <w:tc>
          <w:tcPr>
            <w:tcW w:w="884" w:type="dxa"/>
          </w:tcPr>
          <w:p>
            <w:pPr>
              <w:pStyle w:val="CeldaAPA"/>
              <w:jc w:val="left"/>
            </w:pPr>
            <w:r>
              <w:rPr/>
              <w:t xml:space="preserve">kg</w:t>
            </w:r>
          </w:p>
        </w:tc>
        <w:tc>
          <w:tcPr>
            <w:tcW w:w="1302" w:type="dxa"/>
          </w:tcPr>
          <w:p>
            <w:pPr>
              <w:pStyle w:val="CeldaAPA"/>
              <w:jc w:val="right"/>
            </w:pPr>
            <w:r>
              <w:rPr/>
              <w:t xml:space="preserve">0,1000</w:t>
            </w:r>
          </w:p>
        </w:tc>
        <w:tc>
          <w:tcPr>
            <w:tcW w:w="1032" w:type="dxa"/>
          </w:tcPr>
          <w:p>
            <w:pPr>
              <w:pStyle w:val="CeldaAPA"/>
              <w:jc w:val="right"/>
            </w:pPr>
            <w:r>
              <w:rPr/>
              <w:t xml:space="preserve">10,00</w:t>
            </w:r>
          </w:p>
        </w:tc>
        <w:tc>
          <w:tcPr>
            <w:tcW w:w="1210" w:type="dxa"/>
          </w:tcPr>
          <w:p>
            <w:pPr>
              <w:pStyle w:val="CeldaAPA"/>
              <w:jc w:val="right"/>
            </w:pPr>
            <w:r>
              <w:rPr/>
              <w:t xml:space="preserve">1,00</w:t>
            </w:r>
          </w:p>
        </w:tc>
        <w:tc>
          <w:tcPr>
            <w:tcW w:w="2355" w:type="dxa"/>
          </w:tcPr>
          <w:p>
            <w:pPr>
              <w:pStyle w:val="CeldaAPA"/>
              <w:jc w:val="left"/>
            </w:pPr>
            <w:r>
              <w:rPr/>
              <w:t xml:space="preserve">Cocarico Mamani (2022, p. 255)</w:t>
            </w:r>
          </w:p>
        </w:tc>
      </w:tr>
      <w:tr>
        <w:tc>
          <w:tcPr>
            <w:tcW w:w="2576" w:type="dxa"/>
          </w:tcPr>
          <w:p>
            <w:pPr>
              <w:pStyle w:val="CeldaAPA"/>
              <w:jc w:val="left"/>
            </w:pPr>
            <w:r>
              <w:rPr/>
              <w:t xml:space="preserve">Alambre de amarre</w:t>
            </w:r>
          </w:p>
        </w:tc>
        <w:tc>
          <w:tcPr>
            <w:tcW w:w="884" w:type="dxa"/>
          </w:tcPr>
          <w:p>
            <w:pPr>
              <w:pStyle w:val="CeldaAPA"/>
              <w:jc w:val="left"/>
            </w:pPr>
            <w:r>
              <w:rPr/>
              <w:t xml:space="preserve">kg</w:t>
            </w:r>
          </w:p>
        </w:tc>
        <w:tc>
          <w:tcPr>
            <w:tcW w:w="1302" w:type="dxa"/>
          </w:tcPr>
          <w:p>
            <w:pPr>
              <w:pStyle w:val="CeldaAPA"/>
              <w:jc w:val="right"/>
            </w:pPr>
            <w:r>
              <w:rPr/>
              <w:t xml:space="preserve">0,0200</w:t>
            </w:r>
          </w:p>
        </w:tc>
        <w:tc>
          <w:tcPr>
            <w:tcW w:w="1032" w:type="dxa"/>
          </w:tcPr>
          <w:p>
            <w:pPr>
              <w:pStyle w:val="CeldaAPA"/>
              <w:jc w:val="right"/>
            </w:pPr>
            <w:r>
              <w:rPr/>
              <w:t xml:space="preserve">11,50</w:t>
            </w:r>
          </w:p>
        </w:tc>
        <w:tc>
          <w:tcPr>
            <w:tcW w:w="1210" w:type="dxa"/>
          </w:tcPr>
          <w:p>
            <w:pPr>
              <w:pStyle w:val="CeldaAPA"/>
              <w:jc w:val="right"/>
            </w:pPr>
            <w:r>
              <w:rPr/>
              <w:t xml:space="preserve">0,23</w:t>
            </w:r>
          </w:p>
        </w:tc>
        <w:tc>
          <w:tcPr>
            <w:tcW w:w="2355" w:type="dxa"/>
          </w:tcPr>
          <w:p>
            <w:pPr>
              <w:pStyle w:val="CeldaAPA"/>
              <w:jc w:val="left"/>
            </w:pPr>
            <w:r>
              <w:rPr/>
              <w:t xml:space="preserve">Cocarico Mamani (2022, p. 255)</w:t>
            </w:r>
          </w:p>
        </w:tc>
      </w:tr>
      <w:tr>
        <w:tc>
          <w:tcPr>
            <w:tcW w:w="9359" w:type="dxa"/>
            <w:gridSpan w:val="6"/>
          </w:tcPr>
          <w:p>
            <w:pPr>
              <w:pStyle w:val="CeldaAPA"/>
              <w:jc w:val="left"/>
            </w:pPr>
            <w:r>
              <w:rPr>
                <w:bCs/>
                <w:b/>
              </w:rPr>
              <w:t xml:space="preserve">Mano de obra</w:t>
            </w:r>
          </w:p>
        </w:tc>
      </w:tr>
      <w:tr>
        <w:tc>
          <w:tcPr>
            <w:tcW w:w="2576" w:type="dxa"/>
          </w:tcPr>
          <w:p>
            <w:pPr>
              <w:pStyle w:val="CeldaAPA"/>
              <w:jc w:val="left"/>
            </w:pPr>
            <w:r>
              <w:rPr/>
              <w:t xml:space="preserve">Albañil</w:t>
            </w:r>
          </w:p>
        </w:tc>
        <w:tc>
          <w:tcPr>
            <w:tcW w:w="884" w:type="dxa"/>
          </w:tcPr>
          <w:p>
            <w:pPr>
              <w:pStyle w:val="CeldaAPA"/>
              <w:jc w:val="left"/>
            </w:pPr>
            <w:r>
              <w:rPr/>
              <w:t xml:space="preserve">h</w:t>
            </w:r>
          </w:p>
        </w:tc>
        <w:tc>
          <w:tcPr>
            <w:tcW w:w="1302" w:type="dxa"/>
          </w:tcPr>
          <w:p>
            <w:pPr>
              <w:pStyle w:val="CeldaAPA"/>
              <w:jc w:val="right"/>
            </w:pPr>
            <w:r>
              <w:rPr/>
              <w:t xml:space="preserve">0,4000</w:t>
            </w:r>
          </w:p>
        </w:tc>
        <w:tc>
          <w:tcPr>
            <w:tcW w:w="1032" w:type="dxa"/>
          </w:tcPr>
          <w:p>
            <w:pPr>
              <w:pStyle w:val="CeldaAPA"/>
              <w:jc w:val="right"/>
            </w:pPr>
            <w:r>
              <w:rPr/>
              <w:t xml:space="preserve">22,41</w:t>
            </w:r>
          </w:p>
        </w:tc>
        <w:tc>
          <w:tcPr>
            <w:tcW w:w="1210" w:type="dxa"/>
          </w:tcPr>
          <w:p>
            <w:pPr>
              <w:pStyle w:val="CeldaAPA"/>
              <w:jc w:val="right"/>
            </w:pPr>
            <w:r>
              <w:rPr/>
              <w:t xml:space="preserve">8,96</w:t>
            </w:r>
          </w:p>
        </w:tc>
        <w:tc>
          <w:tcPr>
            <w:tcW w:w="2355" w:type="dxa"/>
          </w:tcPr>
          <w:p>
            <w:pPr>
              <w:pStyle w:val="CeldaAPA"/>
              <w:jc w:val="left"/>
            </w:pPr>
            <w:r>
              <w:rPr/>
              <w:t xml:space="preserve">Cocarico Mamani (2022, p. 255); rendimiento adaptado de Castañeda Briceño (2017, p. 52)</w:t>
            </w:r>
          </w:p>
        </w:tc>
      </w:tr>
      <w:tr>
        <w:tc>
          <w:tcPr>
            <w:tcW w:w="2576" w:type="dxa"/>
          </w:tcPr>
          <w:p>
            <w:pPr>
              <w:pStyle w:val="CeldaAPA"/>
              <w:jc w:val="left"/>
            </w:pPr>
            <w:r>
              <w:rPr/>
              <w:t xml:space="preserve">Ayudante</w:t>
            </w:r>
          </w:p>
        </w:tc>
        <w:tc>
          <w:tcPr>
            <w:tcW w:w="884" w:type="dxa"/>
          </w:tcPr>
          <w:p>
            <w:pPr>
              <w:pStyle w:val="CeldaAPA"/>
              <w:jc w:val="left"/>
            </w:pPr>
            <w:r>
              <w:rPr/>
              <w:t xml:space="preserve">h</w:t>
            </w:r>
          </w:p>
        </w:tc>
        <w:tc>
          <w:tcPr>
            <w:tcW w:w="1302" w:type="dxa"/>
          </w:tcPr>
          <w:p>
            <w:pPr>
              <w:pStyle w:val="CeldaAPA"/>
              <w:jc w:val="right"/>
            </w:pPr>
            <w:r>
              <w:rPr/>
              <w:t xml:space="preserve">0,7000</w:t>
            </w:r>
          </w:p>
        </w:tc>
        <w:tc>
          <w:tcPr>
            <w:tcW w:w="1032" w:type="dxa"/>
          </w:tcPr>
          <w:p>
            <w:pPr>
              <w:pStyle w:val="CeldaAPA"/>
              <w:jc w:val="right"/>
            </w:pPr>
            <w:r>
              <w:rPr/>
              <w:t xml:space="preserve">13,92</w:t>
            </w:r>
          </w:p>
        </w:tc>
        <w:tc>
          <w:tcPr>
            <w:tcW w:w="1210" w:type="dxa"/>
          </w:tcPr>
          <w:p>
            <w:pPr>
              <w:pStyle w:val="CeldaAPA"/>
              <w:jc w:val="right"/>
            </w:pPr>
            <w:r>
              <w:rPr/>
              <w:t xml:space="preserve">9,74</w:t>
            </w:r>
          </w:p>
        </w:tc>
        <w:tc>
          <w:tcPr>
            <w:tcW w:w="2355" w:type="dxa"/>
          </w:tcPr>
          <w:p>
            <w:pPr>
              <w:pStyle w:val="CeldaAPA"/>
              <w:jc w:val="left"/>
            </w:pPr>
            <w:r>
              <w:rPr/>
              <w:t xml:space="preserve">Ídem</w:t>
            </w:r>
          </w:p>
        </w:tc>
      </w:tr>
      <w:tr>
        <w:tc>
          <w:tcPr>
            <w:tcW w:w="2576" w:type="dxa"/>
          </w:tcPr>
          <w:p>
            <w:pPr>
              <w:pStyle w:val="CeldaAPA"/>
              <w:jc w:val="left"/>
            </w:pPr>
            <w:r>
              <w:rPr/>
              <w:t xml:space="preserve">Encofrador</w:t>
            </w:r>
          </w:p>
        </w:tc>
        <w:tc>
          <w:tcPr>
            <w:tcW w:w="884" w:type="dxa"/>
          </w:tcPr>
          <w:p>
            <w:pPr>
              <w:pStyle w:val="CeldaAPA"/>
              <w:jc w:val="left"/>
            </w:pPr>
            <w:r>
              <w:rPr/>
              <w:t xml:space="preserve">h</w:t>
            </w:r>
          </w:p>
        </w:tc>
        <w:tc>
          <w:tcPr>
            <w:tcW w:w="1302" w:type="dxa"/>
          </w:tcPr>
          <w:p>
            <w:pPr>
              <w:pStyle w:val="CeldaAPA"/>
              <w:jc w:val="right"/>
            </w:pPr>
            <w:r>
              <w:rPr/>
              <w:t xml:space="preserve">0,2000</w:t>
            </w:r>
          </w:p>
        </w:tc>
        <w:tc>
          <w:tcPr>
            <w:tcW w:w="1032" w:type="dxa"/>
          </w:tcPr>
          <w:p>
            <w:pPr>
              <w:pStyle w:val="CeldaAPA"/>
              <w:jc w:val="right"/>
            </w:pPr>
            <w:r>
              <w:rPr/>
              <w:t xml:space="preserve">21,07</w:t>
            </w:r>
          </w:p>
        </w:tc>
        <w:tc>
          <w:tcPr>
            <w:tcW w:w="1210" w:type="dxa"/>
          </w:tcPr>
          <w:p>
            <w:pPr>
              <w:pStyle w:val="CeldaAPA"/>
              <w:jc w:val="right"/>
            </w:pPr>
            <w:r>
              <w:rPr/>
              <w:t xml:space="preserve">4,21</w:t>
            </w:r>
          </w:p>
        </w:tc>
        <w:tc>
          <w:tcPr>
            <w:tcW w:w="2355" w:type="dxa"/>
          </w:tcPr>
          <w:p>
            <w:pPr>
              <w:pStyle w:val="CeldaAPA"/>
              <w:jc w:val="left"/>
            </w:pPr>
            <w:r>
              <w:rPr/>
              <w:t xml:space="preserve">Ídem</w:t>
            </w:r>
          </w:p>
        </w:tc>
      </w:tr>
      <w:tr>
        <w:tc>
          <w:tcPr>
            <w:tcW w:w="9359" w:type="dxa"/>
            <w:gridSpan w:val="6"/>
          </w:tcPr>
          <w:p>
            <w:pPr>
              <w:pStyle w:val="CeldaAPA"/>
              <w:jc w:val="left"/>
            </w:pPr>
            <w:r>
              <w:rPr>
                <w:bCs/>
                <w:b/>
              </w:rPr>
              <w:t xml:space="preserve">Equipo y herramientas</w:t>
            </w:r>
          </w:p>
        </w:tc>
      </w:tr>
      <w:tr>
        <w:tc>
          <w:tcPr>
            <w:tcW w:w="2576" w:type="dxa"/>
          </w:tcPr>
          <w:p>
            <w:pPr>
              <w:pStyle w:val="CeldaAPA"/>
              <w:jc w:val="left"/>
            </w:pPr>
            <w:r>
              <w:rPr/>
              <w:t xml:space="preserve">Mezcladora de 280 L</w:t>
            </w:r>
          </w:p>
        </w:tc>
        <w:tc>
          <w:tcPr>
            <w:tcW w:w="884" w:type="dxa"/>
          </w:tcPr>
          <w:p>
            <w:pPr>
              <w:pStyle w:val="CeldaAPA"/>
              <w:jc w:val="left"/>
            </w:pPr>
            <w:r>
              <w:rPr/>
              <w:t xml:space="preserve">h</w:t>
            </w:r>
          </w:p>
        </w:tc>
        <w:tc>
          <w:tcPr>
            <w:tcW w:w="1302" w:type="dxa"/>
          </w:tcPr>
          <w:p>
            <w:pPr>
              <w:pStyle w:val="CeldaAPA"/>
              <w:jc w:val="right"/>
            </w:pPr>
            <w:r>
              <w:rPr/>
              <w:t xml:space="preserve">0,0500</w:t>
            </w:r>
          </w:p>
        </w:tc>
        <w:tc>
          <w:tcPr>
            <w:tcW w:w="1032" w:type="dxa"/>
          </w:tcPr>
          <w:p>
            <w:pPr>
              <w:pStyle w:val="CeldaAPA"/>
              <w:jc w:val="right"/>
            </w:pPr>
            <w:r>
              <w:rPr/>
              <w:t xml:space="preserve">25,24</w:t>
            </w:r>
          </w:p>
        </w:tc>
        <w:tc>
          <w:tcPr>
            <w:tcW w:w="1210" w:type="dxa"/>
          </w:tcPr>
          <w:p>
            <w:pPr>
              <w:pStyle w:val="CeldaAPA"/>
              <w:jc w:val="right"/>
            </w:pPr>
            <w:r>
              <w:rPr/>
              <w:t xml:space="preserve">1,26</w:t>
            </w:r>
          </w:p>
        </w:tc>
        <w:tc>
          <w:tcPr>
            <w:tcW w:w="2355" w:type="dxa"/>
          </w:tcPr>
          <w:p>
            <w:pPr>
              <w:pStyle w:val="CeldaAPA"/>
              <w:jc w:val="left"/>
            </w:pPr>
            <w:r>
              <w:rPr/>
              <w:t xml:space="preserve">Cocarico Mamani (2022, p. 256)</w:t>
            </w:r>
          </w:p>
        </w:tc>
      </w:tr>
      <w:tr>
        <w:tc>
          <w:tcPr>
            <w:tcW w:w="2576" w:type="dxa"/>
          </w:tcPr>
          <w:p>
            <w:pPr>
              <w:pStyle w:val="CeldaAPA"/>
              <w:jc w:val="left"/>
            </w:pPr>
            <w:r>
              <w:rPr/>
              <w:t xml:space="preserve">Vibradora</w:t>
            </w:r>
          </w:p>
        </w:tc>
        <w:tc>
          <w:tcPr>
            <w:tcW w:w="884" w:type="dxa"/>
          </w:tcPr>
          <w:p>
            <w:pPr>
              <w:pStyle w:val="CeldaAPA"/>
              <w:jc w:val="left"/>
            </w:pPr>
            <w:r>
              <w:rPr/>
              <w:t xml:space="preserve">h</w:t>
            </w:r>
          </w:p>
        </w:tc>
        <w:tc>
          <w:tcPr>
            <w:tcW w:w="1302" w:type="dxa"/>
          </w:tcPr>
          <w:p>
            <w:pPr>
              <w:pStyle w:val="CeldaAPA"/>
              <w:jc w:val="right"/>
            </w:pPr>
            <w:r>
              <w:rPr/>
              <w:t xml:space="preserve">0,0500</w:t>
            </w:r>
          </w:p>
        </w:tc>
        <w:tc>
          <w:tcPr>
            <w:tcW w:w="1032" w:type="dxa"/>
          </w:tcPr>
          <w:p>
            <w:pPr>
              <w:pStyle w:val="CeldaAPA"/>
              <w:jc w:val="right"/>
            </w:pPr>
            <w:r>
              <w:rPr/>
              <w:t xml:space="preserve">15,29</w:t>
            </w:r>
          </w:p>
        </w:tc>
        <w:tc>
          <w:tcPr>
            <w:tcW w:w="1210" w:type="dxa"/>
          </w:tcPr>
          <w:p>
            <w:pPr>
              <w:pStyle w:val="CeldaAPA"/>
              <w:jc w:val="right"/>
            </w:pPr>
            <w:r>
              <w:rPr/>
              <w:t xml:space="preserve">0,76</w:t>
            </w:r>
          </w:p>
        </w:tc>
        <w:tc>
          <w:tcPr>
            <w:tcW w:w="2355" w:type="dxa"/>
          </w:tcPr>
          <w:p>
            <w:pPr>
              <w:pStyle w:val="CeldaAPA"/>
              <w:jc w:val="left"/>
            </w:pPr>
            <w:r>
              <w:rPr/>
              <w:t xml:space="preserve">Cocarico Mamani (2022, p. 256)</w:t>
            </w:r>
          </w:p>
        </w:tc>
      </w:tr>
      <w:tr>
        <w:tc>
          <w:tcPr>
            <w:tcW w:w="5794" w:type="dxa"/>
            <w:gridSpan w:val="4"/>
            <w:tcBorders>
              <w:top w:val="single" w:sz="4" w:space="0" w:color="000000"/>
            </w:tcBorders>
          </w:tcPr>
          <w:p>
            <w:pPr>
              <w:pStyle w:val="CeldaAPA"/>
              <w:jc w:val="left"/>
            </w:pPr>
            <w:r>
              <w:rPr/>
              <w:t xml:space="preserve">Subtotal materiales</w:t>
            </w:r>
          </w:p>
        </w:tc>
        <w:tc>
          <w:tcPr>
            <w:tcW w:w="1210" w:type="dxa"/>
            <w:tcBorders>
              <w:top w:val="single" w:sz="4" w:space="0" w:color="000000"/>
            </w:tcBorders>
          </w:tcPr>
          <w:p>
            <w:pPr>
              <w:pStyle w:val="CeldaAPA"/>
              <w:jc w:val="right"/>
            </w:pPr>
            <w:r>
              <w:rPr/>
              <w:t xml:space="preserve">125,59</w:t>
            </w:r>
          </w:p>
        </w:tc>
        <w:tc>
          <w:tcPr>
            <w:tcW w:w="2355" w:type="dxa"/>
            <w:tcBorders>
              <w:top w:val="single" w:sz="4" w:space="0" w:color="000000"/>
            </w:tcBorders>
          </w:tcPr>
          <w:p>
            <w:pPr>
              <w:pStyle w:val="CeldaAPA"/>
            </w:pPr>
          </w:p>
        </w:tc>
      </w:tr>
      <w:tr>
        <w:tc>
          <w:tcPr>
            <w:tcW w:w="5794" w:type="dxa"/>
            <w:gridSpan w:val="4"/>
          </w:tcPr>
          <w:p>
            <w:pPr>
              <w:pStyle w:val="CeldaAPA"/>
              <w:jc w:val="left"/>
            </w:pPr>
            <w:r>
              <w:rPr/>
              <w:t xml:space="preserve">Mano de obra (sin cargas)</w:t>
            </w:r>
          </w:p>
        </w:tc>
        <w:tc>
          <w:tcPr>
            <w:tcW w:w="1210" w:type="dxa"/>
          </w:tcPr>
          <w:p>
            <w:pPr>
              <w:pStyle w:val="CeldaAPA"/>
              <w:jc w:val="right"/>
            </w:pPr>
            <w:r>
              <w:rPr/>
              <w:t xml:space="preserve">22,92</w:t>
            </w:r>
          </w:p>
        </w:tc>
        <w:tc>
          <w:tcPr>
            <w:tcW w:w="2355" w:type="dxa"/>
          </w:tcPr>
          <w:p>
            <w:pPr>
              <w:pStyle w:val="CeldaAPA"/>
            </w:pPr>
          </w:p>
        </w:tc>
      </w:tr>
      <w:tr>
        <w:tc>
          <w:tcPr>
            <w:tcW w:w="5794" w:type="dxa"/>
            <w:gridSpan w:val="4"/>
          </w:tcPr>
          <w:p>
            <w:pPr>
              <w:pStyle w:val="CeldaAPA"/>
              <w:jc w:val="left"/>
            </w:pPr>
            <w:r>
              <w:rPr/>
              <w:t xml:space="preserve">Beneficios sociales (71 % de la mano de obra)</w:t>
            </w:r>
          </w:p>
        </w:tc>
        <w:tc>
          <w:tcPr>
            <w:tcW w:w="1210" w:type="dxa"/>
          </w:tcPr>
          <w:p>
            <w:pPr>
              <w:pStyle w:val="CeldaAPA"/>
              <w:jc w:val="right"/>
            </w:pPr>
            <w:r>
              <w:rPr/>
              <w:t xml:space="preserve">16,27</w:t>
            </w:r>
          </w:p>
        </w:tc>
        <w:tc>
          <w:tcPr>
            <w:tcW w:w="2355" w:type="dxa"/>
          </w:tcPr>
          <w:p>
            <w:pPr>
              <w:pStyle w:val="CeldaAPA"/>
            </w:pPr>
          </w:p>
        </w:tc>
      </w:tr>
      <w:tr>
        <w:tc>
          <w:tcPr>
            <w:tcW w:w="5794" w:type="dxa"/>
            <w:gridSpan w:val="4"/>
          </w:tcPr>
          <w:p>
            <w:pPr>
              <w:pStyle w:val="CeldaAPA"/>
              <w:jc w:val="left"/>
            </w:pPr>
            <w:r>
              <w:rPr/>
              <w:t xml:space="preserve">IVA sobre mano de obra (14,94 %)</w:t>
            </w:r>
          </w:p>
        </w:tc>
        <w:tc>
          <w:tcPr>
            <w:tcW w:w="1210" w:type="dxa"/>
          </w:tcPr>
          <w:p>
            <w:pPr>
              <w:pStyle w:val="CeldaAPA"/>
              <w:jc w:val="right"/>
            </w:pPr>
            <w:r>
              <w:rPr/>
              <w:t xml:space="preserve">5,86</w:t>
            </w:r>
          </w:p>
        </w:tc>
        <w:tc>
          <w:tcPr>
            <w:tcW w:w="2355" w:type="dxa"/>
          </w:tcPr>
          <w:p>
            <w:pPr>
              <w:pStyle w:val="CeldaAPA"/>
            </w:pPr>
          </w:p>
        </w:tc>
      </w:tr>
      <w:tr>
        <w:tc>
          <w:tcPr>
            <w:tcW w:w="5794" w:type="dxa"/>
            <w:gridSpan w:val="4"/>
          </w:tcPr>
          <w:p>
            <w:pPr>
              <w:pStyle w:val="CeldaAPA"/>
              <w:jc w:val="left"/>
            </w:pPr>
            <w:r>
              <w:rPr/>
              <w:t xml:space="preserve">Equipo</w:t>
            </w:r>
          </w:p>
        </w:tc>
        <w:tc>
          <w:tcPr>
            <w:tcW w:w="1210" w:type="dxa"/>
          </w:tcPr>
          <w:p>
            <w:pPr>
              <w:pStyle w:val="CeldaAPA"/>
              <w:jc w:val="right"/>
            </w:pPr>
            <w:r>
              <w:rPr/>
              <w:t xml:space="preserve">2,03</w:t>
            </w:r>
          </w:p>
        </w:tc>
        <w:tc>
          <w:tcPr>
            <w:tcW w:w="2355" w:type="dxa"/>
          </w:tcPr>
          <w:p>
            <w:pPr>
              <w:pStyle w:val="CeldaAPA"/>
            </w:pPr>
          </w:p>
        </w:tc>
      </w:tr>
      <w:tr>
        <w:tc>
          <w:tcPr>
            <w:tcW w:w="5794" w:type="dxa"/>
            <w:gridSpan w:val="4"/>
          </w:tcPr>
          <w:p>
            <w:pPr>
              <w:pStyle w:val="CeldaAPA"/>
              <w:jc w:val="left"/>
            </w:pPr>
            <w:r>
              <w:rPr/>
              <w:t xml:space="preserve">Herramientas menores (5 % de la mano de obra total)</w:t>
            </w:r>
          </w:p>
        </w:tc>
        <w:tc>
          <w:tcPr>
            <w:tcW w:w="1210" w:type="dxa"/>
          </w:tcPr>
          <w:p>
            <w:pPr>
              <w:pStyle w:val="CeldaAPA"/>
              <w:jc w:val="right"/>
            </w:pPr>
            <w:r>
              <w:rPr/>
              <w:t xml:space="preserve">2,25</w:t>
            </w:r>
          </w:p>
        </w:tc>
        <w:tc>
          <w:tcPr>
            <w:tcW w:w="2355" w:type="dxa"/>
          </w:tcPr>
          <w:p>
            <w:pPr>
              <w:pStyle w:val="CeldaAPA"/>
            </w:pPr>
          </w:p>
        </w:tc>
      </w:tr>
      <w:tr>
        <w:tc>
          <w:tcPr>
            <w:tcW w:w="5794" w:type="dxa"/>
            <w:gridSpan w:val="4"/>
          </w:tcPr>
          <w:p>
            <w:pPr>
              <w:pStyle w:val="CeldaAPA"/>
              <w:jc w:val="left"/>
            </w:pPr>
            <w:r>
              <w:rPr>
                <w:bCs/>
                <w:b/>
              </w:rPr>
              <w:t xml:space="preserve">Costo directo</w:t>
            </w:r>
          </w:p>
        </w:tc>
        <w:tc>
          <w:tcPr>
            <w:tcW w:w="1210" w:type="dxa"/>
          </w:tcPr>
          <w:p>
            <w:pPr>
              <w:pStyle w:val="CeldaAPA"/>
              <w:jc w:val="right"/>
            </w:pPr>
            <w:r>
              <w:rPr>
                <w:bCs/>
                <w:b/>
              </w:rPr>
              <w:t xml:space="preserve">174,92</w:t>
            </w:r>
          </w:p>
        </w:tc>
        <w:tc>
          <w:tcPr>
            <w:tcW w:w="2355" w:type="dxa"/>
          </w:tcPr>
          <w:p>
            <w:pPr>
              <w:pStyle w:val="CeldaAPA"/>
            </w:pPr>
          </w:p>
        </w:tc>
      </w:tr>
      <w:tr>
        <w:tc>
          <w:tcPr>
            <w:tcW w:w="5794" w:type="dxa"/>
            <w:gridSpan w:val="4"/>
          </w:tcPr>
          <w:p>
            <w:pPr>
              <w:pStyle w:val="CeldaAPA"/>
              <w:jc w:val="left"/>
            </w:pPr>
            <w:r>
              <w:rPr/>
              <w:t xml:space="preserve">Gastos generales (13 %), utilidad (10 %) e IT (3,09 %): factor 1,2814</w:t>
            </w:r>
          </w:p>
        </w:tc>
        <w:tc>
          <w:tcPr>
            <w:tcW w:w="1210" w:type="dxa"/>
          </w:tcPr>
          <w:p>
            <w:pPr>
              <w:pStyle w:val="CeldaAPA"/>
              <w:jc w:val="right"/>
            </w:pPr>
            <w:r>
              <w:rPr/>
              <w:t xml:space="preserve">224,15</w:t>
            </w:r>
          </w:p>
        </w:tc>
        <w:tc>
          <w:tcPr>
            <w:tcW w:w="2355" w:type="dxa"/>
          </w:tcPr>
          <w:p>
            <w:pPr>
              <w:pStyle w:val="CeldaAPA"/>
            </w:pPr>
          </w:p>
        </w:tc>
      </w:tr>
      <w:tr>
        <w:tc>
          <w:tcPr>
            <w:tcW w:w="5794" w:type="dxa"/>
            <w:gridSpan w:val="4"/>
          </w:tcPr>
          <w:p>
            <w:pPr>
              <w:pStyle w:val="CeldaAPA"/>
              <w:jc w:val="left"/>
            </w:pPr>
            <w:r>
              <w:rPr/>
              <w:t xml:space="preserve">Precio unitario contractual (Bs/m</w:t>
            </w:r>
            <w:r>
              <w:rPr>
                <w:vertAlign w:val="superscript"/>
              </w:rPr>
              <w:t xml:space="preserve">2</w:t>
            </w:r>
            <w:r>
              <w:rPr/>
              <w:t xml:space="preserve">)</w:t>
            </w:r>
          </w:p>
        </w:tc>
        <w:tc>
          <w:tcPr>
            <w:tcW w:w="1210" w:type="dxa"/>
          </w:tcPr>
          <w:p>
            <w:pPr>
              <w:pStyle w:val="CeldaAPA"/>
              <w:jc w:val="right"/>
            </w:pPr>
            <w:r>
              <w:rPr/>
              <w:t xml:space="preserve">215,6753</w:t>
            </w:r>
          </w:p>
        </w:tc>
        <w:tc>
          <w:tcPr>
            <w:tcW w:w="2355" w:type="dxa"/>
          </w:tcPr>
          <w:p>
            <w:pPr>
              <w:pStyle w:val="CeldaAPA"/>
            </w:pPr>
          </w:p>
        </w:tc>
      </w:tr>
      <w:tr>
        <w:tc>
          <w:tcPr>
            <w:tcW w:w="5794" w:type="dxa"/>
            <w:gridSpan w:val="4"/>
            <w:tcBorders>
              <w:bottom w:val="single" w:sz="8" w:space="0" w:color="000000"/>
            </w:tcBorders>
          </w:tcPr>
          <w:p>
            <w:pPr>
              <w:pStyle w:val="CeldaAPA"/>
              <w:jc w:val="left"/>
            </w:pPr>
            <w:r>
              <w:rPr>
                <w:bCs/>
                <w:b/>
              </w:rPr>
              <w:t xml:space="preserve">Factor de calibración</w:t>
            </w:r>
            <w:r>
              <w:rPr>
                <w:bCs/>
                <w:b/>
              </w:rPr>
              <w:t xml:space="preserve"> </w:t>
            </w:r>
            <m:oMath>
              <m:r>
                <m:t>κ</m:t>
              </m:r>
            </m:oMath>
            <w:r>
              <w:rPr>
                <w:bCs/>
                <w:b/>
              </w:rPr>
              <w:t xml:space="preserve"> </w:t>
            </w:r>
            <w:r>
              <w:rPr>
                <w:bCs/>
                <w:b/>
              </w:rPr>
              <w:t xml:space="preserve">= precio contractual / precio reconstruido</w:t>
            </w:r>
          </w:p>
        </w:tc>
        <w:tc>
          <w:tcPr>
            <w:tcW w:w="1210" w:type="dxa"/>
            <w:tcBorders>
              <w:bottom w:val="single" w:sz="8" w:space="0" w:color="000000"/>
            </w:tcBorders>
          </w:tcPr>
          <w:p>
            <w:pPr>
              <w:pStyle w:val="CeldaAPA"/>
              <w:jc w:val="right"/>
            </w:pPr>
            <w:r>
              <w:rPr>
                <w:bCs/>
                <w:b/>
              </w:rPr>
              <w:t xml:space="preserve">0,9622</w:t>
            </w:r>
          </w:p>
        </w:tc>
        <w:tc>
          <w:tcPr>
            <w:tcW w:w="2355" w:type="dxa"/>
            <w:tcBorders>
              <w:bottom w:val="single" w:sz="8" w:space="0" w:color="000000"/>
            </w:tcBorders>
          </w:tcPr>
          <w:p>
            <w:pPr>
              <w:pStyle w:val="CeldaAPA"/>
            </w:pPr>
          </w:p>
        </w:tc>
      </w:tr>
    </w:tbl>
    <w:p>
      <w:pPr>
        <w:pStyle w:val="NotaAPA"/>
      </w:pPr>
      <w:r>
        <w:rPr>
          <w:iCs/>
          <w:i/>
        </w:rPr>
        <w:t xml:space="preserve">Nota.</w:t>
      </w:r>
      <w:r>
        <w:t xml:space="preserve"> </w:t>
      </w:r>
      <w:r>
        <w:t xml:space="preserve">Precios base de 2022 y 2023; el factor</w:t>
      </w:r>
      <w:r>
        <w:t xml:space="preserve"> </w:t>
      </w:r>
      <m:oMath>
        <m:r>
          <m:t>κ</m:t>
        </m:r>
      </m:oMath>
      <w:r>
        <w:t xml:space="preserve"> </w:t>
      </w:r>
      <w:r>
        <w:t xml:space="preserve">lleva el precio reconstruido al nivel del precio contractual de 2025. Las cantidades de hormigón se expresan por m</w:t>
      </w:r>
      <w:r>
        <w:rPr>
          <w:vertAlign w:val="superscript"/>
        </w:rPr>
        <w:t xml:space="preserve">2</w:t>
      </w:r>
      <w:r>
        <w:t xml:space="preserve"> </w:t>
      </w:r>
      <w:r>
        <w:t xml:space="preserve">de losa (cemento, arena y grava por m</w:t>
      </w:r>
      <w:r>
        <w:rPr>
          <w:vertAlign w:val="superscript"/>
        </w:rPr>
        <w:t xml:space="preserve">3</w:t>
      </w:r>
      <w:r>
        <w:t xml:space="preserve"> </w:t>
      </w:r>
      <w:r>
        <w:t xml:space="preserve">multiplicados por el volumen teórico).</w:t>
      </w:r>
    </w:p>
    <w:p>
      <w:pPr>
        <w:pStyle w:val="Heading2"/>
      </w:pPr>
      <w:bookmarkStart w:id="390" w:name="tit178"/>
      <w:r>
        <w:t xml:space="preserve">I.2. Acero estructural de la losa (por kg)</w:t>
      </w:r>
      <w:bookmarkEnd w:id="390"/>
    </w:p>
    <w:tbl>
      <w:tblPr>
        <w:tblStyle w:val="Table"/>
        <w:tblW w:w="9325" w:type="dxa"/>
        <w:jc w:val="left"/>
        <w:tblLayout w:type="fixed"/>
        <w:tblCellMar>
          <w:top w:w="0" w:type="dxa"/>
          <w:left w:w="85" w:type="dxa"/>
          <w:bottom w:w="0" w:type="dxa"/>
          <w:right w:w="85" w:type="dxa"/>
        </w:tblCellMar>
        <w:tblLook w:firstRow="1" w:lastRow="0" w:firstColumn="0" w:lastColumn="0" w:noHBand="0" w:noVBand="0" w:val="0020"/>
      </w:tblPr>
      <w:tblGrid>
        <w:gridCol w:w="2572"/>
        <w:gridCol w:w="884"/>
        <w:gridCol w:w="1302"/>
        <w:gridCol w:w="1032"/>
        <w:gridCol w:w="1116"/>
        <w:gridCol w:w="2419"/>
      </w:tblGrid>
      <w:tr>
        <w:trPr>
          <w:cantSplit/>
          <w:tblHeader w:val="true"/>
        </w:trPr>
        <w:tc>
          <w:tcPr>
            <w:tcW w:w="2572" w:type="dxa"/>
            <w:tcBorders>
              <w:top w:val="single" w:sz="8" w:space="0" w:color="000000"/>
              <w:bottom w:val="single" w:sz="4" w:space="0" w:color="000000"/>
            </w:tcBorders>
          </w:tcPr>
          <w:p>
            <w:pPr>
              <w:pStyle w:val="CeldaAPA"/>
              <w:jc w:val="center"/>
            </w:pPr>
            <w:r>
              <w:rPr>
                <w:bCs/>
                <w:b/>
              </w:rPr>
              <w:t xml:space="preserve">Insumo</w:t>
            </w:r>
          </w:p>
        </w:tc>
        <w:tc>
          <w:tcPr>
            <w:tcW w:w="884" w:type="dxa"/>
            <w:tcBorders>
              <w:top w:val="single" w:sz="8" w:space="0" w:color="000000"/>
              <w:bottom w:val="single" w:sz="4" w:space="0" w:color="000000"/>
            </w:tcBorders>
          </w:tcPr>
          <w:p>
            <w:pPr>
              <w:pStyle w:val="CeldaAPA"/>
              <w:jc w:val="center"/>
            </w:pPr>
            <w:r>
              <w:rPr>
                <w:bCs/>
                <w:b/>
              </w:rPr>
              <w:t xml:space="preserve">Unid.</w:t>
            </w:r>
          </w:p>
        </w:tc>
        <w:tc>
          <w:tcPr>
            <w:tcW w:w="1302" w:type="dxa"/>
            <w:tcBorders>
              <w:top w:val="single" w:sz="8" w:space="0" w:color="000000"/>
              <w:bottom w:val="single" w:sz="4" w:space="0" w:color="000000"/>
            </w:tcBorders>
          </w:tcPr>
          <w:p>
            <w:pPr>
              <w:pStyle w:val="CeldaAPA"/>
              <w:jc w:val="center"/>
            </w:pPr>
            <w:r>
              <w:rPr>
                <w:bCs/>
                <w:b/>
              </w:rPr>
              <w:t xml:space="preserve">Cantidad</w:t>
            </w:r>
          </w:p>
        </w:tc>
        <w:tc>
          <w:tcPr>
            <w:tcW w:w="1032" w:type="dxa"/>
            <w:tcBorders>
              <w:top w:val="single" w:sz="8" w:space="0" w:color="000000"/>
              <w:bottom w:val="single" w:sz="4" w:space="0" w:color="000000"/>
            </w:tcBorders>
          </w:tcPr>
          <w:p>
            <w:pPr>
              <w:pStyle w:val="CeldaAPA"/>
              <w:jc w:val="center"/>
            </w:pPr>
            <w:r>
              <w:rPr>
                <w:bCs/>
                <w:b/>
              </w:rPr>
              <w:t xml:space="preserve">Precio base (Bs)</w:t>
            </w:r>
          </w:p>
        </w:tc>
        <w:tc>
          <w:tcPr>
            <w:tcW w:w="1116" w:type="dxa"/>
            <w:tcBorders>
              <w:top w:val="single" w:sz="8" w:space="0" w:color="000000"/>
              <w:bottom w:val="single" w:sz="4" w:space="0" w:color="000000"/>
            </w:tcBorders>
          </w:tcPr>
          <w:p>
            <w:pPr>
              <w:pStyle w:val="CeldaAPA"/>
              <w:jc w:val="center"/>
            </w:pPr>
            <w:r>
              <w:rPr>
                <w:bCs/>
                <w:b/>
              </w:rPr>
              <w:t xml:space="preserve">Parcial (Bs)</w:t>
            </w:r>
          </w:p>
        </w:tc>
        <w:tc>
          <w:tcPr>
            <w:tcW w:w="2419" w:type="dxa"/>
            <w:tcBorders>
              <w:top w:val="single" w:sz="8" w:space="0" w:color="000000"/>
              <w:bottom w:val="single" w:sz="4" w:space="0" w:color="000000"/>
            </w:tcBorders>
          </w:tcPr>
          <w:p>
            <w:pPr>
              <w:pStyle w:val="CeldaAPA"/>
              <w:jc w:val="center"/>
            </w:pPr>
            <w:r>
              <w:rPr>
                <w:bCs/>
                <w:b/>
              </w:rPr>
              <w:t xml:space="preserve">Fuente</w:t>
            </w:r>
          </w:p>
        </w:tc>
      </w:tr>
      <w:tr>
        <w:tc>
          <w:tcPr>
            <w:tcW w:w="9325" w:type="dxa"/>
            <w:gridSpan w:val="6"/>
          </w:tcPr>
          <w:p>
            <w:pPr>
              <w:pStyle w:val="CeldaAPA"/>
              <w:jc w:val="left"/>
            </w:pPr>
            <w:r>
              <w:rPr>
                <w:bCs/>
                <w:b/>
              </w:rPr>
              <w:t xml:space="preserve">Materiales</w:t>
            </w:r>
          </w:p>
        </w:tc>
      </w:tr>
      <w:tr>
        <w:tc>
          <w:tcPr>
            <w:tcW w:w="2572" w:type="dxa"/>
          </w:tcPr>
          <w:p>
            <w:pPr>
              <w:pStyle w:val="CeldaAPA"/>
              <w:jc w:val="left"/>
            </w:pPr>
            <w:r>
              <w:rPr/>
              <w:t xml:space="preserve">Fierro corrugado</w:t>
            </w:r>
          </w:p>
        </w:tc>
        <w:tc>
          <w:tcPr>
            <w:tcW w:w="884" w:type="dxa"/>
          </w:tcPr>
          <w:p>
            <w:pPr>
              <w:pStyle w:val="CeldaAPA"/>
              <w:jc w:val="left"/>
            </w:pPr>
            <w:r>
              <w:rPr/>
              <w:t xml:space="preserve">kg</w:t>
            </w:r>
          </w:p>
        </w:tc>
        <w:tc>
          <w:tcPr>
            <w:tcW w:w="1302" w:type="dxa"/>
          </w:tcPr>
          <w:p>
            <w:pPr>
              <w:pStyle w:val="CeldaAPA"/>
              <w:jc w:val="right"/>
            </w:pPr>
            <w:r>
              <w:rPr/>
              <w:t xml:space="preserve">1,0000</w:t>
            </w:r>
          </w:p>
        </w:tc>
        <w:tc>
          <w:tcPr>
            <w:tcW w:w="1032" w:type="dxa"/>
          </w:tcPr>
          <w:p>
            <w:pPr>
              <w:pStyle w:val="CeldaAPA"/>
              <w:jc w:val="right"/>
            </w:pPr>
            <w:r>
              <w:rPr/>
              <w:t xml:space="preserve">8,35</w:t>
            </w:r>
          </w:p>
        </w:tc>
        <w:tc>
          <w:tcPr>
            <w:tcW w:w="1116" w:type="dxa"/>
          </w:tcPr>
          <w:p>
            <w:pPr>
              <w:pStyle w:val="CeldaAPA"/>
              <w:jc w:val="right"/>
            </w:pPr>
            <w:r>
              <w:rPr/>
              <w:t xml:space="preserve">8,35</w:t>
            </w:r>
          </w:p>
        </w:tc>
        <w:tc>
          <w:tcPr>
            <w:tcW w:w="2419" w:type="dxa"/>
          </w:tcPr>
          <w:p>
            <w:pPr>
              <w:pStyle w:val="CeldaAPA"/>
              <w:jc w:val="left"/>
            </w:pPr>
            <w:r>
              <w:rPr/>
              <w:t xml:space="preserve">Cocarico Mamani (2022, p. 255)</w:t>
            </w:r>
          </w:p>
        </w:tc>
      </w:tr>
      <w:tr>
        <w:tc>
          <w:tcPr>
            <w:tcW w:w="2572" w:type="dxa"/>
          </w:tcPr>
          <w:p>
            <w:pPr>
              <w:pStyle w:val="CeldaAPA"/>
              <w:jc w:val="left"/>
            </w:pPr>
            <w:r>
              <w:rPr/>
              <w:t xml:space="preserve">Alambre de amarre (acero)</w:t>
            </w:r>
          </w:p>
        </w:tc>
        <w:tc>
          <w:tcPr>
            <w:tcW w:w="884" w:type="dxa"/>
          </w:tcPr>
          <w:p>
            <w:pPr>
              <w:pStyle w:val="CeldaAPA"/>
              <w:jc w:val="left"/>
            </w:pPr>
            <w:r>
              <w:rPr/>
              <w:t xml:space="preserve">kg</w:t>
            </w:r>
          </w:p>
        </w:tc>
        <w:tc>
          <w:tcPr>
            <w:tcW w:w="1302" w:type="dxa"/>
          </w:tcPr>
          <w:p>
            <w:pPr>
              <w:pStyle w:val="CeldaAPA"/>
              <w:jc w:val="right"/>
            </w:pPr>
            <w:r>
              <w:rPr/>
              <w:t xml:space="preserve">0,0300</w:t>
            </w:r>
          </w:p>
        </w:tc>
        <w:tc>
          <w:tcPr>
            <w:tcW w:w="1032" w:type="dxa"/>
          </w:tcPr>
          <w:p>
            <w:pPr>
              <w:pStyle w:val="CeldaAPA"/>
              <w:jc w:val="right"/>
            </w:pPr>
            <w:r>
              <w:rPr/>
              <w:t xml:space="preserve">11,50</w:t>
            </w:r>
          </w:p>
        </w:tc>
        <w:tc>
          <w:tcPr>
            <w:tcW w:w="1116" w:type="dxa"/>
          </w:tcPr>
          <w:p>
            <w:pPr>
              <w:pStyle w:val="CeldaAPA"/>
              <w:jc w:val="right"/>
            </w:pPr>
            <w:r>
              <w:rPr/>
              <w:t xml:space="preserve">0,34</w:t>
            </w:r>
          </w:p>
        </w:tc>
        <w:tc>
          <w:tcPr>
            <w:tcW w:w="2419" w:type="dxa"/>
          </w:tcPr>
          <w:p>
            <w:pPr>
              <w:pStyle w:val="CeldaAPA"/>
              <w:jc w:val="left"/>
            </w:pPr>
            <w:r>
              <w:rPr/>
              <w:t xml:space="preserve">Cocarico Mamani (2022, p. 255)</w:t>
            </w:r>
          </w:p>
        </w:tc>
      </w:tr>
      <w:tr>
        <w:tc>
          <w:tcPr>
            <w:tcW w:w="9325" w:type="dxa"/>
            <w:gridSpan w:val="6"/>
          </w:tcPr>
          <w:p>
            <w:pPr>
              <w:pStyle w:val="CeldaAPA"/>
              <w:jc w:val="left"/>
            </w:pPr>
            <w:r>
              <w:rPr>
                <w:bCs/>
                <w:b/>
              </w:rPr>
              <w:t xml:space="preserve">Mano de obra</w:t>
            </w:r>
          </w:p>
        </w:tc>
      </w:tr>
      <w:tr>
        <w:tc>
          <w:tcPr>
            <w:tcW w:w="2572" w:type="dxa"/>
          </w:tcPr>
          <w:p>
            <w:pPr>
              <w:pStyle w:val="CeldaAPA"/>
              <w:jc w:val="left"/>
            </w:pPr>
            <w:r>
              <w:rPr/>
              <w:t xml:space="preserve">Armador</w:t>
            </w:r>
          </w:p>
        </w:tc>
        <w:tc>
          <w:tcPr>
            <w:tcW w:w="884" w:type="dxa"/>
          </w:tcPr>
          <w:p>
            <w:pPr>
              <w:pStyle w:val="CeldaAPA"/>
              <w:jc w:val="left"/>
            </w:pPr>
            <w:r>
              <w:rPr/>
              <w:t xml:space="preserve">h</w:t>
            </w:r>
          </w:p>
        </w:tc>
        <w:tc>
          <w:tcPr>
            <w:tcW w:w="1302" w:type="dxa"/>
          </w:tcPr>
          <w:p>
            <w:pPr>
              <w:pStyle w:val="CeldaAPA"/>
              <w:jc w:val="right"/>
            </w:pPr>
            <w:r>
              <w:rPr/>
              <w:t xml:space="preserve">0,0400</w:t>
            </w:r>
          </w:p>
        </w:tc>
        <w:tc>
          <w:tcPr>
            <w:tcW w:w="1032" w:type="dxa"/>
          </w:tcPr>
          <w:p>
            <w:pPr>
              <w:pStyle w:val="CeldaAPA"/>
              <w:jc w:val="right"/>
            </w:pPr>
            <w:r>
              <w:rPr/>
              <w:t xml:space="preserve">21,07</w:t>
            </w:r>
          </w:p>
        </w:tc>
        <w:tc>
          <w:tcPr>
            <w:tcW w:w="1116" w:type="dxa"/>
          </w:tcPr>
          <w:p>
            <w:pPr>
              <w:pStyle w:val="CeldaAPA"/>
              <w:jc w:val="right"/>
            </w:pPr>
            <w:r>
              <w:rPr/>
              <w:t xml:space="preserve">0,84</w:t>
            </w:r>
          </w:p>
        </w:tc>
        <w:tc>
          <w:tcPr>
            <w:tcW w:w="2419" w:type="dxa"/>
          </w:tcPr>
          <w:p>
            <w:pPr>
              <w:pStyle w:val="CeldaAPA"/>
              <w:jc w:val="left"/>
            </w:pPr>
            <w:r>
              <w:rPr/>
              <w:t xml:space="preserve">Cocarico Mamani (2022, p. 255); rendimiento de Castañeda Briceño (2017, p. 52)</w:t>
            </w:r>
          </w:p>
        </w:tc>
      </w:tr>
      <w:tr>
        <w:tc>
          <w:tcPr>
            <w:tcW w:w="2572" w:type="dxa"/>
          </w:tcPr>
          <w:p>
            <w:pPr>
              <w:pStyle w:val="CeldaAPA"/>
              <w:jc w:val="left"/>
            </w:pPr>
            <w:r>
              <w:rPr/>
              <w:t xml:space="preserve">Ayudante (acero)</w:t>
            </w:r>
          </w:p>
        </w:tc>
        <w:tc>
          <w:tcPr>
            <w:tcW w:w="884" w:type="dxa"/>
          </w:tcPr>
          <w:p>
            <w:pPr>
              <w:pStyle w:val="CeldaAPA"/>
              <w:jc w:val="left"/>
            </w:pPr>
            <w:r>
              <w:rPr/>
              <w:t xml:space="preserve">h</w:t>
            </w:r>
          </w:p>
        </w:tc>
        <w:tc>
          <w:tcPr>
            <w:tcW w:w="1302" w:type="dxa"/>
          </w:tcPr>
          <w:p>
            <w:pPr>
              <w:pStyle w:val="CeldaAPA"/>
              <w:jc w:val="right"/>
            </w:pPr>
            <w:r>
              <w:rPr/>
              <w:t xml:space="preserve">0,0400</w:t>
            </w:r>
          </w:p>
        </w:tc>
        <w:tc>
          <w:tcPr>
            <w:tcW w:w="1032" w:type="dxa"/>
          </w:tcPr>
          <w:p>
            <w:pPr>
              <w:pStyle w:val="CeldaAPA"/>
              <w:jc w:val="right"/>
            </w:pPr>
            <w:r>
              <w:rPr/>
              <w:t xml:space="preserve">13,92</w:t>
            </w:r>
          </w:p>
        </w:tc>
        <w:tc>
          <w:tcPr>
            <w:tcW w:w="1116" w:type="dxa"/>
          </w:tcPr>
          <w:p>
            <w:pPr>
              <w:pStyle w:val="CeldaAPA"/>
              <w:jc w:val="right"/>
            </w:pPr>
            <w:r>
              <w:rPr/>
              <w:t xml:space="preserve">0,56</w:t>
            </w:r>
          </w:p>
        </w:tc>
        <w:tc>
          <w:tcPr>
            <w:tcW w:w="2419" w:type="dxa"/>
          </w:tcPr>
          <w:p>
            <w:pPr>
              <w:pStyle w:val="CeldaAPA"/>
              <w:jc w:val="left"/>
            </w:pPr>
            <w:r>
              <w:rPr/>
              <w:t xml:space="preserve">Ídem</w:t>
            </w:r>
          </w:p>
        </w:tc>
      </w:tr>
      <w:tr>
        <w:tc>
          <w:tcPr>
            <w:tcW w:w="9325" w:type="dxa"/>
            <w:gridSpan w:val="6"/>
          </w:tcPr>
          <w:p>
            <w:pPr>
              <w:pStyle w:val="CeldaAPA"/>
              <w:jc w:val="left"/>
            </w:pPr>
            <w:r>
              <w:rPr>
                <w:bCs/>
                <w:b/>
              </w:rPr>
              <w:t xml:space="preserve">Equipo y herramientas</w:t>
            </w:r>
          </w:p>
        </w:tc>
      </w:tr>
      <w:tr>
        <w:tc>
          <w:tcPr>
            <w:tcW w:w="5790" w:type="dxa"/>
            <w:gridSpan w:val="4"/>
            <w:tcBorders>
              <w:top w:val="single" w:sz="4" w:space="0" w:color="000000"/>
            </w:tcBorders>
          </w:tcPr>
          <w:p>
            <w:pPr>
              <w:pStyle w:val="CeldaAPA"/>
              <w:jc w:val="left"/>
            </w:pPr>
            <w:r>
              <w:rPr/>
              <w:t xml:space="preserve">Subtotal materiales</w:t>
            </w:r>
          </w:p>
        </w:tc>
        <w:tc>
          <w:tcPr>
            <w:tcW w:w="1116" w:type="dxa"/>
            <w:tcBorders>
              <w:top w:val="single" w:sz="4" w:space="0" w:color="000000"/>
            </w:tcBorders>
          </w:tcPr>
          <w:p>
            <w:pPr>
              <w:pStyle w:val="CeldaAPA"/>
              <w:jc w:val="right"/>
            </w:pPr>
            <w:r>
              <w:rPr/>
              <w:t xml:space="preserve">8,70</w:t>
            </w:r>
          </w:p>
        </w:tc>
        <w:tc>
          <w:tcPr>
            <w:tcW w:w="2419" w:type="dxa"/>
            <w:tcBorders>
              <w:top w:val="single" w:sz="4" w:space="0" w:color="000000"/>
            </w:tcBorders>
          </w:tcPr>
          <w:p>
            <w:pPr>
              <w:pStyle w:val="CeldaAPA"/>
            </w:pPr>
          </w:p>
        </w:tc>
      </w:tr>
      <w:tr>
        <w:tc>
          <w:tcPr>
            <w:tcW w:w="5790" w:type="dxa"/>
            <w:gridSpan w:val="4"/>
          </w:tcPr>
          <w:p>
            <w:pPr>
              <w:pStyle w:val="CeldaAPA"/>
              <w:jc w:val="left"/>
            </w:pPr>
            <w:r>
              <w:rPr/>
              <w:t xml:space="preserve">Mano de obra (sin cargas)</w:t>
            </w:r>
          </w:p>
        </w:tc>
        <w:tc>
          <w:tcPr>
            <w:tcW w:w="1116" w:type="dxa"/>
          </w:tcPr>
          <w:p>
            <w:pPr>
              <w:pStyle w:val="CeldaAPA"/>
              <w:jc w:val="right"/>
            </w:pPr>
            <w:r>
              <w:rPr/>
              <w:t xml:space="preserve">1,40</w:t>
            </w:r>
          </w:p>
        </w:tc>
        <w:tc>
          <w:tcPr>
            <w:tcW w:w="2419" w:type="dxa"/>
          </w:tcPr>
          <w:p>
            <w:pPr>
              <w:pStyle w:val="CeldaAPA"/>
            </w:pPr>
          </w:p>
        </w:tc>
      </w:tr>
      <w:tr>
        <w:tc>
          <w:tcPr>
            <w:tcW w:w="5790" w:type="dxa"/>
            <w:gridSpan w:val="4"/>
          </w:tcPr>
          <w:p>
            <w:pPr>
              <w:pStyle w:val="CeldaAPA"/>
              <w:jc w:val="left"/>
            </w:pPr>
            <w:r>
              <w:rPr/>
              <w:t xml:space="preserve">Beneficios sociales (71 % de la mano de obra)</w:t>
            </w:r>
          </w:p>
        </w:tc>
        <w:tc>
          <w:tcPr>
            <w:tcW w:w="1116" w:type="dxa"/>
          </w:tcPr>
          <w:p>
            <w:pPr>
              <w:pStyle w:val="CeldaAPA"/>
              <w:jc w:val="right"/>
            </w:pPr>
            <w:r>
              <w:rPr/>
              <w:t xml:space="preserve">0,99</w:t>
            </w:r>
          </w:p>
        </w:tc>
        <w:tc>
          <w:tcPr>
            <w:tcW w:w="2419" w:type="dxa"/>
          </w:tcPr>
          <w:p>
            <w:pPr>
              <w:pStyle w:val="CeldaAPA"/>
            </w:pPr>
          </w:p>
        </w:tc>
      </w:tr>
      <w:tr>
        <w:tc>
          <w:tcPr>
            <w:tcW w:w="5790" w:type="dxa"/>
            <w:gridSpan w:val="4"/>
          </w:tcPr>
          <w:p>
            <w:pPr>
              <w:pStyle w:val="CeldaAPA"/>
              <w:jc w:val="left"/>
            </w:pPr>
            <w:r>
              <w:rPr/>
              <w:t xml:space="preserve">IVA sobre mano de obra (14,94 %)</w:t>
            </w:r>
          </w:p>
        </w:tc>
        <w:tc>
          <w:tcPr>
            <w:tcW w:w="1116" w:type="dxa"/>
          </w:tcPr>
          <w:p>
            <w:pPr>
              <w:pStyle w:val="CeldaAPA"/>
              <w:jc w:val="right"/>
            </w:pPr>
            <w:r>
              <w:rPr/>
              <w:t xml:space="preserve">0,36</w:t>
            </w:r>
          </w:p>
        </w:tc>
        <w:tc>
          <w:tcPr>
            <w:tcW w:w="2419" w:type="dxa"/>
          </w:tcPr>
          <w:p>
            <w:pPr>
              <w:pStyle w:val="CeldaAPA"/>
            </w:pPr>
          </w:p>
        </w:tc>
      </w:tr>
      <w:tr>
        <w:tc>
          <w:tcPr>
            <w:tcW w:w="5790" w:type="dxa"/>
            <w:gridSpan w:val="4"/>
          </w:tcPr>
          <w:p>
            <w:pPr>
              <w:pStyle w:val="CeldaAPA"/>
              <w:jc w:val="left"/>
            </w:pPr>
            <w:r>
              <w:rPr/>
              <w:t xml:space="preserve">Equipo</w:t>
            </w:r>
          </w:p>
        </w:tc>
        <w:tc>
          <w:tcPr>
            <w:tcW w:w="1116" w:type="dxa"/>
          </w:tcPr>
          <w:p>
            <w:pPr>
              <w:pStyle w:val="CeldaAPA"/>
              <w:jc w:val="right"/>
            </w:pPr>
            <w:r>
              <w:rPr/>
              <w:t xml:space="preserve">0,00</w:t>
            </w:r>
          </w:p>
        </w:tc>
        <w:tc>
          <w:tcPr>
            <w:tcW w:w="2419" w:type="dxa"/>
          </w:tcPr>
          <w:p>
            <w:pPr>
              <w:pStyle w:val="CeldaAPA"/>
            </w:pPr>
          </w:p>
        </w:tc>
      </w:tr>
      <w:tr>
        <w:tc>
          <w:tcPr>
            <w:tcW w:w="5790" w:type="dxa"/>
            <w:gridSpan w:val="4"/>
          </w:tcPr>
          <w:p>
            <w:pPr>
              <w:pStyle w:val="CeldaAPA"/>
              <w:jc w:val="left"/>
            </w:pPr>
            <w:r>
              <w:rPr/>
              <w:t xml:space="preserve">Herramientas menores (5 % de la mano de obra total)</w:t>
            </w:r>
          </w:p>
        </w:tc>
        <w:tc>
          <w:tcPr>
            <w:tcW w:w="1116" w:type="dxa"/>
          </w:tcPr>
          <w:p>
            <w:pPr>
              <w:pStyle w:val="CeldaAPA"/>
              <w:jc w:val="right"/>
            </w:pPr>
            <w:r>
              <w:rPr/>
              <w:t xml:space="preserve">0,14</w:t>
            </w:r>
          </w:p>
        </w:tc>
        <w:tc>
          <w:tcPr>
            <w:tcW w:w="2419" w:type="dxa"/>
          </w:tcPr>
          <w:p>
            <w:pPr>
              <w:pStyle w:val="CeldaAPA"/>
            </w:pPr>
          </w:p>
        </w:tc>
      </w:tr>
      <w:tr>
        <w:tc>
          <w:tcPr>
            <w:tcW w:w="5790" w:type="dxa"/>
            <w:gridSpan w:val="4"/>
          </w:tcPr>
          <w:p>
            <w:pPr>
              <w:pStyle w:val="CeldaAPA"/>
              <w:jc w:val="left"/>
            </w:pPr>
            <w:r>
              <w:rPr>
                <w:bCs/>
                <w:b/>
              </w:rPr>
              <w:t xml:space="preserve">Costo directo</w:t>
            </w:r>
          </w:p>
        </w:tc>
        <w:tc>
          <w:tcPr>
            <w:tcW w:w="1116" w:type="dxa"/>
          </w:tcPr>
          <w:p>
            <w:pPr>
              <w:pStyle w:val="CeldaAPA"/>
              <w:jc w:val="right"/>
            </w:pPr>
            <w:r>
              <w:rPr>
                <w:bCs/>
                <w:b/>
              </w:rPr>
              <w:t xml:space="preserve">11,58</w:t>
            </w:r>
          </w:p>
        </w:tc>
        <w:tc>
          <w:tcPr>
            <w:tcW w:w="2419" w:type="dxa"/>
          </w:tcPr>
          <w:p>
            <w:pPr>
              <w:pStyle w:val="CeldaAPA"/>
            </w:pPr>
          </w:p>
        </w:tc>
      </w:tr>
      <w:tr>
        <w:tc>
          <w:tcPr>
            <w:tcW w:w="5790" w:type="dxa"/>
            <w:gridSpan w:val="4"/>
          </w:tcPr>
          <w:p>
            <w:pPr>
              <w:pStyle w:val="CeldaAPA"/>
              <w:jc w:val="left"/>
            </w:pPr>
            <w:r>
              <w:rPr/>
              <w:t xml:space="preserve">Gastos generales (13 %), utilidad (10 %) e IT (3,09 %): factor 1,2814</w:t>
            </w:r>
          </w:p>
        </w:tc>
        <w:tc>
          <w:tcPr>
            <w:tcW w:w="1116" w:type="dxa"/>
          </w:tcPr>
          <w:p>
            <w:pPr>
              <w:pStyle w:val="CeldaAPA"/>
              <w:jc w:val="right"/>
            </w:pPr>
            <w:r>
              <w:rPr/>
              <w:t xml:space="preserve">14,84</w:t>
            </w:r>
          </w:p>
        </w:tc>
        <w:tc>
          <w:tcPr>
            <w:tcW w:w="2419" w:type="dxa"/>
          </w:tcPr>
          <w:p>
            <w:pPr>
              <w:pStyle w:val="CeldaAPA"/>
            </w:pPr>
          </w:p>
        </w:tc>
      </w:tr>
      <w:tr>
        <w:tc>
          <w:tcPr>
            <w:tcW w:w="5790" w:type="dxa"/>
            <w:gridSpan w:val="4"/>
          </w:tcPr>
          <w:p>
            <w:pPr>
              <w:pStyle w:val="CeldaAPA"/>
              <w:jc w:val="left"/>
            </w:pPr>
            <w:r>
              <w:rPr/>
              <w:t xml:space="preserve">Precio unitario contractual (Bs/kg)</w:t>
            </w:r>
          </w:p>
        </w:tc>
        <w:tc>
          <w:tcPr>
            <w:tcW w:w="1116" w:type="dxa"/>
          </w:tcPr>
          <w:p>
            <w:pPr>
              <w:pStyle w:val="CeldaAPA"/>
              <w:jc w:val="right"/>
            </w:pPr>
            <w:r>
              <w:rPr/>
              <w:t xml:space="preserve">16,7558</w:t>
            </w:r>
          </w:p>
        </w:tc>
        <w:tc>
          <w:tcPr>
            <w:tcW w:w="2419" w:type="dxa"/>
          </w:tcPr>
          <w:p>
            <w:pPr>
              <w:pStyle w:val="CeldaAPA"/>
            </w:pPr>
          </w:p>
        </w:tc>
      </w:tr>
      <w:tr>
        <w:tc>
          <w:tcPr>
            <w:tcW w:w="5790" w:type="dxa"/>
            <w:gridSpan w:val="4"/>
            <w:tcBorders>
              <w:bottom w:val="single" w:sz="8" w:space="0" w:color="000000"/>
            </w:tcBorders>
          </w:tcPr>
          <w:p>
            <w:pPr>
              <w:pStyle w:val="CeldaAPA"/>
              <w:jc w:val="left"/>
            </w:pPr>
            <w:r>
              <w:rPr>
                <w:bCs/>
                <w:b/>
              </w:rPr>
              <w:t xml:space="preserve">Factor de calibración</w:t>
            </w:r>
            <w:r>
              <w:rPr>
                <w:bCs/>
                <w:b/>
              </w:rPr>
              <w:t xml:space="preserve"> </w:t>
            </w:r>
            <m:oMath>
              <m:r>
                <m:t>κ</m:t>
              </m:r>
            </m:oMath>
            <w:r>
              <w:rPr>
                <w:bCs/>
                <w:b/>
              </w:rPr>
              <w:t xml:space="preserve"> </w:t>
            </w:r>
            <w:r>
              <w:rPr>
                <w:bCs/>
                <w:b/>
              </w:rPr>
              <w:t xml:space="preserve">= precio contractual / precio reconstruido</w:t>
            </w:r>
          </w:p>
        </w:tc>
        <w:tc>
          <w:tcPr>
            <w:tcW w:w="1116" w:type="dxa"/>
            <w:tcBorders>
              <w:bottom w:val="single" w:sz="8" w:space="0" w:color="000000"/>
            </w:tcBorders>
          </w:tcPr>
          <w:p>
            <w:pPr>
              <w:pStyle w:val="CeldaAPA"/>
              <w:jc w:val="right"/>
            </w:pPr>
            <w:r>
              <w:rPr>
                <w:bCs/>
                <w:b/>
              </w:rPr>
              <w:t xml:space="preserve">1,1289</w:t>
            </w:r>
          </w:p>
        </w:tc>
        <w:tc>
          <w:tcPr>
            <w:tcW w:w="2419" w:type="dxa"/>
            <w:tcBorders>
              <w:bottom w:val="single" w:sz="8" w:space="0" w:color="000000"/>
            </w:tcBorders>
          </w:tcPr>
          <w:p>
            <w:pPr>
              <w:pStyle w:val="CeldaAPA"/>
            </w:pPr>
          </w:p>
        </w:tc>
      </w:tr>
    </w:tbl>
    <w:p>
      <w:pPr>
        <w:pStyle w:val="NotaAPA"/>
      </w:pPr>
      <w:r>
        <w:rPr>
          <w:iCs/>
          <w:i/>
        </w:rPr>
        <w:t xml:space="preserve">Nota.</w:t>
      </w:r>
      <w:r>
        <w:t xml:space="preserve"> </w:t>
      </w:r>
      <w:r>
        <w:t xml:space="preserve">El acero de la losa se mide y paga en el ítem 8 (Bs 16,75584/kg). El factor</w:t>
      </w:r>
      <w:r>
        <w:t xml:space="preserve"> </w:t>
      </w:r>
      <m:oMath>
        <m:r>
          <m:t>κ</m:t>
        </m:r>
      </m:oMath>
      <w:r>
        <w:t xml:space="preserve"> </w:t>
      </w:r>
      <w:r>
        <w:t xml:space="preserve">del acero se usa para obtener el precio de valoración del material desperdiciado.</w:t>
      </w:r>
    </w:p>
    <w:p>
      <w:pPr>
        <w:pStyle w:val="Heading1"/>
      </w:pPr>
      <w:bookmarkStart w:id="395" w:name="tit179"/>
      <w:r>
        <w:t xml:space="preserve">ANEXO J</w:t>
      </w:r>
      <w:r>
        <w:br/>
      </w:r>
      <w:r>
        <w:t xml:space="preserve">DOCUMENTOS DE CONTEXTO</w:t>
      </w:r>
      <w:bookmarkEnd w:id="395"/>
    </w:p>
    <w:p>
      <w:pPr>
        <w:pStyle w:val="FirstParagraph"/>
      </w:pPr>
      <w:r>
        <w:t xml:space="preserve">Comunicado de FANCESA sobre la paralización de su producción (12/06/2025) y pronunciamiento de la Cámara de la Construcción de Tarija sobre el incremento del precio del cemento (09/10/2025).</w:t>
      </w:r>
    </w:p>
    <w:p>
      <w:pPr>
        <w:pStyle w:val="FiguraAPA"/>
        <w:pageBreakBefore/>
      </w:pPr>
      <w:r>
        <w:drawing>
          <wp:inline>
            <wp:extent cx="4129559" cy="7650846"/>
            <wp:effectExtent b="0" l="0" r="0" t="0"/>
            <wp:docPr descr="image" title="" id="393" name="Picture"/>
            <a:graphic>
              <a:graphicData uri="http://schemas.openxmlformats.org/drawingml/2006/picture">
                <pic:pic>
                  <pic:nvPicPr>
                    <pic:cNvPr descr="/home/user/TesisSGC/07_Entregables/scripts/_trabajo_sencilla/imagenes/pdfpag_44587a86a95c868505f3.png" id="394" name="Picture"/>
                    <pic:cNvPicPr>
                      <a:picLocks noChangeArrowheads="1" noChangeAspect="1"/>
                    </pic:cNvPicPr>
                  </pic:nvPicPr>
                  <pic:blipFill>
                    <a:blip r:embed="rId392"/>
                    <a:stretch>
                      <a:fillRect/>
                    </a:stretch>
                  </pic:blipFill>
                  <pic:spPr bwMode="auto">
                    <a:xfrm>
                      <a:off x="0" y="0"/>
                      <a:ext cx="4129559" cy="7650846"/>
                    </a:xfrm>
                    <a:prstGeom prst="rect">
                      <a:avLst/>
                    </a:prstGeom>
                    <a:noFill/>
                    <a:ln w="9525">
                      <a:noFill/>
                      <a:headEnd/>
                      <a:tailEnd/>
                    </a:ln>
                  </pic:spPr>
                </pic:pic>
              </a:graphicData>
            </a:graphic>
          </wp:inline>
        </w:drawing>
      </w:r>
    </w:p>
    <w:p>
      <w:pPr>
        <w:pStyle w:val="Heading1"/>
      </w:pPr>
      <w:bookmarkStart w:id="401" w:name="tit180"/>
      <w:r>
        <w:t xml:space="preserve">ANEXO K</w:t>
      </w:r>
      <w:r>
        <w:br/>
      </w:r>
      <w:r>
        <w:t xml:space="preserve">MODELO DE COSTOS Y SIMULACIÓN DE MONTE CARLO</w:t>
      </w:r>
      <w:bookmarkEnd w:id="401"/>
    </w:p>
    <w:p>
      <w:pPr>
        <w:pStyle w:val="FirstParagraph"/>
      </w:pPr>
      <w:r>
        <w:t xml:space="preserve">Este anexo presenta los parámetros, las fuentes y la convergencia del modelo descrito en la Sección 2.7.2. El modelo está programado en Python y sus archivos se encuentran en la carpeta</w:t>
      </w:r>
      <w:r>
        <w:t xml:space="preserve"> </w:t>
      </w:r>
      <w:r>
        <w:rPr>
          <w:rStyle w:val="VerbatimChar"/>
        </w:rPr>
        <w:t xml:space="preserve">06_Modelo_de_Costos_y_Simulacion</w:t>
      </w:r>
      <w:r>
        <w:t xml:space="preserve"> </w:t>
      </w:r>
      <w:r>
        <w:t xml:space="preserve">del repositorio de la tesis: el programa lee los parámetros, realiza las 20.000 iteraciones con la semilla 2026 y genera las tablas, las figuras y las cifras que se citan en el texto.</w:t>
      </w:r>
    </w:p>
    <w:p>
      <w:pPr>
        <w:pStyle w:val="Heading2"/>
      </w:pPr>
      <w:bookmarkStart w:id="396" w:name="tit181"/>
      <w:r>
        <w:t xml:space="preserve">Parámetros inciertos y sus fuentes</w:t>
      </w:r>
      <w:bookmarkEnd w:id="396"/>
    </w:p>
    <w:p>
      <w:pPr>
        <w:pStyle w:val="Caption"/>
      </w:pPr>
      <w:bookmarkStart w:id="1477" w:name="tab65"/>
      <w:r>
        <w:t xml:space="preserve"/>
      </w:r>
      <w:r>
        <w:rPr>
          <w:bCs/>
          <w:b/>
        </w:rPr>
        <w:t xml:space="preserve">Tabla 65</w:t>
      </w:r>
      <w:r>
        <w:br/>
      </w:r>
      <w:r>
        <w:rPr>
          <w:iCs/>
          <w:i/>
        </w:rPr>
        <w:t xml:space="preserve">Parámetros inciertos del modelo de costos y sus fuentes</w:t>
      </w:r>
      <w:bookmarkEnd w:id="1477"/>
    </w:p>
    <w:tbl>
      <w:tblPr>
        <w:tblStyle w:val="Table"/>
        <w:tblW w:w="8823" w:type="dxa"/>
        <w:jc w:val="center"/>
        <w:tblLayout w:type="fixed"/>
        <w:tblCellMar>
          <w:top w:w="0" w:type="dxa"/>
          <w:left w:w="85" w:type="dxa"/>
          <w:bottom w:w="0" w:type="dxa"/>
          <w:right w:w="85" w:type="dxa"/>
        </w:tblCellMar>
        <w:tblLook w:firstRow="1" w:lastRow="0" w:firstColumn="0" w:lastColumn="0" w:noHBand="0" w:noVBand="0" w:val="0020"/>
      </w:tblPr>
      <w:tblGrid>
        <w:gridCol w:w="2599"/>
        <w:gridCol w:w="836"/>
        <w:gridCol w:w="925"/>
        <w:gridCol w:w="961"/>
        <w:gridCol w:w="3502"/>
      </w:tblGrid>
      <w:tr>
        <w:trPr>
          <w:cantSplit/>
          <w:tblHeader w:val="true"/>
        </w:trPr>
        <w:tc>
          <w:tcPr>
            <w:tcW w:w="2599" w:type="dxa"/>
            <w:tcBorders>
              <w:top w:val="single" w:sz="8" w:space="0" w:color="000000"/>
              <w:bottom w:val="single" w:sz="4" w:space="0" w:color="000000"/>
            </w:tcBorders>
          </w:tcPr>
          <w:p>
            <w:pPr>
              <w:pStyle w:val="CeldaAPA"/>
              <w:jc w:val="center"/>
            </w:pPr>
            <w:r>
              <w:rPr>
                <w:bCs/>
                <w:b/>
              </w:rPr>
              <w:t xml:space="preserve">Parámetro</w:t>
            </w:r>
          </w:p>
        </w:tc>
        <w:tc>
          <w:tcPr>
            <w:tcW w:w="836" w:type="dxa"/>
            <w:tcBorders>
              <w:top w:val="single" w:sz="8" w:space="0" w:color="000000"/>
              <w:bottom w:val="single" w:sz="4" w:space="0" w:color="000000"/>
            </w:tcBorders>
          </w:tcPr>
          <w:p>
            <w:pPr>
              <w:pStyle w:val="CeldaAPA"/>
              <w:jc w:val="center"/>
            </w:pPr>
            <w:r>
              <w:rPr>
                <w:bCs/>
                <w:b/>
              </w:rPr>
              <w:t xml:space="preserve">Mín.</w:t>
            </w:r>
          </w:p>
        </w:tc>
        <w:tc>
          <w:tcPr>
            <w:tcW w:w="925" w:type="dxa"/>
            <w:tcBorders>
              <w:top w:val="single" w:sz="8" w:space="0" w:color="000000"/>
              <w:bottom w:val="single" w:sz="4" w:space="0" w:color="000000"/>
            </w:tcBorders>
          </w:tcPr>
          <w:p>
            <w:pPr>
              <w:pStyle w:val="CeldaAPA"/>
              <w:jc w:val="center"/>
            </w:pPr>
            <w:r>
              <w:rPr>
                <w:bCs/>
                <w:b/>
              </w:rPr>
              <w:t xml:space="preserve">Moda</w:t>
            </w:r>
          </w:p>
        </w:tc>
        <w:tc>
          <w:tcPr>
            <w:tcW w:w="961" w:type="dxa"/>
            <w:tcBorders>
              <w:top w:val="single" w:sz="8" w:space="0" w:color="000000"/>
              <w:bottom w:val="single" w:sz="4" w:space="0" w:color="000000"/>
            </w:tcBorders>
          </w:tcPr>
          <w:p>
            <w:pPr>
              <w:pStyle w:val="CeldaAPA"/>
              <w:jc w:val="center"/>
            </w:pPr>
            <w:r>
              <w:rPr>
                <w:bCs/>
                <w:b/>
              </w:rPr>
              <w:t xml:space="preserve">Máx.</w:t>
            </w:r>
          </w:p>
        </w:tc>
        <w:tc>
          <w:tcPr>
            <w:tcW w:w="3502" w:type="dxa"/>
            <w:tcBorders>
              <w:top w:val="single" w:sz="8" w:space="0" w:color="000000"/>
              <w:bottom w:val="single" w:sz="4" w:space="0" w:color="000000"/>
            </w:tcBorders>
          </w:tcPr>
          <w:p>
            <w:pPr>
              <w:pStyle w:val="CeldaAPA"/>
              <w:jc w:val="center"/>
            </w:pPr>
            <w:r>
              <w:rPr>
                <w:bCs/>
                <w:b/>
              </w:rPr>
              <w:t xml:space="preserve">Fuente o justificación</w:t>
            </w:r>
          </w:p>
        </w:tc>
      </w:tr>
      <w:tr>
        <w:tc>
          <w:tcPr>
            <w:tcW w:w="2599" w:type="dxa"/>
          </w:tcPr>
          <w:p>
            <w:pPr>
              <w:pStyle w:val="CeldaAPA"/>
              <w:jc w:val="left"/>
            </w:pPr>
            <w:r>
              <w:rPr/>
              <w:t xml:space="preserve">IDM sin SGC – Viguetas</w:t>
            </w:r>
          </w:p>
        </w:tc>
        <w:tc>
          <w:tcPr>
            <w:tcW w:w="836" w:type="dxa"/>
          </w:tcPr>
          <w:p>
            <w:pPr>
              <w:pStyle w:val="CeldaAPA"/>
              <w:jc w:val="right"/>
            </w:pPr>
            <w:r>
              <w:rPr/>
              <w:t xml:space="preserve">0,0 %</w:t>
            </w:r>
          </w:p>
        </w:tc>
        <w:tc>
          <w:tcPr>
            <w:tcW w:w="925" w:type="dxa"/>
          </w:tcPr>
          <w:p>
            <w:pPr>
              <w:pStyle w:val="CeldaAPA"/>
              <w:jc w:val="right"/>
            </w:pPr>
            <w:r>
              <w:rPr/>
              <w:t xml:space="preserve">1,0 %</w:t>
            </w:r>
          </w:p>
        </w:tc>
        <w:tc>
          <w:tcPr>
            <w:tcW w:w="961" w:type="dxa"/>
          </w:tcPr>
          <w:p>
            <w:pPr>
              <w:pStyle w:val="CeldaAPA"/>
              <w:jc w:val="right"/>
            </w:pPr>
            <w:r>
              <w:rPr/>
              <w:t xml:space="preserve">3,0 %</w:t>
            </w:r>
          </w:p>
        </w:tc>
        <w:tc>
          <w:tcPr>
            <w:tcW w:w="3502" w:type="dxa"/>
          </w:tcPr>
          <w:p>
            <w:pPr>
              <w:pStyle w:val="CeldaAPA"/>
              <w:jc w:val="left"/>
            </w:pPr>
            <w:r>
              <w:rPr/>
              <w:t xml:space="preserve">Supuesto del autor: viguetas fabricadas a medida (Plano 03); pérdidas por rotura en manipulación</w:t>
            </w:r>
          </w:p>
        </w:tc>
      </w:tr>
      <w:tr>
        <w:tc>
          <w:tcPr>
            <w:tcW w:w="2599" w:type="dxa"/>
          </w:tcPr>
          <w:p>
            <w:pPr>
              <w:pStyle w:val="CeldaAPA"/>
              <w:jc w:val="left"/>
            </w:pPr>
            <w:r>
              <w:rPr/>
              <w:t xml:space="preserve">IDM sin SGC – Plastoformo</w:t>
            </w:r>
          </w:p>
        </w:tc>
        <w:tc>
          <w:tcPr>
            <w:tcW w:w="836" w:type="dxa"/>
          </w:tcPr>
          <w:p>
            <w:pPr>
              <w:pStyle w:val="CeldaAPA"/>
              <w:jc w:val="right"/>
            </w:pPr>
            <w:r>
              <w:rPr/>
              <w:t xml:space="preserve">2,5 %</w:t>
            </w:r>
          </w:p>
        </w:tc>
        <w:tc>
          <w:tcPr>
            <w:tcW w:w="925" w:type="dxa"/>
          </w:tcPr>
          <w:p>
            <w:pPr>
              <w:pStyle w:val="CeldaAPA"/>
              <w:jc w:val="right"/>
            </w:pPr>
            <w:r>
              <w:rPr/>
              <w:t xml:space="preserve">5,0 %</w:t>
            </w:r>
          </w:p>
        </w:tc>
        <w:tc>
          <w:tcPr>
            <w:tcW w:w="961" w:type="dxa"/>
          </w:tcPr>
          <w:p>
            <w:pPr>
              <w:pStyle w:val="CeldaAPA"/>
              <w:jc w:val="right"/>
            </w:pPr>
            <w:r>
              <w:rPr/>
              <w:t xml:space="preserve">7,5 %</w:t>
            </w:r>
          </w:p>
        </w:tc>
        <w:tc>
          <w:tcPr>
            <w:tcW w:w="3502" w:type="dxa"/>
          </w:tcPr>
          <w:p>
            <w:pPr>
              <w:pStyle w:val="CeldaAPA"/>
              <w:jc w:val="left"/>
            </w:pPr>
            <w:r>
              <w:rPr/>
              <w:t xml:space="preserve">Documentado: 2.350 piezas entregadas (certificado UNICON) frente a 2.237,9 teóricas = 5,01 %; rango ±50 %</w:t>
            </w:r>
          </w:p>
        </w:tc>
      </w:tr>
      <w:tr>
        <w:tc>
          <w:tcPr>
            <w:tcW w:w="2599" w:type="dxa"/>
          </w:tcPr>
          <w:p>
            <w:pPr>
              <w:pStyle w:val="CeldaAPA"/>
              <w:jc w:val="left"/>
            </w:pPr>
            <w:r>
              <w:rPr/>
              <w:t xml:space="preserve">IDM sin SGC – Hormigón</w:t>
            </w:r>
          </w:p>
        </w:tc>
        <w:tc>
          <w:tcPr>
            <w:tcW w:w="836" w:type="dxa"/>
          </w:tcPr>
          <w:p>
            <w:pPr>
              <w:pStyle w:val="CeldaAPA"/>
              <w:jc w:val="right"/>
            </w:pPr>
            <w:r>
              <w:rPr/>
              <w:t xml:space="preserve">5,0 %</w:t>
            </w:r>
          </w:p>
        </w:tc>
        <w:tc>
          <w:tcPr>
            <w:tcW w:w="925" w:type="dxa"/>
          </w:tcPr>
          <w:p>
            <w:pPr>
              <w:pStyle w:val="CeldaAPA"/>
              <w:jc w:val="right"/>
            </w:pPr>
            <w:r>
              <w:rPr/>
              <w:t xml:space="preserve">10,0 %</w:t>
            </w:r>
          </w:p>
        </w:tc>
        <w:tc>
          <w:tcPr>
            <w:tcW w:w="961" w:type="dxa"/>
          </w:tcPr>
          <w:p>
            <w:pPr>
              <w:pStyle w:val="CeldaAPA"/>
              <w:jc w:val="right"/>
            </w:pPr>
            <w:r>
              <w:rPr/>
              <w:t xml:space="preserve">22,0 %</w:t>
            </w:r>
          </w:p>
        </w:tc>
        <w:tc>
          <w:tcPr>
            <w:tcW w:w="3502" w:type="dxa"/>
          </w:tcPr>
          <w:p>
            <w:pPr>
              <w:pStyle w:val="CeldaAPA"/>
              <w:jc w:val="left"/>
            </w:pPr>
            <w:r>
              <w:rPr/>
              <w:t xml:space="preserve">Galarza Meza (2011, pp. 53, 73): 5 % típico y 22 % sin control; Ruiz Muñoz y Rojas Bonilla (2018, pp. 33, 40): 14–27 % semanal real sin control; Maciel et al. (2016, p. 106): 1,5–13 %. Moda: valor intermedio para obra sin control volumétrico</w:t>
            </w:r>
          </w:p>
        </w:tc>
      </w:tr>
      <w:tr>
        <w:tc>
          <w:tcPr>
            <w:tcW w:w="2599" w:type="dxa"/>
          </w:tcPr>
          <w:p>
            <w:pPr>
              <w:pStyle w:val="CeldaAPA"/>
              <w:jc w:val="left"/>
            </w:pPr>
            <w:r>
              <w:rPr/>
              <w:t xml:space="preserve">IDM sin SGC – Acero</w:t>
            </w:r>
          </w:p>
        </w:tc>
        <w:tc>
          <w:tcPr>
            <w:tcW w:w="836" w:type="dxa"/>
          </w:tcPr>
          <w:p>
            <w:pPr>
              <w:pStyle w:val="CeldaAPA"/>
              <w:jc w:val="right"/>
            </w:pPr>
            <w:r>
              <w:rPr/>
              <w:t xml:space="preserve">7,0 %</w:t>
            </w:r>
          </w:p>
        </w:tc>
        <w:tc>
          <w:tcPr>
            <w:tcW w:w="925" w:type="dxa"/>
          </w:tcPr>
          <w:p>
            <w:pPr>
              <w:pStyle w:val="CeldaAPA"/>
              <w:jc w:val="right"/>
            </w:pPr>
            <w:r>
              <w:rPr/>
              <w:t xml:space="preserve">16,8 %</w:t>
            </w:r>
          </w:p>
        </w:tc>
        <w:tc>
          <w:tcPr>
            <w:tcW w:w="961" w:type="dxa"/>
          </w:tcPr>
          <w:p>
            <w:pPr>
              <w:pStyle w:val="CeldaAPA"/>
              <w:jc w:val="right"/>
            </w:pPr>
            <w:r>
              <w:rPr/>
              <w:t xml:space="preserve">26,0 %</w:t>
            </w:r>
          </w:p>
        </w:tc>
        <w:tc>
          <w:tcPr>
            <w:tcW w:w="3502" w:type="dxa"/>
          </w:tcPr>
          <w:p>
            <w:pPr>
              <w:pStyle w:val="CeldaAPA"/>
              <w:jc w:val="left"/>
            </w:pPr>
            <w:r>
              <w:rPr/>
              <w:t xml:space="preserve">Documentado: 4.171,18 kg pagados (PAO 2) frente a 3.572,80 kg teóricos = 16,75 %; rango: Galarza Meza (2011, p. 75) 7 % y Maciel et al. (2016, p. 106) hasta 26 %; coincide con Chino Quispe y Zarate Chilqquetuma (2024): 14,58–17,09 %</w:t>
            </w:r>
          </w:p>
        </w:tc>
      </w:tr>
      <w:tr>
        <w:tc>
          <w:tcPr>
            <w:tcW w:w="2599" w:type="dxa"/>
          </w:tcPr>
          <w:p>
            <w:pPr>
              <w:pStyle w:val="CeldaAPA"/>
              <w:jc w:val="left"/>
            </w:pPr>
            <w:r>
              <w:rPr/>
              <w:t xml:space="preserve">Eficacia del SGC – Viguetas</w:t>
            </w:r>
          </w:p>
        </w:tc>
        <w:tc>
          <w:tcPr>
            <w:tcW w:w="836" w:type="dxa"/>
          </w:tcPr>
          <w:p>
            <w:pPr>
              <w:pStyle w:val="CeldaAPA"/>
              <w:jc w:val="right"/>
            </w:pPr>
            <w:r>
              <w:rPr/>
              <w:t xml:space="preserve">10,0 %</w:t>
            </w:r>
          </w:p>
        </w:tc>
        <w:tc>
          <w:tcPr>
            <w:tcW w:w="925" w:type="dxa"/>
          </w:tcPr>
          <w:p>
            <w:pPr>
              <w:pStyle w:val="CeldaAPA"/>
              <w:jc w:val="right"/>
            </w:pPr>
            <w:r>
              <w:rPr/>
              <w:t xml:space="preserve">44,0 %</w:t>
            </w:r>
          </w:p>
        </w:tc>
        <w:tc>
          <w:tcPr>
            <w:tcW w:w="961" w:type="dxa"/>
          </w:tcPr>
          <w:p>
            <w:pPr>
              <w:pStyle w:val="CeldaAPA"/>
              <w:jc w:val="right"/>
            </w:pPr>
            <w:r>
              <w:rPr/>
              <w:t xml:space="preserve">70,0 %</w:t>
            </w:r>
          </w:p>
        </w:tc>
        <w:tc>
          <w:tcPr>
            <w:tcW w:w="3502" w:type="dxa"/>
          </w:tcPr>
          <w:p>
            <w:pPr>
              <w:pStyle w:val="CeldaAPA"/>
              <w:jc w:val="left"/>
            </w:pPr>
            <w:r>
              <w:rPr/>
              <w:t xml:space="preserve">Igual que materiales de obra (Galarza Meza, 2011, p. 73)</w:t>
            </w:r>
          </w:p>
        </w:tc>
      </w:tr>
      <w:tr>
        <w:tc>
          <w:tcPr>
            <w:tcW w:w="2599" w:type="dxa"/>
          </w:tcPr>
          <w:p>
            <w:pPr>
              <w:pStyle w:val="CeldaAPA"/>
              <w:jc w:val="left"/>
            </w:pPr>
            <w:r>
              <w:rPr/>
              <w:t xml:space="preserve">Eficacia del SGC – Plastoformo</w:t>
            </w:r>
          </w:p>
        </w:tc>
        <w:tc>
          <w:tcPr>
            <w:tcW w:w="836" w:type="dxa"/>
          </w:tcPr>
          <w:p>
            <w:pPr>
              <w:pStyle w:val="CeldaAPA"/>
              <w:jc w:val="right"/>
            </w:pPr>
            <w:r>
              <w:rPr/>
              <w:t xml:space="preserve">10,0 %</w:t>
            </w:r>
          </w:p>
        </w:tc>
        <w:tc>
          <w:tcPr>
            <w:tcW w:w="925" w:type="dxa"/>
          </w:tcPr>
          <w:p>
            <w:pPr>
              <w:pStyle w:val="CeldaAPA"/>
              <w:jc w:val="right"/>
            </w:pPr>
            <w:r>
              <w:rPr/>
              <w:t xml:space="preserve">44,0 %</w:t>
            </w:r>
          </w:p>
        </w:tc>
        <w:tc>
          <w:tcPr>
            <w:tcW w:w="961" w:type="dxa"/>
          </w:tcPr>
          <w:p>
            <w:pPr>
              <w:pStyle w:val="CeldaAPA"/>
              <w:jc w:val="right"/>
            </w:pPr>
            <w:r>
              <w:rPr/>
              <w:t xml:space="preserve">70,0 %</w:t>
            </w:r>
          </w:p>
        </w:tc>
        <w:tc>
          <w:tcPr>
            <w:tcW w:w="3502" w:type="dxa"/>
          </w:tcPr>
          <w:p>
            <w:pPr>
              <w:pStyle w:val="CeldaAPA"/>
              <w:jc w:val="left"/>
            </w:pPr>
            <w:r>
              <w:rPr/>
              <w:t xml:space="preserve">Igual que materiales de obra (Galarza Meza, 2011, p. 73)</w:t>
            </w:r>
          </w:p>
        </w:tc>
      </w:tr>
      <w:tr>
        <w:tc>
          <w:tcPr>
            <w:tcW w:w="2599" w:type="dxa"/>
          </w:tcPr>
          <w:p>
            <w:pPr>
              <w:pStyle w:val="CeldaAPA"/>
              <w:jc w:val="left"/>
            </w:pPr>
            <w:r>
              <w:rPr/>
              <w:t xml:space="preserve">Eficacia del SGC – Hormigón</w:t>
            </w:r>
          </w:p>
        </w:tc>
        <w:tc>
          <w:tcPr>
            <w:tcW w:w="836" w:type="dxa"/>
          </w:tcPr>
          <w:p>
            <w:pPr>
              <w:pStyle w:val="CeldaAPA"/>
              <w:jc w:val="right"/>
            </w:pPr>
            <w:r>
              <w:rPr/>
              <w:t xml:space="preserve">10,0 %</w:t>
            </w:r>
          </w:p>
        </w:tc>
        <w:tc>
          <w:tcPr>
            <w:tcW w:w="925" w:type="dxa"/>
          </w:tcPr>
          <w:p>
            <w:pPr>
              <w:pStyle w:val="CeldaAPA"/>
              <w:jc w:val="right"/>
            </w:pPr>
            <w:r>
              <w:rPr/>
              <w:t xml:space="preserve">44,0 %</w:t>
            </w:r>
          </w:p>
        </w:tc>
        <w:tc>
          <w:tcPr>
            <w:tcW w:w="961" w:type="dxa"/>
          </w:tcPr>
          <w:p>
            <w:pPr>
              <w:pStyle w:val="CeldaAPA"/>
              <w:jc w:val="right"/>
            </w:pPr>
            <w:r>
              <w:rPr/>
              <w:t xml:space="preserve">70,0 %</w:t>
            </w:r>
          </w:p>
        </w:tc>
        <w:tc>
          <w:tcPr>
            <w:tcW w:w="3502" w:type="dxa"/>
          </w:tcPr>
          <w:p>
            <w:pPr>
              <w:pStyle w:val="CeldaAPA"/>
              <w:jc w:val="left"/>
            </w:pPr>
            <w:r>
              <w:rPr/>
              <w:t xml:space="preserve">Galarza Meza (2011, p. 73): de 5 % a 2,8 % con pedidos limitados (44 %); Dzul y Gracia (2009, p. 46): 10 %</w:t>
            </w:r>
          </w:p>
        </w:tc>
      </w:tr>
      <w:tr>
        <w:tc>
          <w:tcPr>
            <w:tcW w:w="2599" w:type="dxa"/>
          </w:tcPr>
          <w:p>
            <w:pPr>
              <w:pStyle w:val="CeldaAPA"/>
              <w:jc w:val="left"/>
            </w:pPr>
            <w:r>
              <w:rPr/>
              <w:t xml:space="preserve">Eficacia del SGC – Acero</w:t>
            </w:r>
          </w:p>
        </w:tc>
        <w:tc>
          <w:tcPr>
            <w:tcW w:w="836" w:type="dxa"/>
          </w:tcPr>
          <w:p>
            <w:pPr>
              <w:pStyle w:val="CeldaAPA"/>
              <w:jc w:val="right"/>
            </w:pPr>
            <w:r>
              <w:rPr/>
              <w:t xml:space="preserve">10,0 %</w:t>
            </w:r>
          </w:p>
        </w:tc>
        <w:tc>
          <w:tcPr>
            <w:tcW w:w="925" w:type="dxa"/>
          </w:tcPr>
          <w:p>
            <w:pPr>
              <w:pStyle w:val="CeldaAPA"/>
              <w:jc w:val="right"/>
            </w:pPr>
            <w:r>
              <w:rPr/>
              <w:t xml:space="preserve">42,0 %</w:t>
            </w:r>
          </w:p>
        </w:tc>
        <w:tc>
          <w:tcPr>
            <w:tcW w:w="961" w:type="dxa"/>
          </w:tcPr>
          <w:p>
            <w:pPr>
              <w:pStyle w:val="CeldaAPA"/>
              <w:jc w:val="right"/>
            </w:pPr>
            <w:r>
              <w:rPr/>
              <w:t xml:space="preserve">80,0 %</w:t>
            </w:r>
          </w:p>
        </w:tc>
        <w:tc>
          <w:tcPr>
            <w:tcW w:w="3502" w:type="dxa"/>
          </w:tcPr>
          <w:p>
            <w:pPr>
              <w:pStyle w:val="CeldaAPA"/>
              <w:jc w:val="left"/>
            </w:pPr>
            <w:r>
              <w:rPr/>
              <w:t xml:space="preserve">Galarza Meza (2011, pp. 75-76): de 7 % a 4,04 % (42 %) y 3,75 % (46 %); Abbott y Rodríguez (2008, p. 583): &lt; 1 % precortado</w:t>
            </w:r>
          </w:p>
        </w:tc>
      </w:tr>
      <w:tr>
        <w:tc>
          <w:tcPr>
            <w:tcW w:w="2599" w:type="dxa"/>
          </w:tcPr>
          <w:p>
            <w:pPr>
              <w:pStyle w:val="CeldaAPA"/>
              <w:jc w:val="left"/>
            </w:pPr>
            <w:r>
              <w:rPr/>
              <w:t xml:space="preserve">Fracción de retrabajo sin SGC (</w:t>
            </w:r>
            <m:oMath>
              <m:r>
                <m:t>ρ</m:t>
              </m:r>
            </m:oMath>
            <w:r>
              <w:rPr/>
              <w:t xml:space="preserve">)</w:t>
            </w:r>
          </w:p>
        </w:tc>
        <w:tc>
          <w:tcPr>
            <w:tcW w:w="836" w:type="dxa"/>
          </w:tcPr>
          <w:p>
            <w:pPr>
              <w:pStyle w:val="CeldaAPA"/>
              <w:jc w:val="right"/>
            </w:pPr>
            <w:r>
              <w:rPr/>
              <w:t xml:space="preserve">0,5 %</w:t>
            </w:r>
          </w:p>
        </w:tc>
        <w:tc>
          <w:tcPr>
            <w:tcW w:w="925" w:type="dxa"/>
          </w:tcPr>
          <w:p>
            <w:pPr>
              <w:pStyle w:val="CeldaAPA"/>
              <w:jc w:val="right"/>
            </w:pPr>
            <w:r>
              <w:rPr/>
              <w:t xml:space="preserve">2,3 %</w:t>
            </w:r>
          </w:p>
        </w:tc>
        <w:tc>
          <w:tcPr>
            <w:tcW w:w="961" w:type="dxa"/>
          </w:tcPr>
          <w:p>
            <w:pPr>
              <w:pStyle w:val="CeldaAPA"/>
              <w:jc w:val="right"/>
            </w:pPr>
            <w:r>
              <w:rPr/>
              <w:t xml:space="preserve">6,5 %</w:t>
            </w:r>
          </w:p>
        </w:tc>
        <w:tc>
          <w:tcPr>
            <w:tcW w:w="3502" w:type="dxa"/>
          </w:tcPr>
          <w:p>
            <w:pPr>
              <w:pStyle w:val="CeldaAPA"/>
              <w:jc w:val="left"/>
            </w:pPr>
            <w:r>
              <w:rPr/>
              <w:t xml:space="preserve">Khadim et al. (2023, p. 5421): fallas visibles 2,34 %; Gudiel Cairampoma y Solis Puente (2020, p. 1): no calidad 2,7–5,1 % de la partida de concreto armado; Álvarez Quintero (2014, p. 12): 6,5 % sin SGC</w:t>
            </w:r>
          </w:p>
        </w:tc>
      </w:tr>
      <w:tr>
        <w:tc>
          <w:tcPr>
            <w:tcW w:w="2599" w:type="dxa"/>
          </w:tcPr>
          <w:p>
            <w:pPr>
              <w:pStyle w:val="CeldaAPA"/>
              <w:jc w:val="left"/>
            </w:pPr>
            <w:r>
              <w:rPr/>
              <w:t xml:space="preserve">Eficacia del SGC en retrabajos (</w:t>
            </w:r>
            <m:oMath>
              <m:sSub>
                <m:e>
                  <m:r>
                    <m:t>e</m:t>
                  </m:r>
                </m:e>
                <m:sub>
                  <m:r>
                    <m:t>R</m:t>
                  </m:r>
                </m:sub>
              </m:sSub>
            </m:oMath>
            <w:r>
              <w:rPr/>
              <w:t xml:space="preserve">)</w:t>
            </w:r>
          </w:p>
        </w:tc>
        <w:tc>
          <w:tcPr>
            <w:tcW w:w="836" w:type="dxa"/>
          </w:tcPr>
          <w:p>
            <w:pPr>
              <w:pStyle w:val="CeldaAPA"/>
              <w:jc w:val="right"/>
            </w:pPr>
            <w:r>
              <w:rPr/>
              <w:t xml:space="preserve">10,0 %</w:t>
            </w:r>
          </w:p>
        </w:tc>
        <w:tc>
          <w:tcPr>
            <w:tcW w:w="925" w:type="dxa"/>
          </w:tcPr>
          <w:p>
            <w:pPr>
              <w:pStyle w:val="CeldaAPA"/>
              <w:jc w:val="right"/>
            </w:pPr>
            <w:r>
              <w:rPr/>
              <w:t xml:space="preserve">49,0 %</w:t>
            </w:r>
          </w:p>
        </w:tc>
        <w:tc>
          <w:tcPr>
            <w:tcW w:w="961" w:type="dxa"/>
          </w:tcPr>
          <w:p>
            <w:pPr>
              <w:pStyle w:val="CeldaAPA"/>
              <w:jc w:val="right"/>
            </w:pPr>
            <w:r>
              <w:rPr/>
              <w:t xml:space="preserve">89,0 %</w:t>
            </w:r>
          </w:p>
        </w:tc>
        <w:tc>
          <w:tcPr>
            <w:tcW w:w="3502" w:type="dxa"/>
          </w:tcPr>
          <w:p>
            <w:pPr>
              <w:pStyle w:val="CeldaAPA"/>
              <w:jc w:val="left"/>
            </w:pPr>
            <w:r>
              <w:rPr/>
              <w:t xml:space="preserve">Dzul y Gracia (2009, p. 46): 10 %; Palanisamy y Palanichamy (2025): 49 %; Álvarez Quintero (2014, p. 12): de 6,5 % a 0,72 % (89 %)</w:t>
            </w:r>
          </w:p>
        </w:tc>
      </w:tr>
      <w:tr>
        <w:tc>
          <w:tcPr>
            <w:tcW w:w="2599" w:type="dxa"/>
          </w:tcPr>
          <w:p>
            <w:pPr>
              <w:pStyle w:val="CeldaAPA"/>
              <w:jc w:val="left"/>
            </w:pPr>
            <w:r>
              <w:rPr/>
              <w:t xml:space="preserve">Encargado de calidad a tiempo parcial (3 meses) (Bs)</w:t>
            </w:r>
          </w:p>
        </w:tc>
        <w:tc>
          <w:tcPr>
            <w:tcW w:w="836" w:type="dxa"/>
          </w:tcPr>
          <w:p>
            <w:pPr>
              <w:pStyle w:val="CeldaAPA"/>
              <w:jc w:val="right"/>
            </w:pPr>
            <w:r>
              <w:rPr/>
              <w:t xml:space="preserve">4.000</w:t>
            </w:r>
          </w:p>
        </w:tc>
        <w:tc>
          <w:tcPr>
            <w:tcW w:w="925" w:type="dxa"/>
          </w:tcPr>
          <w:p>
            <w:pPr>
              <w:pStyle w:val="CeldaAPA"/>
              <w:jc w:val="right"/>
            </w:pPr>
            <w:r>
              <w:rPr/>
              <w:t xml:space="preserve">6.750</w:t>
            </w:r>
          </w:p>
        </w:tc>
        <w:tc>
          <w:tcPr>
            <w:tcW w:w="961" w:type="dxa"/>
          </w:tcPr>
          <w:p>
            <w:pPr>
              <w:pStyle w:val="CeldaAPA"/>
              <w:jc w:val="right"/>
            </w:pPr>
            <w:r>
              <w:rPr/>
              <w:t xml:space="preserve">13.500</w:t>
            </w:r>
          </w:p>
        </w:tc>
        <w:tc>
          <w:tcPr>
            <w:tcW w:w="3502" w:type="dxa"/>
          </w:tcPr>
          <w:p>
            <w:pPr>
              <w:pStyle w:val="CeldaAPA"/>
              <w:jc w:val="left"/>
            </w:pPr>
            <w:r>
              <w:rPr/>
              <w:t xml:space="preserve">50 % de 3 meses de un jefe de calidad con sueldo anual de Bs 54.000 (Peña Callisaya, 2024, p. 171); máximo: 100 %</w:t>
            </w:r>
          </w:p>
        </w:tc>
      </w:tr>
      <w:tr>
        <w:tc>
          <w:tcPr>
            <w:tcW w:w="2599" w:type="dxa"/>
          </w:tcPr>
          <w:p>
            <w:pPr>
              <w:pStyle w:val="CeldaAPA"/>
              <w:jc w:val="left"/>
            </w:pPr>
            <w:r>
              <w:rPr/>
              <w:t xml:space="preserve">Ensayos de hormigón (probetas y asentamiento) (Bs)</w:t>
            </w:r>
          </w:p>
        </w:tc>
        <w:tc>
          <w:tcPr>
            <w:tcW w:w="836" w:type="dxa"/>
          </w:tcPr>
          <w:p>
            <w:pPr>
              <w:pStyle w:val="CeldaAPA"/>
              <w:jc w:val="right"/>
            </w:pPr>
            <w:r>
              <w:rPr/>
              <w:t xml:space="preserve">720</w:t>
            </w:r>
          </w:p>
        </w:tc>
        <w:tc>
          <w:tcPr>
            <w:tcW w:w="925" w:type="dxa"/>
          </w:tcPr>
          <w:p>
            <w:pPr>
              <w:pStyle w:val="CeldaAPA"/>
              <w:jc w:val="right"/>
            </w:pPr>
            <w:r>
              <w:rPr/>
              <w:t xml:space="preserve">1.200</w:t>
            </w:r>
          </w:p>
        </w:tc>
        <w:tc>
          <w:tcPr>
            <w:tcW w:w="961" w:type="dxa"/>
          </w:tcPr>
          <w:p>
            <w:pPr>
              <w:pStyle w:val="CeldaAPA"/>
              <w:jc w:val="right"/>
            </w:pPr>
            <w:r>
              <w:rPr/>
              <w:t xml:space="preserve">1.920</w:t>
            </w:r>
          </w:p>
        </w:tc>
        <w:tc>
          <w:tcPr>
            <w:tcW w:w="3502" w:type="dxa"/>
          </w:tcPr>
          <w:p>
            <w:pPr>
              <w:pStyle w:val="CeldaAPA"/>
              <w:jc w:val="left"/>
            </w:pPr>
            <w:r>
              <w:rPr/>
              <w:t xml:space="preserve">24 probetas según ACI 318-25 (26.12.2.1) a Bs 30–80 por probeta (supuesto)</w:t>
            </w:r>
          </w:p>
        </w:tc>
      </w:tr>
      <w:tr>
        <w:tc>
          <w:tcPr>
            <w:tcW w:w="2599" w:type="dxa"/>
          </w:tcPr>
          <w:p>
            <w:pPr>
              <w:pStyle w:val="CeldaAPA"/>
              <w:jc w:val="left"/>
            </w:pPr>
            <w:r>
              <w:rPr/>
              <w:t xml:space="preserve">Capacitación del personal (3 charlas) (Bs)</w:t>
            </w:r>
          </w:p>
        </w:tc>
        <w:tc>
          <w:tcPr>
            <w:tcW w:w="836" w:type="dxa"/>
          </w:tcPr>
          <w:p>
            <w:pPr>
              <w:pStyle w:val="CeldaAPA"/>
              <w:jc w:val="right"/>
            </w:pPr>
            <w:r>
              <w:rPr/>
              <w:t xml:space="preserve">1.000</w:t>
            </w:r>
          </w:p>
        </w:tc>
        <w:tc>
          <w:tcPr>
            <w:tcW w:w="925" w:type="dxa"/>
          </w:tcPr>
          <w:p>
            <w:pPr>
              <w:pStyle w:val="CeldaAPA"/>
              <w:jc w:val="right"/>
            </w:pPr>
            <w:r>
              <w:rPr/>
              <w:t xml:space="preserve">1.700</w:t>
            </w:r>
          </w:p>
        </w:tc>
        <w:tc>
          <w:tcPr>
            <w:tcW w:w="961" w:type="dxa"/>
          </w:tcPr>
          <w:p>
            <w:pPr>
              <w:pStyle w:val="CeldaAPA"/>
              <w:jc w:val="right"/>
            </w:pPr>
            <w:r>
              <w:rPr/>
              <w:t xml:space="preserve">5.874</w:t>
            </w:r>
          </w:p>
        </w:tc>
        <w:tc>
          <w:tcPr>
            <w:tcW w:w="3502" w:type="dxa"/>
          </w:tcPr>
          <w:p>
            <w:pPr>
              <w:pStyle w:val="CeldaAPA"/>
              <w:jc w:val="left"/>
            </w:pPr>
            <w:r>
              <w:rPr/>
              <w:t xml:space="preserve">12 trabajadores × 4,5 h con tarifas de Cocarico Mamani (2022); máximo: Peña Callisaya (2024, p. 171)</w:t>
            </w:r>
          </w:p>
        </w:tc>
      </w:tr>
      <w:tr>
        <w:tc>
          <w:tcPr>
            <w:tcW w:w="2599" w:type="dxa"/>
          </w:tcPr>
          <w:p>
            <w:pPr>
              <w:pStyle w:val="CeldaAPA"/>
              <w:jc w:val="left"/>
            </w:pPr>
            <w:r>
              <w:rPr/>
              <w:t xml:space="preserve">Control de almacén y conciliación de cantidades (Bs)</w:t>
            </w:r>
          </w:p>
        </w:tc>
        <w:tc>
          <w:tcPr>
            <w:tcW w:w="836" w:type="dxa"/>
          </w:tcPr>
          <w:p>
            <w:pPr>
              <w:pStyle w:val="CeldaAPA"/>
              <w:jc w:val="right"/>
            </w:pPr>
            <w:r>
              <w:rPr/>
              <w:t xml:space="preserve">500</w:t>
            </w:r>
          </w:p>
        </w:tc>
        <w:tc>
          <w:tcPr>
            <w:tcW w:w="925" w:type="dxa"/>
          </w:tcPr>
          <w:p>
            <w:pPr>
              <w:pStyle w:val="CeldaAPA"/>
              <w:jc w:val="right"/>
            </w:pPr>
            <w:r>
              <w:rPr/>
              <w:t xml:space="preserve">820</w:t>
            </w:r>
          </w:p>
        </w:tc>
        <w:tc>
          <w:tcPr>
            <w:tcW w:w="961" w:type="dxa"/>
          </w:tcPr>
          <w:p>
            <w:pPr>
              <w:pStyle w:val="CeldaAPA"/>
              <w:jc w:val="right"/>
            </w:pPr>
            <w:r>
              <w:rPr/>
              <w:t xml:space="preserve">1.500</w:t>
            </w:r>
          </w:p>
        </w:tc>
        <w:tc>
          <w:tcPr>
            <w:tcW w:w="3502" w:type="dxa"/>
          </w:tcPr>
          <w:p>
            <w:pPr>
              <w:pStyle w:val="CeldaAPA"/>
              <w:jc w:val="left"/>
            </w:pPr>
            <w:r>
              <w:rPr/>
              <w:t xml:space="preserve">0,5 h/día durante 60 días con tarifa de ayudante con cargas (Cocarico Mamani, 2022)</w:t>
            </w:r>
          </w:p>
        </w:tc>
      </w:tr>
      <w:tr>
        <w:tc>
          <w:tcPr>
            <w:tcW w:w="2599" w:type="dxa"/>
            <w:tcBorders>
              <w:bottom w:val="single" w:sz="8" w:space="0" w:color="000000"/>
            </w:tcBorders>
          </w:tcPr>
          <w:p>
            <w:pPr>
              <w:pStyle w:val="CeldaAPA"/>
              <w:jc w:val="left"/>
            </w:pPr>
            <w:r>
              <w:rPr/>
              <w:t xml:space="preserve">Formatos, registros e impresión (Bs)</w:t>
            </w:r>
          </w:p>
        </w:tc>
        <w:tc>
          <w:tcPr>
            <w:tcW w:w="836" w:type="dxa"/>
            <w:tcBorders>
              <w:bottom w:val="single" w:sz="8" w:space="0" w:color="000000"/>
            </w:tcBorders>
          </w:tcPr>
          <w:p>
            <w:pPr>
              <w:pStyle w:val="CeldaAPA"/>
              <w:jc w:val="right"/>
            </w:pPr>
            <w:r>
              <w:rPr/>
              <w:t xml:space="preserve">200</w:t>
            </w:r>
          </w:p>
        </w:tc>
        <w:tc>
          <w:tcPr>
            <w:tcW w:w="925" w:type="dxa"/>
            <w:tcBorders>
              <w:bottom w:val="single" w:sz="8" w:space="0" w:color="000000"/>
            </w:tcBorders>
          </w:tcPr>
          <w:p>
            <w:pPr>
              <w:pStyle w:val="CeldaAPA"/>
              <w:jc w:val="right"/>
            </w:pPr>
            <w:r>
              <w:rPr/>
              <w:t xml:space="preserve">400</w:t>
            </w:r>
          </w:p>
        </w:tc>
        <w:tc>
          <w:tcPr>
            <w:tcW w:w="961" w:type="dxa"/>
            <w:tcBorders>
              <w:bottom w:val="single" w:sz="8" w:space="0" w:color="000000"/>
            </w:tcBorders>
          </w:tcPr>
          <w:p>
            <w:pPr>
              <w:pStyle w:val="CeldaAPA"/>
              <w:jc w:val="right"/>
            </w:pPr>
            <w:r>
              <w:rPr/>
              <w:t xml:space="preserve">1.000</w:t>
            </w:r>
          </w:p>
        </w:tc>
        <w:tc>
          <w:tcPr>
            <w:tcW w:w="3502" w:type="dxa"/>
            <w:tcBorders>
              <w:bottom w:val="single" w:sz="8" w:space="0" w:color="000000"/>
            </w:tcBorders>
          </w:tcPr>
          <w:p>
            <w:pPr>
              <w:pStyle w:val="CeldaAPA"/>
              <w:jc w:val="left"/>
            </w:pPr>
            <w:r>
              <w:rPr/>
              <w:t xml:space="preserve">Supuesto del autor</w:t>
            </w:r>
          </w:p>
        </w:tc>
      </w:tr>
    </w:tbl>
    <w:p>
      <w:pPr>
        <w:pStyle w:val="NotaAPA"/>
      </w:pPr>
      <w:r>
        <w:rPr>
          <w:iCs/>
          <w:i/>
        </w:rPr>
        <w:t xml:space="preserve">Nota.</w:t>
      </w:r>
      <w:r>
        <w:t xml:space="preserve"> </w:t>
      </w:r>
      <w:r>
        <w:t xml:space="preserve">Distribuciones triangulares (mínimo, moda y máximo). IDM: índice de desperdicio de materiales respecto de la cantidad teórica. Eficacia: proporción del desperdicio o del retrabajo de la línea base que el SGC elimina.</w:t>
      </w:r>
    </w:p>
    <w:p>
      <w:pPr>
        <w:pStyle w:val="Heading2"/>
      </w:pPr>
      <w:bookmarkStart w:id="400" w:name="tit182"/>
      <w:r>
        <w:t xml:space="preserve">Convergencia de la simulación</w:t>
      </w:r>
      <w:bookmarkEnd w:id="400"/>
    </w:p>
    <w:p>
      <w:pPr>
        <w:pStyle w:val="Caption"/>
      </w:pPr>
      <w:bookmarkStart w:id="1478" w:name="fig17"/>
      <w:r>
        <w:t xml:space="preserve"/>
      </w:r>
      <w:r>
        <w:rPr>
          <w:bCs/>
          <w:b/>
        </w:rPr>
        <w:t xml:space="preserve">Figura 17</w:t>
      </w:r>
      <w:r>
        <w:br/>
      </w:r>
      <w:r>
        <w:rPr>
          <w:iCs/>
          <w:i/>
        </w:rPr>
        <w:t xml:space="preserve">Media acumulada de la reducción del costo unitario según el número de iteraciones</w:t>
      </w:r>
      <w:bookmarkEnd w:id="1478"/>
    </w:p>
    <w:p>
      <w:pPr>
        <w:pStyle w:val="FiguraAPA"/>
      </w:pPr>
      <w:r>
        <w:drawing>
          <wp:inline>
            <wp:extent cx="5052239" cy="2405828"/>
            <wp:effectExtent b="0" l="0" r="0" t="0"/>
            <wp:docPr descr="image" title="" id="398" name="Picture"/>
            <a:graphic>
              <a:graphicData uri="http://schemas.openxmlformats.org/drawingml/2006/picture">
                <pic:pic>
                  <pic:nvPicPr>
                    <pic:cNvPr descr="/home/user/TesisSGC/07_Entregables/scripts/_trabajo_sencilla/imagenes/graf_530306a49ccb76e60207.png" id="399" name="Picture"/>
                    <pic:cNvPicPr>
                      <a:picLocks noChangeArrowheads="1" noChangeAspect="1"/>
                    </pic:cNvPicPr>
                  </pic:nvPicPr>
                  <pic:blipFill>
                    <a:blip r:embed="rId397"/>
                    <a:stretch>
                      <a:fillRect/>
                    </a:stretch>
                  </pic:blipFill>
                  <pic:spPr bwMode="auto">
                    <a:xfrm>
                      <a:off x="0" y="0"/>
                      <a:ext cx="5052239" cy="2405828"/>
                    </a:xfrm>
                    <a:prstGeom prst="rect">
                      <a:avLst/>
                    </a:prstGeom>
                    <a:noFill/>
                    <a:ln w="9525">
                      <a:noFill/>
                      <a:headEnd/>
                      <a:tailEnd/>
                    </a:ln>
                  </pic:spPr>
                </pic:pic>
              </a:graphicData>
            </a:graphic>
          </wp:inline>
        </w:drawing>
      </w:r>
    </w:p>
    <w:p>
      <w:pPr>
        <w:pStyle w:val="NotaAPA"/>
      </w:pPr>
      <w:r>
        <w:rPr>
          <w:iCs/>
          <w:i/>
        </w:rPr>
        <w:t xml:space="preserve">Nota.</w:t>
      </w:r>
      <w:r>
        <w:t xml:space="preserve"> </w:t>
      </w:r>
      <w:r>
        <w:t xml:space="preserve">Elaboración propia con el modelo de este anexo.</w:t>
      </w:r>
    </w:p>
    <w:sectPr>
      <w:headerReference r:id="rId9" w:type="default"/>
      <w:pgSz w:h="15840" w:w="12240"/>
      <w:pgMar w:bottom="1440" w:footer="720" w:gutter="0" w:header="720" w:left="1440" w:right="1440" w:top="1440"/>
      <w:pgNumType w:fmt="decima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ind w:firstLine="0"/>
      <w:jc w:val="right"/>
    </w:pPr>
    <w:r>
      <w:fldChar w:fldCharType="begin"/>
    </w:r>
    <w:r>
      <w:instrText xml:space="preserve"> PAGE </w:instrText>
    </w:r>
    <w:r>
      <w:fldChar w:fldCharType="separate"/>
    </w:r>
    <w:r>
      <w:t>1</w:t>
    </w:r>
    <w:r>
      <w:fldChar w:fldCharType="end"/>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updateFields w:val="true"/>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s-BO" w:val="es-ES"/>
      </w:rPr>
    </w:rPrDefault>
    <w:pPrDefault>
      <w:pPr>
        <w:spacing w:after="0"/>
      </w:pPr>
    </w:pPrDefault>
  </w:docDefaults>
  <w:latentStyles w:count="276" w:defLockedState="0" w:defQFormat="0" w:defSemiHidden="0" w:defUIPriority="0" w:defUnhideWhenUsed="0"/>
  <w:style w:default="1" w:styleId="Normal" w:type="paragraph">
    <w:name w:val="Normal"/>
    <w:qFormat/>
    <w:pPr>
      <w:widowControl/>
      <w:spacing w:after="0" w:before="0" w:line="480" w:lineRule="auto"/>
      <w:jc w:val="left"/>
    </w:pPr>
    <w:rPr>
      <w:rFonts w:ascii="Times New Roman" w:cs="Times New Roman" w:eastAsia="Times New Roman" w:hAnsi="Times New Roman"/>
      <w:color w:val="000000"/>
      <w:sz w:val="24"/>
    </w:rPr>
  </w:style>
  <w:style w:styleId="BodyText" w:type="paragraph">
    <w:name w:val="Body Text"/>
    <w:basedOn w:val="Normal"/>
    <w:link w:val="BodyTextChar"/>
    <w:pPr>
      <w:widowControl/>
      <w:spacing w:after="0" w:before="0" w:line="480" w:lineRule="auto"/>
      <w:ind w:firstLine="720"/>
      <w:jc w:val="left"/>
    </w:pPr>
    <w:qFormat/>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widowControl/>
      <w:spacing w:after="0" w:before="0" w:line="480" w:lineRule="auto"/>
      <w:ind w:firstLine="720"/>
      <w:jc w:val="left"/>
    </w:pPr>
    <w:rPr>
      <w:rFonts w:ascii="Times New Roman" w:cs="Times New Roman" w:eastAsia="Times New Roman" w:hAnsi="Times New Roman"/>
      <w:color w:val="000000"/>
      <w:sz w:val="24"/>
    </w:rPr>
  </w:style>
  <w:style w:customStyle="1" w:styleId="Compact" w:type="paragraph">
    <w:name w:val="Compact"/>
    <w:basedOn w:val="BodyText"/>
    <w:qFormat/>
    <w:pPr>
      <w:widowControl/>
      <w:spacing w:after="0" w:before="0" w:line="480" w:lineRule="auto"/>
      <w:ind w:firstLine="0"/>
      <w:jc w:val="left"/>
    </w:pPr>
    <w:rPr>
      <w:rFonts w:ascii="Times New Roman" w:cs="Times New Roman" w:eastAsia="Times New Roman" w:hAnsi="Times New Roman"/>
      <w:color w:val="000000"/>
      <w:sz w:val="24"/>
    </w:rPr>
  </w:style>
  <w:style w:styleId="Title" w:type="paragraph">
    <w:name w:val="Title"/>
    <w:basedOn w:val="Normal"/>
    <w:next w:val="BodyText"/>
    <w:qFormat/>
    <w:pPr>
      <w:keepNext/>
      <w:keepLines/>
      <w:widowControl/>
      <w:spacing w:after="0" w:before="0" w:line="480" w:lineRule="auto"/>
      <w:ind w:firstLine="0"/>
      <w:jc w:val="center"/>
    </w:pPr>
    <w:rPr>
      <w:rFonts w:ascii="Times New Roman" w:cs="Times New Roman" w:eastAsia="Times New Roman" w:hAnsi="Times New Roman"/>
      <w:b/>
      <w:bCs/>
      <w:i w:val="0"/>
      <w:color w:val="000000"/>
      <w:sz w:val="24"/>
      <w:szCs w:val="36"/>
    </w:rPr>
  </w:style>
  <w:style w:styleId="Subtitle" w:type="paragraph">
    <w:name w:val="Subtitle"/>
    <w:basedOn w:val="Title"/>
    <w:next w:val="BodyText"/>
    <w:qFormat/>
    <w:pPr>
      <w:keepNext/>
      <w:keepLines/>
      <w:widowControl/>
      <w:spacing w:after="0" w:before="0" w:line="480" w:lineRule="auto"/>
      <w:ind w:firstLine="0"/>
      <w:jc w:val="center"/>
    </w:pPr>
    <w:rPr>
      <w:rFonts w:ascii="Times New Roman" w:cs="Times New Roman" w:eastAsia="Times New Roman" w:hAnsi="Times New Roman"/>
      <w:b w:val="0"/>
      <w:i w:val="0"/>
      <w:color w:val="000000"/>
      <w:sz w:val="24"/>
      <w:szCs w:val="30"/>
    </w:rPr>
  </w:style>
  <w:style w:customStyle="1" w:styleId="Author" w:type="paragraph">
    <w:name w:val="Author"/>
    <w:next w:val="BodyText"/>
    <w:qFormat/>
    <w:pPr>
      <w:keepNext/>
      <w:keepLines/>
      <w:widowControl/>
      <w:spacing w:after="0" w:before="0" w:line="480" w:lineRule="auto"/>
      <w:ind w:firstLine="0"/>
      <w:jc w:val="center"/>
    </w:pPr>
    <w:rPr>
      <w:rFonts w:ascii="Times New Roman" w:cs="Times New Roman" w:eastAsia="Times New Roman" w:hAnsi="Times New Roman"/>
      <w:b w:val="0"/>
      <w:i w:val="0"/>
      <w:color w:val="000000"/>
      <w:sz w:val="24"/>
    </w:rPr>
  </w:style>
  <w:style w:styleId="Date" w:type="paragraph">
    <w:name w:val="Date"/>
    <w:next w:val="BodyText"/>
    <w:qFormat/>
    <w:pPr>
      <w:keepNext/>
      <w:keepLines/>
      <w:widowControl/>
      <w:spacing w:after="0" w:before="0" w:line="480" w:lineRule="auto"/>
      <w:ind w:firstLine="0"/>
      <w:jc w:val="center"/>
    </w:pPr>
    <w:rPr>
      <w:rFonts w:ascii="Times New Roman" w:cs="Times New Roman" w:eastAsia="Times New Roman" w:hAnsi="Times New Roman"/>
      <w:b w:val="0"/>
      <w:i w:val="0"/>
      <w:color w:val="000000"/>
      <w:sz w:val="24"/>
    </w:rPr>
  </w:style>
  <w:style w:customStyle="1" w:styleId="AbstractTitle" w:type="paragraph">
    <w:name w:val="Abstract Title"/>
    <w:basedOn w:val="Normal"/>
    <w:next w:val="Abstract"/>
    <w:qFormat/>
    <w:pPr>
      <w:keepNext/>
      <w:keepLines/>
      <w:ind w:firstLine="0"/>
      <w:jc w:val="center"/>
      <w:widowControl/>
      <w:spacing w:after="0" w:before="0" w:line="480" w:lineRule="auto"/>
    </w:pPr>
    <w:rPr>
      <w:color w:val="000000"/>
      <w:sz w:val="24"/>
      <w:szCs w:val="20"/>
      <w:rFonts w:ascii="Times New Roman" w:cs="Times New Roman" w:eastAsia="Times New Roman" w:hAnsi="Times New Roman"/>
      <w:b w:val="0"/>
      <w:i w:val="0"/>
    </w:rPr>
  </w:style>
  <w:style w:customStyle="1" w:styleId="Abstract" w:type="paragraph">
    <w:name w:val="Abstract"/>
    <w:basedOn w:val="Normal"/>
    <w:next w:val="BodyText"/>
    <w:qFormat/>
    <w:pPr>
      <w:keepNext/>
      <w:keepLines/>
      <w:widowControl/>
      <w:spacing w:after="0" w:before="0" w:line="480" w:lineRule="auto"/>
      <w:ind w:firstLine="0"/>
      <w:jc w:val="center"/>
    </w:pPr>
    <w:rPr>
      <w:rFonts w:ascii="Times New Roman" w:cs="Times New Roman" w:eastAsia="Times New Roman" w:hAnsi="Times New Roman"/>
      <w:b w:val="0"/>
      <w:i w:val="0"/>
      <w:color w:val="000000"/>
      <w:sz w:val="24"/>
      <w:szCs w:val="20"/>
    </w:rPr>
  </w:style>
  <w:style w:styleId="Bibliography" w:type="paragraph">
    <w:name w:val="Bibliography"/>
    <w:basedOn w:val="Normal"/>
    <w:next w:val="Bibliography"/>
    <w:qFormat/>
    <w:pPr>
      <w:widowControl/>
      <w:spacing w:after="0" w:before="0" w:line="480" w:lineRule="auto"/>
      <w:ind w:hanging="720" w:left="720"/>
      <w:jc w:val="left"/>
    </w:pPr>
    <w:rPr>
      <w:rFonts w:ascii="Times New Roman" w:cs="Times New Roman" w:eastAsia="Times New Roman" w:hAnsi="Times New Roman"/>
      <w:color w:val="000000"/>
      <w:sz w:val="24"/>
    </w:rPr>
  </w:style>
  <w:style w:styleId="Heading1" w:type="paragraph">
    <w:name w:val="Heading 1"/>
    <w:basedOn w:val="Normal"/>
    <w:next w:val="BodyText"/>
    <w:uiPriority w:val="9"/>
    <w:qFormat/>
    <w:pPr>
      <w:keepNext/>
      <w:keepLines/>
      <w:pageBreakBefore/>
      <w:widowControl/>
      <w:spacing w:after="0" w:before="0" w:line="480" w:lineRule="auto"/>
      <w:ind w:firstLine="0"/>
      <w:jc w:val="center"/>
      <w:outlineLvl w:val="0"/>
    </w:pPr>
    <w:rPr>
      <w:rFonts w:ascii="Times New Roman" w:cs="Times New Roman" w:eastAsia="Times New Roman" w:hAnsi="Times New Roman"/>
      <w:b/>
      <w:bCs/>
      <w:i w:val="0"/>
      <w:caps/>
      <w:color w:val="000000"/>
      <w:sz w:val="24"/>
      <w:szCs w:val="32"/>
    </w:rPr>
  </w:style>
  <w:style w:styleId="Heading2" w:type="paragraph">
    <w:name w:val="Heading 2"/>
    <w:basedOn w:val="Normal"/>
    <w:next w:val="BodyText"/>
    <w:uiPriority w:val="9"/>
    <w:unhideWhenUsed/>
    <w:qFormat/>
    <w:pPr>
      <w:keepNext/>
      <w:keepLines/>
      <w:pageBreakBefore w:val="0"/>
      <w:widowControl/>
      <w:spacing w:after="0" w:before="0" w:line="480" w:lineRule="auto"/>
      <w:ind w:firstLine="0"/>
      <w:jc w:val="left"/>
      <w:outlineLvl w:val="1"/>
    </w:pPr>
    <w:rPr>
      <w:rFonts w:ascii="Times New Roman" w:cs="Times New Roman" w:eastAsia="Times New Roman" w:hAnsi="Times New Roman"/>
      <w:b/>
      <w:bCs/>
      <w:i w:val="0"/>
      <w:caps w:val="0"/>
      <w:color w:val="000000"/>
      <w:sz w:val="24"/>
      <w:szCs w:val="28"/>
    </w:rPr>
  </w:style>
  <w:style w:styleId="Heading3" w:type="paragraph">
    <w:name w:val="Heading 3"/>
    <w:basedOn w:val="Normal"/>
    <w:next w:val="BodyText"/>
    <w:uiPriority w:val="9"/>
    <w:unhideWhenUsed/>
    <w:qFormat/>
    <w:pPr>
      <w:keepNext/>
      <w:keepLines/>
      <w:pageBreakBefore w:val="0"/>
      <w:widowControl/>
      <w:spacing w:after="0" w:before="0" w:line="480" w:lineRule="auto"/>
      <w:ind w:firstLine="0"/>
      <w:jc w:val="left"/>
      <w:outlineLvl w:val="2"/>
    </w:pPr>
    <w:rPr>
      <w:rFonts w:ascii="Times New Roman" w:cs="Times New Roman" w:eastAsia="Times New Roman" w:hAnsi="Times New Roman"/>
      <w:b/>
      <w:bCs/>
      <w:i/>
      <w:caps w:val="0"/>
      <w:color w:val="000000"/>
      <w:sz w:val="24"/>
      <w:szCs w:val="24"/>
    </w:rPr>
  </w:style>
  <w:style w:styleId="Heading4" w:type="paragraph">
    <w:name w:val="Heading 4"/>
    <w:basedOn w:val="Normal"/>
    <w:next w:val="BodyText"/>
    <w:uiPriority w:val="9"/>
    <w:unhideWhenUsed/>
    <w:qFormat/>
    <w:pPr>
      <w:keepNext/>
      <w:keepLines/>
      <w:pageBreakBefore w:val="0"/>
      <w:widowControl/>
      <w:spacing w:after="0" w:before="0" w:line="480" w:lineRule="auto"/>
      <w:ind w:firstLine="720" w:left="0"/>
      <w:jc w:val="left"/>
      <w:outlineLvl w:val="3"/>
    </w:pPr>
    <w:rPr>
      <w:rFonts w:ascii="Times New Roman" w:cs="Times New Roman" w:eastAsia="Times New Roman" w:hAnsi="Times New Roman"/>
      <w:i w:val="0"/>
      <w:b/>
      <w:bCs/>
      <w:caps w:val="0"/>
      <w:color w:val="000000"/>
      <w:sz w:val="24"/>
      <w:szCs w:val="24"/>
    </w:rPr>
  </w:style>
  <w:style w:styleId="Heading5" w:type="paragraph">
    <w:name w:val="Heading 5"/>
    <w:basedOn w:val="Normal"/>
    <w:next w:val="BodyText"/>
    <w:uiPriority w:val="9"/>
    <w:unhideWhenUsed/>
    <w:qFormat/>
    <w:pPr>
      <w:keepNext/>
      <w:keepLines/>
      <w:pageBreakBefore w:val="0"/>
      <w:widowControl/>
      <w:spacing w:after="0" w:before="0" w:line="480" w:lineRule="auto"/>
      <w:ind w:firstLine="720" w:left="0"/>
      <w:jc w:val="left"/>
      <w:outlineLvl w:val="4"/>
    </w:pPr>
    <w:rPr>
      <w:rFonts w:ascii="Times New Roman" w:cs="Times New Roman" w:eastAsia="Times New Roman" w:hAnsi="Times New Roman"/>
      <w:b/>
      <w:i/>
      <w:iCs/>
      <w:caps w:val="0"/>
      <w:color w:val="000000"/>
      <w:sz w:val="24"/>
      <w:szCs w:val="24"/>
    </w:rPr>
  </w:style>
  <w:style w:styleId="Heading6" w:type="paragraph">
    <w:name w:val="Heading 6"/>
    <w:basedOn w:val="Normal"/>
    <w:next w:val="BodyText"/>
    <w:uiPriority w:val="9"/>
    <w:unhideWhenUsed/>
    <w:qFormat/>
    <w:pPr>
      <w:keepNext/>
      <w:keepLines/>
      <w:pageBreakBefore w:val="0"/>
      <w:widowControl/>
      <w:spacing w:after="0" w:before="0" w:line="480" w:lineRule="auto"/>
      <w:ind w:firstLine="720" w:left="0"/>
      <w:jc w:val="left"/>
      <w:outlineLvl w:val="5"/>
    </w:pPr>
    <w:rPr>
      <w:rFonts w:ascii="Times New Roman" w:cs="Times New Roman" w:eastAsia="Times New Roman" w:hAnsi="Times New Roman"/>
      <w:b/>
      <w:i/>
      <w:caps w:val="0"/>
      <w:color w:val="000000"/>
      <w:sz w:val="24"/>
      <w:szCs w:val="24"/>
    </w:rPr>
  </w:style>
  <w:style w:styleId="Heading7" w:type="paragraph">
    <w:name w:val="Heading 7"/>
    <w:basedOn w:val="Normal"/>
    <w:next w:val="BodyText"/>
    <w:uiPriority w:val="9"/>
    <w:unhideWhenUsed/>
    <w:qFormat/>
    <w:pPr>
      <w:keepNext/>
      <w:keepLines/>
      <w:pageBreakBefore w:val="0"/>
      <w:widowControl/>
      <w:spacing w:after="0" w:before="0" w:line="480" w:lineRule="auto"/>
      <w:ind w:firstLine="720" w:left="0"/>
      <w:jc w:val="left"/>
      <w:outlineLvl w:val="6"/>
    </w:pPr>
    <w:rPr>
      <w:rFonts w:ascii="Times New Roman" w:cs="Times New Roman" w:eastAsia="Times New Roman" w:hAnsi="Times New Roman"/>
      <w:b/>
      <w:i/>
      <w:caps w:val="0"/>
      <w:color w:val="000000"/>
      <w:sz w:val="24"/>
      <w:szCs w:val="24"/>
    </w:rPr>
  </w:style>
  <w:style w:styleId="Heading8" w:type="paragraph">
    <w:name w:val="Heading 8"/>
    <w:basedOn w:val="Normal"/>
    <w:next w:val="BodyText"/>
    <w:uiPriority w:val="9"/>
    <w:unhideWhenUsed/>
    <w:qFormat/>
    <w:pPr>
      <w:keepNext/>
      <w:keepLines/>
      <w:pageBreakBefore w:val="0"/>
      <w:widowControl/>
      <w:spacing w:after="0" w:before="0" w:line="480" w:lineRule="auto"/>
      <w:ind w:firstLine="720" w:left="0"/>
      <w:jc w:val="left"/>
      <w:outlineLvl w:val="7"/>
    </w:pPr>
    <w:rPr>
      <w:rFonts w:ascii="Times New Roman" w:cs="Times New Roman" w:eastAsia="Times New Roman" w:hAnsi="Times New Roman"/>
      <w:b/>
      <w:i/>
      <w:caps w:val="0"/>
      <w:color w:val="000000"/>
      <w:sz w:val="24"/>
      <w:szCs w:val="24"/>
    </w:rPr>
  </w:style>
  <w:style w:styleId="Heading9" w:type="paragraph">
    <w:name w:val="Heading 9"/>
    <w:basedOn w:val="Normal"/>
    <w:next w:val="BodyText"/>
    <w:uiPriority w:val="9"/>
    <w:unhideWhenUsed/>
    <w:qFormat/>
    <w:pPr>
      <w:keepNext/>
      <w:keepLines/>
      <w:pageBreakBefore w:val="0"/>
      <w:widowControl/>
      <w:spacing w:after="0" w:before="0" w:line="480" w:lineRule="auto"/>
      <w:ind w:firstLine="720" w:left="0"/>
      <w:jc w:val="left"/>
      <w:outlineLvl w:val="8"/>
    </w:pPr>
    <w:rPr>
      <w:rFonts w:ascii="Times New Roman" w:cs="Times New Roman" w:eastAsia="Times New Roman" w:hAnsi="Times New Roman"/>
      <w:b/>
      <w:i/>
      <w:caps w:val="0"/>
      <w:color w:val="000000"/>
      <w:sz w:val="24"/>
      <w:szCs w:val="24"/>
    </w:rPr>
  </w:style>
  <w:style w:styleId="BlockText" w:type="paragraph">
    <w:name w:val="Block Text"/>
    <w:basedOn w:val="BodyText"/>
    <w:next w:val="BodyText"/>
    <w:uiPriority w:val="9"/>
    <w:unhideWhenUsed/>
    <w:qFormat/>
    <w:pPr>
      <w:widowControl/>
      <w:spacing w:after="0" w:before="0" w:line="480" w:lineRule="auto"/>
      <w:ind w:firstLine="0" w:left="720" w:right="480"/>
      <w:jc w:val="left"/>
    </w:pPr>
    <w:rPr>
      <w:rFonts w:ascii="Times New Roman" w:cs="Times New Roman" w:eastAsia="Times New Roman" w:hAnsi="Times New Roman"/>
      <w:i w:val="0"/>
      <w:color w:val="000000"/>
      <w:sz w:val="24"/>
    </w:rPr>
  </w:style>
  <w:style w:styleId="FootnoteText" w:type="paragraph">
    <w:name w:val="Footnote Text"/>
    <w:basedOn w:val="Normal"/>
    <w:next w:val="FootnoteText"/>
    <w:uiPriority w:val="9"/>
    <w:unhideWhenUsed/>
    <w:qFormat/>
    <w:pPr>
      <w:widowControl/>
      <w:spacing w:after="0" w:before="0" w:line="240" w:lineRule="auto"/>
      <w:ind w:firstLine="0"/>
      <w:jc w:val="left"/>
    </w:pPr>
    <w:rPr>
      <w:rFonts w:ascii="Times New Roman" w:cs="Times New Roman" w:eastAsia="Times New Roman" w:hAnsi="Times New Roman"/>
      <w:color w:val="000000"/>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widowControl/>
      <w:spacing w:after="0" w:before="0" w:line="480" w:lineRule="auto"/>
      <w:ind w:firstLine="0" w:left="0"/>
      <w:jc w:val="left"/>
    </w:pPr>
    <w:rPr>
      <w:rFonts w:ascii="Times New Roman" w:cs="Times New Roman" w:eastAsia="Times New Roman" w:hAnsi="Times New Roman"/>
      <w:b/>
      <w:color w:val="000000"/>
      <w:sz w:val="24"/>
    </w:rPr>
  </w:style>
  <w:style w:customStyle="1" w:styleId="Definition" w:type="paragraph">
    <w:name w:val="Definition"/>
    <w:basedOn w:val="Normal"/>
    <w:pPr>
      <w:widowControl/>
      <w:spacing w:after="0" w:before="0" w:line="480" w:lineRule="auto"/>
      <w:ind w:firstLine="0" w:left="720"/>
      <w:jc w:val="left"/>
    </w:pPr>
    <w:rPr>
      <w:rFonts w:ascii="Times New Roman" w:cs="Times New Roman" w:eastAsia="Times New Roman" w:hAnsi="Times New Roman"/>
      <w:b w:val="0"/>
      <w:color w:val="000000"/>
      <w:sz w:val="24"/>
    </w:rPr>
  </w:style>
  <w:style w:styleId="Caption" w:type="paragraph">
    <w:name w:val="Caption"/>
    <w:basedOn w:val="Normal"/>
    <w:link w:val="BodyTextChar"/>
    <w:pPr>
      <w:keepNext/>
      <w:widowControl/>
      <w:spacing w:after="0" w:before="240" w:line="480" w:lineRule="auto"/>
      <w:ind w:firstLine="0"/>
      <w:jc w:val="left"/>
    </w:pPr>
    <w:rPr>
      <w:rFonts w:ascii="Times New Roman" w:cs="Times New Roman" w:eastAsia="Times New Roman" w:hAnsi="Times New Roman"/>
      <w:b w:val="0"/>
      <w:i w:val="0"/>
      <w:color w:val="000000"/>
      <w:sz w:val="24"/>
    </w:rPr>
  </w:style>
  <w:style w:customStyle="1" w:styleId="TableCaption" w:type="paragraph">
    <w:name w:val="Table Caption"/>
    <w:basedOn w:val="Caption"/>
    <w:pPr>
      <w:keepNext/>
      <w:widowControl/>
      <w:spacing w:after="0" w:before="240" w:line="480" w:lineRule="auto"/>
      <w:ind w:firstLine="0"/>
      <w:jc w:val="left"/>
    </w:pPr>
    <w:rPr>
      <w:rFonts w:ascii="Times New Roman" w:cs="Times New Roman" w:eastAsia="Times New Roman" w:hAnsi="Times New Roman"/>
      <w:b w:val="0"/>
      <w:i w:val="0"/>
      <w:color w:val="000000"/>
      <w:sz w:val="24"/>
    </w:rPr>
  </w:style>
  <w:style w:customStyle="1" w:styleId="ImageCaption" w:type="paragraph">
    <w:name w:val="Image Caption"/>
    <w:basedOn w:val="Caption"/>
    <w:pPr>
      <w:keepNext/>
      <w:widowControl/>
      <w:spacing w:after="0" w:before="240" w:line="480" w:lineRule="auto"/>
      <w:ind w:firstLine="0"/>
      <w:jc w:val="left"/>
    </w:pPr>
    <w:rPr>
      <w:rFonts w:ascii="Times New Roman" w:cs="Times New Roman" w:eastAsia="Times New Roman" w:hAnsi="Times New Roman"/>
      <w:b w:val="0"/>
      <w:i w:val="0"/>
      <w:color w:val="000000"/>
      <w:sz w:val="24"/>
    </w:rPr>
  </w:style>
  <w:style w:customStyle="1" w:styleId="Figure" w:type="paragraph">
    <w:name w:val="Figure"/>
    <w:basedOn w:val="Normal"/>
    <w:pPr>
      <w:keepNext/>
      <w:widowControl/>
      <w:spacing w:after="0" w:before="0" w:line="240" w:lineRule="auto"/>
      <w:ind w:firstLine="0"/>
      <w:jc w:val="center"/>
    </w:pPr>
    <w:rPr>
      <w:rFonts w:ascii="Times New Roman" w:cs="Times New Roman" w:eastAsia="Times New Roman" w:hAnsi="Times New Roman"/>
      <w:color w:val="000000"/>
      <w:sz w:val="24"/>
    </w:rPr>
  </w:style>
  <w:style w:customStyle="1" w:styleId="CaptionedFigure" w:type="paragraph">
    <w:name w:val="Captioned Figure"/>
    <w:basedOn w:val="Figure"/>
    <w:pPr>
      <w:keepNext/>
      <w:widowControl/>
      <w:spacing w:after="0" w:before="0" w:line="240" w:lineRule="auto"/>
      <w:ind w:firstLine="0"/>
      <w:jc w:val="center"/>
    </w:pPr>
    <w:rPr>
      <w:rFonts w:ascii="Times New Roman" w:cs="Times New Roman" w:eastAsia="Times New Roman" w:hAnsi="Times New Roman"/>
      <w:color w:val="000000"/>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563C1"/>
    </w:rPr>
  </w:style>
  <w:style w:styleId="TOCHeading" w:type="paragraph">
    <w:name w:val="TOC Heading"/>
    <w:basedOn w:val="Normal"/>
    <w:next w:val="BodyText"/>
    <w:uiPriority w:val="39"/>
    <w:unhideWhenUsed/>
    <w:qFormat/>
    <w:pPr>
      <w:keepNext/>
      <w:pageBreakBefore/>
      <w:widowControl/>
      <w:spacing w:after="240" w:before="0" w:line="480" w:lineRule="auto"/>
      <w:ind w:firstLine="0"/>
      <w:jc w:val="center"/>
    </w:pPr>
    <w:rPr>
      <w:rFonts w:ascii="Times New Roman" w:cs="Times New Roman" w:eastAsia="Times New Roman" w:hAnsi="Times New Roman"/>
      <w:b/>
      <w:bCs w:val="0"/>
      <w:i w:val="0"/>
      <w:caps/>
      <w:color w:val="000000"/>
      <w:sz w:val="24"/>
    </w:rPr>
  </w:style>
  <w:style w:customStyle="1" w:styleId="NotaAPA" w:type="paragraph">
    <w:name w:val="Nota APA"/>
    <w:basedOn w:val="Normal"/>
    <w:pPr>
      <w:widowControl/>
      <w:spacing w:after="240" w:before="0" w:line="480" w:lineRule="auto"/>
      <w:ind w:firstLine="0"/>
      <w:jc w:val="left"/>
    </w:pPr>
    <w:rPr>
      <w:rFonts w:ascii="Times New Roman" w:cs="Times New Roman" w:eastAsia="Times New Roman" w:hAnsi="Times New Roman"/>
      <w:color w:val="000000"/>
      <w:sz w:val="24"/>
    </w:rPr>
  </w:style>
  <w:style w:customStyle="1" w:styleId="FiguraAPA" w:type="paragraph">
    <w:name w:val="Figura APA"/>
    <w:basedOn w:val="Normal"/>
    <w:pPr>
      <w:keepNext/>
      <w:widowControl/>
      <w:spacing w:after="60" w:before="60" w:line="240" w:lineRule="auto"/>
      <w:ind w:firstLine="0"/>
      <w:jc w:val="center"/>
    </w:pPr>
    <w:rPr>
      <w:rFonts w:ascii="Times New Roman" w:cs="Times New Roman" w:eastAsia="Times New Roman" w:hAnsi="Times New Roman"/>
      <w:color w:val="000000"/>
      <w:sz w:val="24"/>
    </w:rPr>
  </w:style>
  <w:style w:customStyle="1" w:styleId="EcuacionAPA" w:type="paragraph">
    <w:name w:val="Ecuacion APA"/>
    <w:basedOn w:val="Normal"/>
    <w:pPr>
      <w:widowControl/>
      <w:spacing w:after="120" w:before="120" w:line="240" w:lineRule="auto"/>
      <w:ind w:firstLine="0"/>
      <w:jc w:val="center"/>
    </w:pPr>
    <w:rPr>
      <w:rFonts w:ascii="Times New Roman" w:cs="Times New Roman" w:eastAsia="Times New Roman" w:hAnsi="Times New Roman"/>
      <w:color w:val="000000"/>
      <w:sz w:val="24"/>
    </w:rPr>
  </w:style>
  <w:style w:customStyle="1" w:styleId="CeldaAPA" w:type="paragraph">
    <w:name w:val="Celda APA"/>
    <w:basedOn w:val="Normal"/>
    <w:pPr>
      <w:widowControl/>
      <w:spacing w:after="20" w:before="20" w:line="240" w:lineRule="auto"/>
      <w:ind w:firstLine="0"/>
      <w:jc w:val="left"/>
    </w:pPr>
    <w:rPr>
      <w:rFonts w:ascii="Times New Roman" w:cs="Times New Roman" w:eastAsia="Times New Roman" w:hAnsi="Times New Roman"/>
      <w:color w:val="000000"/>
      <w:sz w:val="24"/>
    </w:rPr>
  </w:style>
  <w:style w:customStyle="1" w:styleId="Caratula" w:type="paragraph">
    <w:name w:val="Caratula"/>
    <w:basedOn w:val="Normal"/>
    <w:pPr>
      <w:widowControl/>
      <w:spacing w:after="0" w:before="0" w:line="480" w:lineRule="auto"/>
      <w:ind w:firstLine="0"/>
      <w:jc w:val="center"/>
    </w:pPr>
    <w:rPr>
      <w:rFonts w:ascii="Times New Roman" w:cs="Times New Roman" w:eastAsia="Times New Roman" w:hAnsi="Times New Roman"/>
      <w:color w:val="000000"/>
      <w:sz w:val="24"/>
    </w:rPr>
  </w:style>
  <w:style w:customStyle="1" w:styleId="Listaetiquetada" w:type="paragraph">
    <w:name w:val="Lista etiquetada"/>
    <w:basedOn w:val="Normal"/>
    <w:pPr>
      <w:widowControl/>
      <w:tabs>
        <w:tab w:pos="1440" w:val="left"/>
      </w:tabs>
      <w:spacing w:after="0" w:before="0" w:line="480" w:lineRule="auto"/>
      <w:ind w:hanging="720" w:left="1440"/>
      <w:jc w:val="left"/>
    </w:pPr>
    <w:rPr>
      <w:rFonts w:ascii="Times New Roman" w:cs="Times New Roman" w:eastAsia="Times New Roman" w:hAnsi="Times New Roman"/>
      <w:color w:val="000000"/>
      <w:sz w:val="24"/>
    </w:rPr>
  </w:style>
  <w:style w:customStyle="1" w:styleId="Recuadro" w:type="paragraph">
    <w:name w:val="Recuadro"/>
    <w:basedOn w:val="Normal"/>
    <w:pPr>
      <w:pBdr>
        <w:top w:color="808080" w:space="6" w:sz="6" w:val="single"/>
        <w:left w:color="808080" w:space="6" w:sz="6" w:val="single"/>
        <w:bottom w:color="808080" w:space="6" w:sz="6" w:val="single"/>
        <w:right w:color="808080" w:space="6" w:sz="6" w:val="single"/>
      </w:pBdr>
      <w:shd w:color="auto" w:fill="F2F2F2" w:val="clear"/>
      <w:widowControl/>
      <w:spacing w:after="80" w:before="80" w:line="276" w:lineRule="auto"/>
      <w:ind w:firstLine="0" w:left="227" w:right="227"/>
      <w:jc w:val="left"/>
    </w:pPr>
    <w:rPr>
      <w:rFonts w:ascii="Times New Roman" w:cs="Times New Roman" w:eastAsia="Times New Roman" w:hAnsi="Times New Roman"/>
      <w:color w:val="000000"/>
      <w:sz w:val="24"/>
    </w:rPr>
  </w:style>
  <w:style w:customStyle="1" w:styleId="SourceCode" w:type="paragraph">
    <w:name w:val="Source Code"/>
    <w:basedOn w:val="Normal"/>
    <w:pPr>
      <w:widowControl/>
      <w:spacing w:after="120" w:before="120" w:line="240" w:lineRule="auto"/>
      <w:ind w:firstLine="0"/>
      <w:jc w:val="left"/>
    </w:pPr>
    <w:rPr>
      <w:rFonts w:ascii="Courier New" w:cs="Courier New" w:eastAsia="Courier New" w:hAnsi="Courier New"/>
      <w:color w:val="000000"/>
      <w:sz w:val="18"/>
    </w:rPr>
  </w:style>
  <w:style w:customStyle="1" w:styleId="Pendiente" w:type="character">
    <w:name w:val="Pendiente"/>
    <w:rPr>
      <w:color w:val="B6321C"/>
    </w:rPr>
  </w:style>
  <w:style w:customStyle="1" w:styleId="toc1" w:type="paragraph">
    <w:name w:val="toc 1"/>
    <w:basedOn w:val="Normal"/>
    <w:pPr>
      <w:widowControl/>
      <w:tabs>
        <w:tab w:leader="dot" w:pos="9360" w:val="right"/>
      </w:tabs>
      <w:spacing w:after="40" w:before="120" w:line="240" w:lineRule="auto"/>
      <w:ind w:firstLine="0" w:left="0" w:right="567"/>
      <w:jc w:val="left"/>
    </w:pPr>
    <w:rPr>
      <w:rFonts w:ascii="Times New Roman" w:cs="Times New Roman" w:eastAsia="Times New Roman" w:hAnsi="Times New Roman"/>
      <w:b/>
      <w:i w:val="0"/>
      <w:color w:val="000000"/>
      <w:sz w:val="24"/>
    </w:rPr>
  </w:style>
  <w:style w:customStyle="1" w:styleId="toc2" w:type="paragraph">
    <w:name w:val="toc 2"/>
    <w:basedOn w:val="Normal"/>
    <w:pPr>
      <w:widowControl/>
      <w:tabs>
        <w:tab w:leader="dot" w:pos="9360" w:val="right"/>
      </w:tabs>
      <w:spacing w:after="40" w:before="40" w:line="240" w:lineRule="auto"/>
      <w:ind w:firstLine="0" w:left="340" w:right="567"/>
      <w:jc w:val="left"/>
    </w:pPr>
    <w:rPr>
      <w:rFonts w:ascii="Times New Roman" w:cs="Times New Roman" w:eastAsia="Times New Roman" w:hAnsi="Times New Roman"/>
      <w:b w:val="0"/>
      <w:i w:val="0"/>
      <w:color w:val="000000"/>
      <w:sz w:val="24"/>
    </w:rPr>
  </w:style>
  <w:style w:customStyle="1" w:styleId="toc3" w:type="paragraph">
    <w:name w:val="toc 3"/>
    <w:basedOn w:val="Normal"/>
    <w:pPr>
      <w:widowControl/>
      <w:tabs>
        <w:tab w:leader="dot" w:pos="9360" w:val="right"/>
      </w:tabs>
      <w:spacing w:after="40" w:before="40" w:line="240" w:lineRule="auto"/>
      <w:ind w:firstLine="0" w:left="794" w:right="567"/>
      <w:jc w:val="left"/>
    </w:pPr>
    <w:rPr>
      <w:rFonts w:ascii="Times New Roman" w:cs="Times New Roman" w:eastAsia="Times New Roman" w:hAnsi="Times New Roman"/>
      <w:b w:val="0"/>
      <w:i w:val="0"/>
      <w:color w:val="000000"/>
      <w:sz w:val="24"/>
    </w:rPr>
  </w:style>
  <w:style w:customStyle="1" w:styleId="tableoffigures" w:type="paragraph">
    <w:name w:val="table of figures"/>
    <w:basedOn w:val="Normal"/>
    <w:pPr>
      <w:widowControl/>
      <w:tabs>
        <w:tab w:leader="dot" w:pos="9360" w:val="right"/>
      </w:tabs>
      <w:spacing w:after="80" w:before="40" w:line="240" w:lineRule="auto"/>
      <w:ind w:hanging="1077" w:left="1077" w:right="567"/>
      <w:jc w:val="left"/>
    </w:pPr>
    <w:rPr>
      <w:rFonts w:ascii="Times New Roman" w:cs="Times New Roman" w:eastAsia="Times New Roman" w:hAnsi="Times New Roman"/>
      <w:b w:val="0"/>
      <w:i w:val="0"/>
      <w:color w:val="000000"/>
      <w:sz w:val="24"/>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30" Type="http://schemas.openxmlformats.org/officeDocument/2006/relationships/image" Target="media/rId130.png"/><Relationship Id="rId143" Type="http://schemas.openxmlformats.org/officeDocument/2006/relationships/image" Target="media/rId143.png"/><Relationship Id="rId123" Type="http://schemas.openxmlformats.org/officeDocument/2006/relationships/image" Target="media/rId123.png"/><Relationship Id="rId93" Type="http://schemas.openxmlformats.org/officeDocument/2006/relationships/image" Target="media/rId93.png"/><Relationship Id="rId90" Type="http://schemas.openxmlformats.org/officeDocument/2006/relationships/image" Target="media/rId90.png"/><Relationship Id="rId199" Type="http://schemas.openxmlformats.org/officeDocument/2006/relationships/image" Target="media/rId199.png"/><Relationship Id="rId397" Type="http://schemas.openxmlformats.org/officeDocument/2006/relationships/image" Target="media/rId397.png"/><Relationship Id="rId191" Type="http://schemas.openxmlformats.org/officeDocument/2006/relationships/image" Target="media/rId191.png"/><Relationship Id="rId196" Type="http://schemas.openxmlformats.org/officeDocument/2006/relationships/image" Target="media/rId196.png"/><Relationship Id="rId204" Type="http://schemas.openxmlformats.org/officeDocument/2006/relationships/image" Target="media/rId204.png"/><Relationship Id="rId374" Type="http://schemas.openxmlformats.org/officeDocument/2006/relationships/image" Target="media/rId374.png"/><Relationship Id="rId367" Type="http://schemas.openxmlformats.org/officeDocument/2006/relationships/image" Target="media/rId367.png"/><Relationship Id="rId385" Type="http://schemas.openxmlformats.org/officeDocument/2006/relationships/image" Target="media/rId385.png"/><Relationship Id="rId392" Type="http://schemas.openxmlformats.org/officeDocument/2006/relationships/image" Target="media/rId392.png"/><Relationship Id="rId361" Type="http://schemas.openxmlformats.org/officeDocument/2006/relationships/image" Target="media/rId361.png"/><Relationship Id="rId371" Type="http://schemas.openxmlformats.org/officeDocument/2006/relationships/image" Target="media/rId371.png"/><Relationship Id="rId364" Type="http://schemas.openxmlformats.org/officeDocument/2006/relationships/image" Target="media/rId364.png"/><Relationship Id="rId381" Type="http://schemas.openxmlformats.org/officeDocument/2006/relationships/image" Target="media/rId381.png"/><Relationship Id="rId378" Type="http://schemas.openxmlformats.org/officeDocument/2006/relationships/image" Target="media/rId378.png"/><Relationship Id="rId146" Type="http://schemas.openxmlformats.org/officeDocument/2006/relationships/image" Target="media/rId146.png"/><Relationship Id="rId70" Type="http://schemas.openxmlformats.org/officeDocument/2006/relationships/image" Target="media/rId70.png"/><Relationship Id="rId152" Type="http://schemas.openxmlformats.org/officeDocument/2006/relationships/image" Target="media/rId152.png"/><Relationship Id="rId176" Type="http://schemas.openxmlformats.org/officeDocument/2006/relationships/image" Target="media/rId176.png"/><Relationship Id="rId116" Type="http://schemas.openxmlformats.org/officeDocument/2006/relationships/image" Target="media/rId116.png"/><Relationship Id="rId80" Type="http://schemas.openxmlformats.org/officeDocument/2006/relationships/image" Target="media/rId80.png"/><Relationship Id="rId160" Type="http://schemas.openxmlformats.org/officeDocument/2006/relationships/image" Target="media/rId160.png"/><Relationship Id="rId344" Type="http://schemas.openxmlformats.org/officeDocument/2006/relationships/hyperlink" Target="http://ddigital.umss.edu.bo/handle/123456789/49369" TargetMode="External"/><Relationship Id="rId332" Type="http://schemas.openxmlformats.org/officeDocument/2006/relationships/hyperlink" Target="http://hdl.handle.net/11396/3329" TargetMode="External"/><Relationship Id="rId232" Type="http://schemas.openxmlformats.org/officeDocument/2006/relationships/hyperlink" Target="http://hdl.handle.net/20.500.12404/185" TargetMode="External"/><Relationship Id="rId274" Type="http://schemas.openxmlformats.org/officeDocument/2006/relationships/hyperlink" Target="http://hdl.handle.net/20.500.12404/888" TargetMode="External"/><Relationship Id="rId260" Type="http://schemas.openxmlformats.org/officeDocument/2006/relationships/hyperlink" Target="http://www.gacetaoficialdebolivia.gob.bo/normas/verGratis_gob/280603" TargetMode="External"/><Relationship Id="rId264" Type="http://schemas.openxmlformats.org/officeDocument/2006/relationships/hyperlink" Target="http://www.gacetaoficialdebolivia.gob.bo/normas/verGratis_gob/281136" TargetMode="External"/><Relationship Id="rId290" Type="http://schemas.openxmlformats.org/officeDocument/2006/relationships/hyperlink" Target="https://doi.org/10.1007/s11135-022-01574-8" TargetMode="External"/><Relationship Id="rId270" Type="http://schemas.openxmlformats.org/officeDocument/2006/relationships/hyperlink" Target="https://doi.org/10.1061/(ASCE)CO.1943-7862.0001324" TargetMode="External"/><Relationship Id="rId317" Type="http://schemas.openxmlformats.org/officeDocument/2006/relationships/hyperlink" Target="https://doi.org/10.1590/1517-7076-RMAT-2024-0738" TargetMode="External"/><Relationship Id="rId322" Type="http://schemas.openxmlformats.org/officeDocument/2006/relationships/hyperlink" Target="https://doi.org/10.18041/1794-4953/avances.1.298" TargetMode="External"/><Relationship Id="rId278" Type="http://schemas.openxmlformats.org/officeDocument/2006/relationships/hyperlink" Target="https://doi.org/10.19083/tesis/652829" TargetMode="External"/><Relationship Id="rId336" Type="http://schemas.openxmlformats.org/officeDocument/2006/relationships/hyperlink" Target="https://doi.org/10.28991/cej-2020-03091535" TargetMode="External"/><Relationship Id="rId295" Type="http://schemas.openxmlformats.org/officeDocument/2006/relationships/hyperlink" Target="https://doi.org/10.3390/su11133638" TargetMode="External"/><Relationship Id="rId258" Type="http://schemas.openxmlformats.org/officeDocument/2006/relationships/hyperlink" Target="https://doi.org/10.3989/ic.07.004" TargetMode="External"/><Relationship Id="rId328" Type="http://schemas.openxmlformats.org/officeDocument/2006/relationships/hyperlink" Target="https://doi.org/10.4067/S0718-50732007000300006" TargetMode="External"/><Relationship Id="rId297" Type="http://schemas.openxmlformats.org/officeDocument/2006/relationships/hyperlink" Target="https://doi.org/10.4067/S0718-50732016000200004" TargetMode="External"/><Relationship Id="rId324" Type="http://schemas.openxmlformats.org/officeDocument/2006/relationships/hyperlink" Target="https://doi.org/10.5295/cdg.140507cd" TargetMode="External"/><Relationship Id="rId334" Type="http://schemas.openxmlformats.org/officeDocument/2006/relationships/hyperlink" Target="https://hdl.handle.net/20.500.12692/102458" TargetMode="External"/><Relationship Id="rId256" Type="http://schemas.openxmlformats.org/officeDocument/2006/relationships/hyperlink" Target="https://hdl.handle.net/20.500.12692/110765" TargetMode="External"/><Relationship Id="rId246" Type="http://schemas.openxmlformats.org/officeDocument/2006/relationships/hyperlink" Target="https://hdl.handle.net/20.500.12692/21410" TargetMode="External"/><Relationship Id="rId244" Type="http://schemas.openxmlformats.org/officeDocument/2006/relationships/hyperlink" Target="https://hdl.handle.net/20.500.12692/23107" TargetMode="External"/><Relationship Id="rId268" Type="http://schemas.openxmlformats.org/officeDocument/2006/relationships/hyperlink" Target="https://hdl.handle.net/20.500.12692/25852" TargetMode="External"/><Relationship Id="rId307" Type="http://schemas.openxmlformats.org/officeDocument/2006/relationships/hyperlink" Target="https://hdl.handle.net/20.500.12692/92836" TargetMode="External"/><Relationship Id="rId228" Type="http://schemas.openxmlformats.org/officeDocument/2006/relationships/hyperlink" Target="https://hdl.handle.net/20.500.12759/2055" TargetMode="External"/><Relationship Id="rId249" Type="http://schemas.openxmlformats.org/officeDocument/2006/relationships/hyperlink" Target="https://hdl.handle.net/20.500.12918/9553" TargetMode="External"/><Relationship Id="rId272" Type="http://schemas.openxmlformats.org/officeDocument/2006/relationships/hyperlink" Target="https://iglc.net/Papers/Details/69" TargetMode="External"/><Relationship Id="rId276" Type="http://schemas.openxmlformats.org/officeDocument/2006/relationships/hyperlink" Target="https://ojs-az.lib.uc.cl/index.php/ric/article/view/16739" TargetMode="External"/><Relationship Id="rId330" Type="http://schemas.openxmlformats.org/officeDocument/2006/relationships/hyperlink" Target="https://ojs-az.lib.uc.cl/index.php/ric/article/view/17303" TargetMode="External"/><Relationship Id="rId292" Type="http://schemas.openxmlformats.org/officeDocument/2006/relationships/hyperlink" Target="https://purl.stanford.edu/kh328xt3298" TargetMode="External"/><Relationship Id="rId301" Type="http://schemas.openxmlformats.org/officeDocument/2006/relationships/hyperlink" Target="https://repositorio.umsa.bo/handle/123456789/20744" TargetMode="External"/><Relationship Id="rId242" Type="http://schemas.openxmlformats.org/officeDocument/2006/relationships/hyperlink" Target="https://repositorio.umsa.bo/handle/123456789/21835" TargetMode="External"/><Relationship Id="rId315" Type="http://schemas.openxmlformats.org/officeDocument/2006/relationships/hyperlink" Target="https://repositorio.umsa.bo/handle/123456789/22080" TargetMode="External"/><Relationship Id="rId239" Type="http://schemas.openxmlformats.org/officeDocument/2006/relationships/hyperlink" Target="https://repositorio.umsa.bo/handle/123456789/34372" TargetMode="External"/><Relationship Id="rId319" Type="http://schemas.openxmlformats.org/officeDocument/2006/relationships/hyperlink" Target="https://repositorio.umsa.bo/handle/123456789/41024" TargetMode="External"/><Relationship Id="rId251" Type="http://schemas.openxmlformats.org/officeDocument/2006/relationships/hyperlink" Target="https://repositorio.umsa.bo/handle/123456789/41974" TargetMode="External"/><Relationship Id="rId299" Type="http://schemas.openxmlformats.org/officeDocument/2006/relationships/hyperlink" Target="https://repositorio.umsa.bo/handle/123456789/42372" TargetMode="External"/><Relationship Id="rId230" Type="http://schemas.openxmlformats.org/officeDocument/2006/relationships/hyperlink" Target="https://repositorio.umsa.bo/handle/123456789/7465" TargetMode="External"/><Relationship Id="rId253" Type="http://schemas.openxmlformats.org/officeDocument/2006/relationships/hyperlink" Target="https://www.concretec.com.bo" TargetMode="External"/><Relationship Id="rId284" Type="http://schemas.openxmlformats.org/officeDocument/2006/relationships/hyperlink" Target="https://www.ibnorca.org/tienda/catalogo/detalle-norma/nb-1225001-1:2017-nid=3347-12" TargetMode="External"/><Relationship Id="rId282" Type="http://schemas.openxmlformats.org/officeDocument/2006/relationships/hyperlink" Target="https://www.ibnorca.org/tienda/catalogo/detalle-norma/nb-997:2016-nid=2436-12" TargetMode="External"/><Relationship Id="rId286" Type="http://schemas.openxmlformats.org/officeDocument/2006/relationships/hyperlink" Target="https://www.ibnorca.org/tienda/catalogo/detalle-norma/nb/iso-9001:2026-nid=4204-1" TargetMode="External"/><Relationship Id="rId288" Type="http://schemas.openxmlformats.org/officeDocument/2006/relationships/hyperlink" Target="https://www.ine.gob.bo/index.php/estadisticas-economicas/construccion/costos-de-contruccion/" TargetMode="External"/><Relationship Id="rId313" Type="http://schemas.openxmlformats.org/officeDocument/2006/relationships/hyperlink" Target="https://www.iso.org/standard/88464.html" TargetMode="External"/><Relationship Id="rId311" Type="http://schemas.openxmlformats.org/officeDocument/2006/relationships/hyperlink" Target="https://www.iso.org/standard/88465.html" TargetMode="External"/><Relationship Id="rId225" Type="http://schemas.openxmlformats.org/officeDocument/2006/relationships/hyperlink" Target="https://www.redalyc.org/articulo.oa?id=87012672004" TargetMode="External"/></Relationships>
</file>

<file path=word/_rels/footnotes.xml.rels><?xml version='1.0' encoding='UTF-8' standalone='yes'?>
<Relationships xmlns="http://schemas.openxmlformats.org/package/2006/relationships"><Relationship Id="rId344" Type="http://schemas.openxmlformats.org/officeDocument/2006/relationships/hyperlink" Target="http://ddigital.umss.edu.bo/handle/123456789/49369" TargetMode="External"/><Relationship Id="rId332" Type="http://schemas.openxmlformats.org/officeDocument/2006/relationships/hyperlink" Target="http://hdl.handle.net/11396/3329" TargetMode="External"/><Relationship Id="rId232" Type="http://schemas.openxmlformats.org/officeDocument/2006/relationships/hyperlink" Target="http://hdl.handle.net/20.500.12404/185" TargetMode="External"/><Relationship Id="rId274" Type="http://schemas.openxmlformats.org/officeDocument/2006/relationships/hyperlink" Target="http://hdl.handle.net/20.500.12404/888" TargetMode="External"/><Relationship Id="rId260" Type="http://schemas.openxmlformats.org/officeDocument/2006/relationships/hyperlink" Target="http://www.gacetaoficialdebolivia.gob.bo/normas/verGratis_gob/280603" TargetMode="External"/><Relationship Id="rId264" Type="http://schemas.openxmlformats.org/officeDocument/2006/relationships/hyperlink" Target="http://www.gacetaoficialdebolivia.gob.bo/normas/verGratis_gob/281136" TargetMode="External"/><Relationship Id="rId290" Type="http://schemas.openxmlformats.org/officeDocument/2006/relationships/hyperlink" Target="https://doi.org/10.1007/s11135-022-01574-8" TargetMode="External"/><Relationship Id="rId270" Type="http://schemas.openxmlformats.org/officeDocument/2006/relationships/hyperlink" Target="https://doi.org/10.1061/(ASCE)CO.1943-7862.0001324" TargetMode="External"/><Relationship Id="rId317" Type="http://schemas.openxmlformats.org/officeDocument/2006/relationships/hyperlink" Target="https://doi.org/10.1590/1517-7076-RMAT-2024-0738" TargetMode="External"/><Relationship Id="rId322" Type="http://schemas.openxmlformats.org/officeDocument/2006/relationships/hyperlink" Target="https://doi.org/10.18041/1794-4953/avances.1.298" TargetMode="External"/><Relationship Id="rId278" Type="http://schemas.openxmlformats.org/officeDocument/2006/relationships/hyperlink" Target="https://doi.org/10.19083/tesis/652829" TargetMode="External"/><Relationship Id="rId336" Type="http://schemas.openxmlformats.org/officeDocument/2006/relationships/hyperlink" Target="https://doi.org/10.28991/cej-2020-03091535" TargetMode="External"/><Relationship Id="rId295" Type="http://schemas.openxmlformats.org/officeDocument/2006/relationships/hyperlink" Target="https://doi.org/10.3390/su11133638" TargetMode="External"/><Relationship Id="rId258" Type="http://schemas.openxmlformats.org/officeDocument/2006/relationships/hyperlink" Target="https://doi.org/10.3989/ic.07.004" TargetMode="External"/><Relationship Id="rId328" Type="http://schemas.openxmlformats.org/officeDocument/2006/relationships/hyperlink" Target="https://doi.org/10.4067/S0718-50732007000300006" TargetMode="External"/><Relationship Id="rId297" Type="http://schemas.openxmlformats.org/officeDocument/2006/relationships/hyperlink" Target="https://doi.org/10.4067/S0718-50732016000200004" TargetMode="External"/><Relationship Id="rId324" Type="http://schemas.openxmlformats.org/officeDocument/2006/relationships/hyperlink" Target="https://doi.org/10.5295/cdg.140507cd" TargetMode="External"/><Relationship Id="rId334" Type="http://schemas.openxmlformats.org/officeDocument/2006/relationships/hyperlink" Target="https://hdl.handle.net/20.500.12692/102458" TargetMode="External"/><Relationship Id="rId256" Type="http://schemas.openxmlformats.org/officeDocument/2006/relationships/hyperlink" Target="https://hdl.handle.net/20.500.12692/110765" TargetMode="External"/><Relationship Id="rId246" Type="http://schemas.openxmlformats.org/officeDocument/2006/relationships/hyperlink" Target="https://hdl.handle.net/20.500.12692/21410" TargetMode="External"/><Relationship Id="rId244" Type="http://schemas.openxmlformats.org/officeDocument/2006/relationships/hyperlink" Target="https://hdl.handle.net/20.500.12692/23107" TargetMode="External"/><Relationship Id="rId268" Type="http://schemas.openxmlformats.org/officeDocument/2006/relationships/hyperlink" Target="https://hdl.handle.net/20.500.12692/25852" TargetMode="External"/><Relationship Id="rId307" Type="http://schemas.openxmlformats.org/officeDocument/2006/relationships/hyperlink" Target="https://hdl.handle.net/20.500.12692/92836" TargetMode="External"/><Relationship Id="rId228" Type="http://schemas.openxmlformats.org/officeDocument/2006/relationships/hyperlink" Target="https://hdl.handle.net/20.500.12759/2055" TargetMode="External"/><Relationship Id="rId249" Type="http://schemas.openxmlformats.org/officeDocument/2006/relationships/hyperlink" Target="https://hdl.handle.net/20.500.12918/9553" TargetMode="External"/><Relationship Id="rId272" Type="http://schemas.openxmlformats.org/officeDocument/2006/relationships/hyperlink" Target="https://iglc.net/Papers/Details/69" TargetMode="External"/><Relationship Id="rId276" Type="http://schemas.openxmlformats.org/officeDocument/2006/relationships/hyperlink" Target="https://ojs-az.lib.uc.cl/index.php/ric/article/view/16739" TargetMode="External"/><Relationship Id="rId330" Type="http://schemas.openxmlformats.org/officeDocument/2006/relationships/hyperlink" Target="https://ojs-az.lib.uc.cl/index.php/ric/article/view/17303" TargetMode="External"/><Relationship Id="rId292" Type="http://schemas.openxmlformats.org/officeDocument/2006/relationships/hyperlink" Target="https://purl.stanford.edu/kh328xt3298" TargetMode="External"/><Relationship Id="rId301" Type="http://schemas.openxmlformats.org/officeDocument/2006/relationships/hyperlink" Target="https://repositorio.umsa.bo/handle/123456789/20744" TargetMode="External"/><Relationship Id="rId242" Type="http://schemas.openxmlformats.org/officeDocument/2006/relationships/hyperlink" Target="https://repositorio.umsa.bo/handle/123456789/21835" TargetMode="External"/><Relationship Id="rId315" Type="http://schemas.openxmlformats.org/officeDocument/2006/relationships/hyperlink" Target="https://repositorio.umsa.bo/handle/123456789/22080" TargetMode="External"/><Relationship Id="rId239" Type="http://schemas.openxmlformats.org/officeDocument/2006/relationships/hyperlink" Target="https://repositorio.umsa.bo/handle/123456789/34372" TargetMode="External"/><Relationship Id="rId319" Type="http://schemas.openxmlformats.org/officeDocument/2006/relationships/hyperlink" Target="https://repositorio.umsa.bo/handle/123456789/41024" TargetMode="External"/><Relationship Id="rId251" Type="http://schemas.openxmlformats.org/officeDocument/2006/relationships/hyperlink" Target="https://repositorio.umsa.bo/handle/123456789/41974" TargetMode="External"/><Relationship Id="rId299" Type="http://schemas.openxmlformats.org/officeDocument/2006/relationships/hyperlink" Target="https://repositorio.umsa.bo/handle/123456789/42372" TargetMode="External"/><Relationship Id="rId230" Type="http://schemas.openxmlformats.org/officeDocument/2006/relationships/hyperlink" Target="https://repositorio.umsa.bo/handle/123456789/7465" TargetMode="External"/><Relationship Id="rId253" Type="http://schemas.openxmlformats.org/officeDocument/2006/relationships/hyperlink" Target="https://www.concretec.com.bo" TargetMode="External"/><Relationship Id="rId284" Type="http://schemas.openxmlformats.org/officeDocument/2006/relationships/hyperlink" Target="https://www.ibnorca.org/tienda/catalogo/detalle-norma/nb-1225001-1:2017-nid=3347-12" TargetMode="External"/><Relationship Id="rId282" Type="http://schemas.openxmlformats.org/officeDocument/2006/relationships/hyperlink" Target="https://www.ibnorca.org/tienda/catalogo/detalle-norma/nb-997:2016-nid=2436-12" TargetMode="External"/><Relationship Id="rId286" Type="http://schemas.openxmlformats.org/officeDocument/2006/relationships/hyperlink" Target="https://www.ibnorca.org/tienda/catalogo/detalle-norma/nb/iso-9001:2026-nid=4204-1" TargetMode="External"/><Relationship Id="rId288" Type="http://schemas.openxmlformats.org/officeDocument/2006/relationships/hyperlink" Target="https://www.ine.gob.bo/index.php/estadisticas-economicas/construccion/costos-de-contruccion/" TargetMode="External"/><Relationship Id="rId313" Type="http://schemas.openxmlformats.org/officeDocument/2006/relationships/hyperlink" Target="https://www.iso.org/standard/88464.html" TargetMode="External"/><Relationship Id="rId311" Type="http://schemas.openxmlformats.org/officeDocument/2006/relationships/hyperlink" Target="https://www.iso.org/standard/88465.html" TargetMode="External"/><Relationship Id="rId225" Type="http://schemas.openxmlformats.org/officeDocument/2006/relationships/hyperlink" Target="https://www.redalyc.org/articulo.oa?id=870126720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DE UN SISTEMA DE GESTIÓN DE LA CALIDAD BASADO EN LA NORMA ISO 9001 PARA REDUCIR COSTOS MEDIANTE EL CONTROL DE MATERIALES EN LOSAS ALIVIANADAS CON VIGUETAS PRETENSADAS DEL EDIFICIO DE POSGRADO DE LA UNIVERSIDAD AUTÓNOMA TOMÁS FRÍAS, POTOSÍ</dc:title>
  <dc:creator>\rule{8cm}{0.4pt}</dc:creator>
  <dc:language>es-BO</dc:language>
  <cp:keywords>gestión de la calidad; ISO 9001; control de materiales; losa alivianada</cp:keywords>
  <dcterms:created xsi:type="dcterms:W3CDTF">2026-10-30T10:54:54Z</dcterms:created>
  <dcterms:modified xsi:type="dcterms:W3CDTF">2026-10-30T10:54:54Z</dcterms:modified>
  <dc:subject>Tesis de grado - Ingeniería Civil - UATF</dc:subject>
  <dc:description>Generado con 07_Entregables/scripts/tesis_a_docx.py a partir de la fuente LaTeX.</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reviaturas-autores">
    <vt:lpwstr/>
  </property>
  <property fmtid="{D5CDD505-2E9C-101B-9397-08002B2CF9AE}" pid="3" name="bibliography">
    <vt:lpwstr>/home/user/TesisSGC/07_Entregables/scripts/_trabajo_sencilla/bibliografia.bib</vt:lpwstr>
  </property>
  <property fmtid="{D5CDD505-2E9C-101B-9397-08002B2CF9AE}" pid="4" name="csl">
    <vt:lpwstr>/home/user/TesisSGC/07_Entregables/scripts/_trabajo_sencilla/apa_es.csl</vt:lpwstr>
  </property>
  <property fmtid="{D5CDD505-2E9C-101B-9397-08002B2CF9AE}" pid="5" name="link-citations">
    <vt:lpwstr>False</vt:lpwstr>
  </property>
  <property fmtid="{D5CDD505-2E9C-101B-9397-08002B2CF9AE}" pid="6" name="suppress-bibliography">
    <vt:lpwstr>False</vt:lpwstr>
  </property>
</Properties>
</file>