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2776C" w14:textId="77777777" w:rsidR="009528A8" w:rsidRPr="009528A8" w:rsidRDefault="009528A8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29802406" w14:textId="5E62DCEE" w:rsidR="00F26972" w:rsidRPr="009528A8" w:rsidRDefault="00EC1107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>SIR: El modelo matemático y su implementación con R al caso de la propagación del Covid19 en Chile</w:t>
      </w:r>
    </w:p>
    <w:p w14:paraId="5388127D" w14:textId="263A2612" w:rsidR="00EC1107" w:rsidRPr="009528A8" w:rsidRDefault="00EC1107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0885ED6D" w14:textId="72B52ABA" w:rsidR="00EC1107" w:rsidRPr="009528A8" w:rsidRDefault="00EC1107" w:rsidP="00EC110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El modelo SIR tiene por objetivo predecir si una epidemia tenderá a expandirse o, por el contrario, a disminuir en el transcurso del tiempo. Para ello establece tres funciones dependientes del tiempo que representan:</w:t>
      </w:r>
    </w:p>
    <w:p w14:paraId="14F22107" w14:textId="50AF6AC5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S(t)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: La variación del número de personas susceptibles de contraer la enfermedad en el transcurso del tiempo.</w:t>
      </w:r>
    </w:p>
    <w:p w14:paraId="27E9C663" w14:textId="749FE2AD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I(t)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: La variación de la cantidad de infectados en el transcurso del tiempo.</w:t>
      </w:r>
    </w:p>
    <w:p w14:paraId="4E6C8A52" w14:textId="34C80241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R(t)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: La variación de la cantidad de recuperados en el transcurso del tiempo.</w:t>
      </w:r>
    </w:p>
    <w:p w14:paraId="663215F2" w14:textId="77777777" w:rsidR="00EC1107" w:rsidRPr="009528A8" w:rsidRDefault="00EC1107" w:rsidP="00EC110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</w:p>
    <w:p w14:paraId="35035B22" w14:textId="780B57BE" w:rsidR="00EC1107" w:rsidRPr="009528A8" w:rsidRDefault="00EC1107" w:rsidP="00EC110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Y tres parámetros que representan:</w:t>
      </w:r>
    </w:p>
    <w:p w14:paraId="5CCBFE0B" w14:textId="2A80E3EB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β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: El número medio de contactos por unidad de tiempo.</w:t>
      </w:r>
    </w:p>
    <w:p w14:paraId="18DDCBE8" w14:textId="2DB483A4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γ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: El número de recuperados por unidad de tiempo dividido por el total de infectados.</w:t>
      </w:r>
    </w:p>
    <w:p w14:paraId="0FE449F1" w14:textId="012AF92F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N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: La población total.</w:t>
      </w:r>
    </w:p>
    <w:p w14:paraId="43F5610B" w14:textId="77777777" w:rsidR="00EC1107" w:rsidRPr="009528A8" w:rsidRDefault="00EC1107" w:rsidP="00EC110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</w:p>
    <w:p w14:paraId="3798A934" w14:textId="4870F849" w:rsidR="00EC1107" w:rsidRPr="009528A8" w:rsidRDefault="00EC1107" w:rsidP="00EC110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El modelo supone que los susceptibles se infectan a cierta tasa y se recuperan a otra (tasas de transición). Así:</w:t>
      </w:r>
    </w:p>
    <w:p w14:paraId="76A0114B" w14:textId="77777777" w:rsidR="00EC1107" w:rsidRPr="009528A8" w:rsidRDefault="00EC1107" w:rsidP="00EC1107">
      <w:pPr>
        <w:spacing w:line="240" w:lineRule="auto"/>
        <w:jc w:val="center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S(t)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TDT1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I(t)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TDT2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R(t)(1)(</w:t>
      </w:r>
      <w:proofErr w:type="gramStart"/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1)S</w:t>
      </w:r>
      <w:proofErr w:type="gramEnd"/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(t)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TDT1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I(t)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TDT2</w:t>
      </w:r>
      <w:r w:rsidRPr="009528A8">
        <w:rPr>
          <w:rFonts w:ascii="Cambria Math" w:eastAsia="Times New Roman" w:hAnsi="Cambria Math" w:cs="Cambria Math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⇒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R(t)</w:t>
      </w:r>
    </w:p>
    <w:p w14:paraId="75C46F8A" w14:textId="4D9391EB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>La tasa de transición 1 (TDT1) se define como: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 xml:space="preserve"> βI(t)N</w:t>
      </w:r>
    </w:p>
    <w:p w14:paraId="0BF806BC" w14:textId="3151B55F" w:rsidR="00EC1107" w:rsidRPr="009528A8" w:rsidRDefault="00EC1107" w:rsidP="00EC110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</w:pP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lang w:eastAsia="es-ES"/>
        </w:rPr>
        <w:t xml:space="preserve">La tasa de transición 2 (TDT2) se define como: 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>γ</w:t>
      </w:r>
    </w:p>
    <w:p w14:paraId="1FD35729" w14:textId="2B350D3E" w:rsidR="00EC1107" w:rsidRPr="009528A8" w:rsidRDefault="00EC1107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4ABA73BC" w14:textId="2337C113" w:rsidR="00F46CD8" w:rsidRPr="009528A8" w:rsidRDefault="00F46CD8" w:rsidP="00F46CD8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>En este contexto, la expresión β/</w:t>
      </w:r>
      <w:r w:rsidRPr="009528A8">
        <w:rPr>
          <w:rFonts w:ascii="Century Gothic" w:eastAsia="Times New Roman" w:hAnsi="Century Gothic" w:cs="Times New Roman"/>
          <w:color w:val="3B3838" w:themeColor="background2" w:themeShade="40"/>
          <w:sz w:val="20"/>
          <w:szCs w:val="20"/>
          <w:bdr w:val="none" w:sz="0" w:space="0" w:color="auto" w:frame="1"/>
          <w:lang w:eastAsia="es-ES"/>
        </w:rPr>
        <w:t xml:space="preserve"> γ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se denomina </w:t>
      </w:r>
      <w:r w:rsidRPr="009528A8">
        <w:rPr>
          <w:rFonts w:ascii="Century Gothic" w:hAnsi="Century Gothic"/>
          <w:b/>
          <w:bCs/>
          <w:color w:val="3B3838" w:themeColor="background2" w:themeShade="40"/>
          <w:sz w:val="20"/>
          <w:szCs w:val="20"/>
        </w:rPr>
        <w:t>Número Básico de Reproducción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y se conoce como </w:t>
      </w:r>
      <w:r w:rsidRPr="009528A8">
        <w:rPr>
          <w:rFonts w:ascii="Century Gothic" w:hAnsi="Century Gothic"/>
          <w:b/>
          <w:bCs/>
          <w:color w:val="3B3838" w:themeColor="background2" w:themeShade="40"/>
          <w:sz w:val="20"/>
          <w:szCs w:val="20"/>
        </w:rPr>
        <w:t>“R0”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>. Utilizando esta nomenclatura, la tasa de propagación de la infección queda definida entonces por la expresión:</w:t>
      </w:r>
    </w:p>
    <w:p w14:paraId="14D418EB" w14:textId="6C906A32" w:rsidR="00F46CD8" w:rsidRPr="009528A8" w:rsidRDefault="00F46CD8" w:rsidP="00EC1107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9528A8">
        <w:rPr>
          <w:rFonts w:ascii="Century Gothic" w:hAnsi="Century Gothic"/>
          <w:noProof/>
          <w:color w:val="3B3838" w:themeColor="background2" w:themeShade="40"/>
          <w:sz w:val="20"/>
          <w:szCs w:val="20"/>
          <w:lang w:val="en-US"/>
        </w:rPr>
        <w:drawing>
          <wp:inline distT="0" distB="0" distL="0" distR="0" wp14:anchorId="6BA9D738" wp14:editId="27F6D38C">
            <wp:extent cx="1225550" cy="55217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978" cy="5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DE1D" w14:textId="127DAA8E" w:rsidR="00EC1107" w:rsidRPr="009528A8" w:rsidRDefault="00F46CD8" w:rsidP="00F46CD8">
      <w:pPr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Si, </w:t>
      </w:r>
      <w:r w:rsidRPr="009528A8">
        <w:rPr>
          <w:rFonts w:ascii="Century Gothic" w:hAnsi="Century Gothic"/>
          <w:noProof/>
          <w:color w:val="3B3838" w:themeColor="background2" w:themeShade="40"/>
          <w:sz w:val="20"/>
          <w:szCs w:val="20"/>
        </w:rPr>
        <w:t xml:space="preserve"> </w:t>
      </w:r>
      <w:r w:rsidRPr="009528A8">
        <w:rPr>
          <w:rFonts w:ascii="Century Gothic" w:hAnsi="Century Gothic"/>
          <w:noProof/>
          <w:color w:val="3B3838" w:themeColor="background2" w:themeShade="40"/>
          <w:sz w:val="20"/>
          <w:szCs w:val="20"/>
          <w:lang w:val="en-US"/>
        </w:rPr>
        <w:drawing>
          <wp:inline distT="0" distB="0" distL="0" distR="0" wp14:anchorId="02A6A007" wp14:editId="793A90B7">
            <wp:extent cx="973667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903" cy="4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 xml:space="preserve"> la tasa de propagación de la enfermedad crecerá. Por el contrario, si </w:t>
      </w:r>
      <w:r w:rsidRPr="009528A8">
        <w:rPr>
          <w:rFonts w:ascii="Century Gothic" w:hAnsi="Century Gothic"/>
          <w:noProof/>
          <w:color w:val="3B3838" w:themeColor="background2" w:themeShade="40"/>
          <w:sz w:val="20"/>
          <w:szCs w:val="20"/>
          <w:lang w:val="en-US"/>
        </w:rPr>
        <w:drawing>
          <wp:inline distT="0" distB="0" distL="0" distR="0" wp14:anchorId="7C9C28DD" wp14:editId="1970ABDB">
            <wp:extent cx="821267" cy="3705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401" cy="3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decrecerá.</w:t>
      </w:r>
    </w:p>
    <w:p w14:paraId="0D7E6728" w14:textId="70BBB70E" w:rsidR="00F46CD8" w:rsidRPr="009528A8" w:rsidRDefault="00F46CD8" w:rsidP="00F46CD8">
      <w:pPr>
        <w:pStyle w:val="NormalWeb"/>
        <w:spacing w:before="0" w:beforeAutospacing="0" w:after="150" w:afterAutospacing="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En la práctica, la estimación de </w:t>
      </w:r>
      <w:r w:rsidRPr="009528A8">
        <w:rPr>
          <w:rStyle w:val="mi"/>
          <w:rFonts w:ascii="Century Gothic" w:hAnsi="Century Gothic"/>
          <w:color w:val="3B3838" w:themeColor="background2" w:themeShade="40"/>
          <w:sz w:val="20"/>
          <w:szCs w:val="20"/>
          <w:bdr w:val="none" w:sz="0" w:space="0" w:color="auto" w:frame="1"/>
          <w:shd w:val="clear" w:color="auto" w:fill="FFFFFF"/>
        </w:rPr>
        <w:t>R</w:t>
      </w:r>
      <w:r w:rsidRPr="009528A8">
        <w:rPr>
          <w:rStyle w:val="mn"/>
          <w:rFonts w:ascii="Century Gothic" w:hAnsi="Century Gothic"/>
          <w:color w:val="3B3838" w:themeColor="background2" w:themeShade="40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 xml:space="preserve"> se obtiene 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>transformando la expresión</w:t>
      </w:r>
      <w:r w:rsidR="00F702F1"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en 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una función lineal sobre la cual </w:t>
      </w:r>
      <w:r w:rsidR="00F702F1"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>es posible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aplicar una regresión. El número básico de reproducción (</w:t>
      </w:r>
      <w:r w:rsidR="00F702F1"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>con signo inverso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) </w:t>
      </w:r>
      <w:r w:rsidR="00F702F1"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>será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la pendiente de la recta de regresión.</w:t>
      </w:r>
    </w:p>
    <w:p w14:paraId="6C6A93D6" w14:textId="2293E2D1" w:rsidR="00F702F1" w:rsidRPr="009528A8" w:rsidRDefault="00F702F1" w:rsidP="00F46CD8">
      <w:pPr>
        <w:pStyle w:val="NormalWeb"/>
        <w:spacing w:before="0" w:beforeAutospacing="0" w:after="150" w:afterAutospacing="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9528A8">
        <w:rPr>
          <w:rFonts w:ascii="Century Gothic" w:hAnsi="Century Gothic"/>
          <w:noProof/>
          <w:color w:val="3B3838" w:themeColor="background2" w:themeShade="40"/>
          <w:sz w:val="20"/>
          <w:szCs w:val="20"/>
          <w:lang w:val="en-US" w:eastAsia="en-US"/>
        </w:rPr>
        <w:drawing>
          <wp:inline distT="0" distB="0" distL="0" distR="0" wp14:anchorId="1E7134E9" wp14:editId="6E2DA17E">
            <wp:extent cx="2091267" cy="321733"/>
            <wp:effectExtent l="0" t="0" r="444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073" cy="3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DB7" w14:textId="74BD437A" w:rsidR="00F46CD8" w:rsidRPr="009528A8" w:rsidRDefault="00F46CD8" w:rsidP="00F46CD8">
      <w:pPr>
        <w:pStyle w:val="NormalWeb"/>
        <w:spacing w:before="0" w:beforeAutospacing="0" w:after="0" w:afterAutospacing="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  <w:highlight w:val="yellow"/>
        </w:rPr>
        <w:t>El paso final es comparar los valores de </w:t>
      </w:r>
      <w:r w:rsidRPr="009528A8">
        <w:rPr>
          <w:rStyle w:val="mi"/>
          <w:rFonts w:ascii="Century Gothic" w:hAnsi="Century Gothic"/>
          <w:b/>
          <w:bCs/>
          <w:i/>
          <w:iCs/>
          <w:color w:val="3B3838" w:themeColor="background2" w:themeShade="40"/>
          <w:sz w:val="20"/>
          <w:szCs w:val="20"/>
          <w:highlight w:val="yellow"/>
          <w:bdr w:val="none" w:sz="0" w:space="0" w:color="auto" w:frame="1"/>
        </w:rPr>
        <w:t>R</w:t>
      </w:r>
      <w:r w:rsidRPr="009528A8">
        <w:rPr>
          <w:rStyle w:val="mn"/>
          <w:rFonts w:ascii="Century Gothic" w:hAnsi="Century Gothic"/>
          <w:b/>
          <w:bCs/>
          <w:i/>
          <w:iCs/>
          <w:color w:val="3B3838" w:themeColor="background2" w:themeShade="40"/>
          <w:sz w:val="20"/>
          <w:szCs w:val="20"/>
          <w:highlight w:val="yellow"/>
          <w:bdr w:val="none" w:sz="0" w:space="0" w:color="auto" w:frame="1"/>
        </w:rPr>
        <w:t>0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highlight w:val="yellow"/>
        </w:rPr>
        <w:t> con </w:t>
      </w:r>
      <w:r w:rsidR="00F702F1" w:rsidRPr="009528A8">
        <w:rPr>
          <w:rFonts w:ascii="Century Gothic" w:hAnsi="Century Gothic"/>
          <w:noProof/>
          <w:color w:val="3B3838" w:themeColor="background2" w:themeShade="40"/>
          <w:sz w:val="20"/>
          <w:szCs w:val="20"/>
          <w:highlight w:val="yellow"/>
          <w:lang w:val="en-US" w:eastAsia="en-US"/>
        </w:rPr>
        <w:drawing>
          <wp:inline distT="0" distB="0" distL="0" distR="0" wp14:anchorId="30C59A64" wp14:editId="3CC53634">
            <wp:extent cx="406248" cy="43050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77" cy="4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highlight w:val="yellow"/>
        </w:rPr>
        <w:t>, donde </w:t>
      </w:r>
      <w:r w:rsidRPr="009528A8">
        <w:rPr>
          <w:rStyle w:val="mi"/>
          <w:rFonts w:ascii="Century Gothic" w:hAnsi="Century Gothic"/>
          <w:b/>
          <w:bCs/>
          <w:i/>
          <w:iCs/>
          <w:color w:val="3B3838" w:themeColor="background2" w:themeShade="40"/>
          <w:sz w:val="20"/>
          <w:szCs w:val="20"/>
          <w:highlight w:val="yellow"/>
          <w:bdr w:val="none" w:sz="0" w:space="0" w:color="auto" w:frame="1"/>
        </w:rPr>
        <w:t>t</w:t>
      </w:r>
      <w:r w:rsidRPr="009528A8">
        <w:rPr>
          <w:rFonts w:ascii="Century Gothic" w:hAnsi="Century Gothic"/>
          <w:b/>
          <w:bCs/>
          <w:i/>
          <w:iCs/>
          <w:color w:val="3B3838" w:themeColor="background2" w:themeShade="40"/>
          <w:sz w:val="20"/>
          <w:szCs w:val="20"/>
          <w:highlight w:val="yellow"/>
        </w:rPr>
        <w:t> 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highlight w:val="yellow"/>
        </w:rPr>
        <w:t>es el momento final.</w:t>
      </w:r>
    </w:p>
    <w:p w14:paraId="1BD29051" w14:textId="77F7239A" w:rsidR="00F702F1" w:rsidRPr="009528A8" w:rsidRDefault="00F702F1" w:rsidP="00F46CD8">
      <w:pPr>
        <w:pStyle w:val="NormalWeb"/>
        <w:spacing w:before="0" w:beforeAutospacing="0" w:after="0" w:afterAutospacing="0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37FAE4DF" w14:textId="135D3254" w:rsidR="00F702F1" w:rsidRPr="009528A8" w:rsidRDefault="00F702F1" w:rsidP="00F702F1">
      <w:pPr>
        <w:jc w:val="both"/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lastRenderedPageBreak/>
        <w:t xml:space="preserve">En términos más generales </w:t>
      </w:r>
      <w:r w:rsidR="00F26972"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>e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l número básico de reproducción </w:t>
      </w:r>
      <m:oMath>
        <m:sSub>
          <m:sSubP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  <w:lang w:val="es-CL"/>
              </w:rPr>
            </m:ctrlPr>
          </m:sSubPr>
          <m:e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(R</m:t>
            </m:r>
          </m:e>
          <m:sub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0</m:t>
            </m:r>
          </m:sub>
        </m:sSub>
        <m:r>
          <w:rPr>
            <w:rFonts w:ascii="Cambria Math" w:hAnsi="Cambria Math"/>
            <w:color w:val="3B3838" w:themeColor="background2" w:themeShade="40"/>
            <w:sz w:val="20"/>
            <w:szCs w:val="20"/>
            <w:lang w:val="es-CL"/>
          </w:rPr>
          <m:t>)</m:t>
        </m:r>
      </m:oMath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>, se puede definir como la cantidad de contagios que una persona provoca en cierto intervalo de tiempo y sirve, por lo tanto, para determinar cuán transmisible una enfermedad infecciosa es.</w:t>
      </w:r>
    </w:p>
    <w:p w14:paraId="68223A07" w14:textId="59FF77E8" w:rsidR="00F702F1" w:rsidRPr="009528A8" w:rsidRDefault="00F702F1" w:rsidP="00F702F1">
      <w:pPr>
        <w:jc w:val="both"/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Una vez determinado al </w:t>
      </w:r>
      <m:oMath>
        <m:sSub>
          <m:sSubP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  <w:lang w:val="es-CL"/>
              </w:rPr>
            </m:ctrlPr>
          </m:e>
          <m:sub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0</m:t>
            </m:r>
          </m:sub>
        </m:sSub>
      </m:oMath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</w:rPr>
        <w:t xml:space="preserve"> para una situación específica, será necesario evaluar en cuál de las siguientes posibilidades se encuentra este valor</w:t>
      </w:r>
      <w:r w:rsidR="007002A5"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</w:rPr>
        <w:t xml:space="preserve"> </w:t>
      </w:r>
      <w:r w:rsidR="00F26972"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</w:rPr>
        <w:t>al objeto de</w:t>
      </w:r>
      <w:r w:rsidR="007002A5"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</w:rPr>
        <w:t xml:space="preserve"> concluir respecto al estado de la enfermedad</w:t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</w:rPr>
        <w:t>, a saber:</w:t>
      </w:r>
    </w:p>
    <w:p w14:paraId="4491E417" w14:textId="77777777" w:rsidR="00F702F1" w:rsidRPr="009528A8" w:rsidRDefault="00F702F1" w:rsidP="00F702F1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  <w:lang w:val="es-CL"/>
              </w:rPr>
            </m:ctrlPr>
          </m:e>
          <m:sub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0</m:t>
            </m:r>
          </m:sub>
        </m:sSub>
      </m:oMath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 es menor que 1, cada individuo infectado causará menos de una infección nueva. Así, la enfermedad tenderá a disminuir y finalmente desaparecerá.</w:t>
      </w:r>
    </w:p>
    <w:p w14:paraId="2BE82A16" w14:textId="747C64FD" w:rsidR="00F702F1" w:rsidRPr="009528A8" w:rsidRDefault="00F702F1" w:rsidP="00F702F1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  <w:lang w:val="es-CL"/>
              </w:rPr>
            </m:ctrlPr>
          </m:e>
          <m:sub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0</m:t>
            </m:r>
          </m:sub>
        </m:sSub>
      </m:oMath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 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es igual a 1, cada infección existente causará exactamente otra nueva. La enfermedad se mantendrá </w:t>
      </w:r>
      <w:r w:rsidRPr="009528A8">
        <w:rPr>
          <w:rFonts w:ascii="Century Gothic" w:hAnsi="Century Gothic"/>
          <w:b/>
          <w:color w:val="3B3838" w:themeColor="background2" w:themeShade="40"/>
          <w:sz w:val="20"/>
          <w:szCs w:val="20"/>
          <w:lang w:val="es-CL"/>
        </w:rPr>
        <w:t>viva y estable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, pero no habrá evidencia de un inminente nuevo brote o </w:t>
      </w:r>
      <w:r w:rsidR="007002A5"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se verificará 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>una menor incidencia de ella.</w:t>
      </w:r>
    </w:p>
    <w:p w14:paraId="04A35EC5" w14:textId="07077C42" w:rsidR="00F702F1" w:rsidRPr="009528A8" w:rsidRDefault="00F702F1" w:rsidP="00F702F1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3B3838" w:themeColor="background2" w:themeShade="40"/>
                <w:sz w:val="20"/>
                <w:szCs w:val="20"/>
                <w:lang w:val="es-CL"/>
              </w:rPr>
            </m:ctrlPr>
          </m:e>
          <m:sub>
            <m:r>
              <w:rPr>
                <w:rFonts w:ascii="Cambria Math" w:hAnsi="Cambria Math"/>
                <w:color w:val="3B3838" w:themeColor="background2" w:themeShade="40"/>
                <w:sz w:val="20"/>
                <w:szCs w:val="20"/>
                <w:lang w:val="es-CL"/>
              </w:rPr>
              <m:t>0</m:t>
            </m:r>
          </m:sub>
        </m:sSub>
      </m:oMath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 es mayor a 1, cada infección existente causará más de una nueva. La enfermedad se transmitirá </w:t>
      </w:r>
      <w:r w:rsidR="007002A5"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más profusamente y podría alcanzar el nivel de epidemia</w:t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.</w:t>
      </w:r>
    </w:p>
    <w:p w14:paraId="4151A881" w14:textId="3A3CC88B" w:rsidR="007002A5" w:rsidRPr="009528A8" w:rsidRDefault="007002A5" w:rsidP="007002A5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Conocida la base matemática y su definición práctica, a continuación, se muestran algunos resultados de la aplicación del modelo SIR a las distintas comunas de Chile desde el primer caso confirmado de COVID-19, a partir de lo que es posible evaluar cómo ha sido la variación del Número Básico de Reproducción (R0) en ellas</w:t>
      </w:r>
      <w:r w:rsidR="00BC2C9D"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 a lo largo del periodo en que se ha extendido la pandemia.</w:t>
      </w:r>
    </w:p>
    <w:p w14:paraId="5F1DC347" w14:textId="2EF6FFB8" w:rsidR="00F702F1" w:rsidRPr="009528A8" w:rsidRDefault="00220123" w:rsidP="004F16D3">
      <w:pPr>
        <w:pStyle w:val="NormalWeb"/>
        <w:spacing w:before="0" w:beforeAutospacing="0" w:after="0" w:afterAutospacing="0"/>
        <w:jc w:val="center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9528A8">
        <w:rPr>
          <w:rFonts w:ascii="Century Gothic" w:hAnsi="Century Gothic"/>
          <w:noProof/>
          <w:color w:val="3B3838" w:themeColor="background2" w:themeShade="40"/>
          <w:sz w:val="20"/>
          <w:szCs w:val="20"/>
          <w:lang w:val="en-US" w:eastAsia="en-US"/>
        </w:rPr>
        <w:drawing>
          <wp:inline distT="0" distB="0" distL="0" distR="0" wp14:anchorId="2CBF920B" wp14:editId="157D500E">
            <wp:extent cx="4881393" cy="4775200"/>
            <wp:effectExtent l="0" t="0" r="0" b="635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9F7B6F05-BC9C-4F66-8B09-29EF2C171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9F7B6F05-BC9C-4F66-8B09-29EF2C171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214" cy="48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3EA" w14:textId="311990F1" w:rsidR="004F16D3" w:rsidRPr="009528A8" w:rsidRDefault="004F16D3" w:rsidP="004F16D3">
      <w:pPr>
        <w:pStyle w:val="Descripcin"/>
        <w:jc w:val="center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hAnsi="Century Gothic"/>
          <w:color w:val="3B3838" w:themeColor="background2" w:themeShade="40"/>
          <w:sz w:val="20"/>
          <w:szCs w:val="20"/>
          <w:lang w:val="es-CL"/>
        </w:rPr>
        <w:t xml:space="preserve">Figura 1: Número Básico de Reproducción </w:t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para las 10 comunas con </w:t>
      </w:r>
      <w:r w:rsidR="000E5811"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mayores R</w:t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0 </w:t>
      </w:r>
      <w:r w:rsidR="000E5811"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en 6 momentos de la evolución de la pandemia: 15, 30, 45, 60, 75 y días corridos desde el primer caso</w:t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.</w:t>
      </w:r>
    </w:p>
    <w:p w14:paraId="54BD1095" w14:textId="203DFEA6" w:rsidR="00220123" w:rsidRPr="009528A8" w:rsidRDefault="00220123" w:rsidP="00F46CD8">
      <w:pPr>
        <w:pStyle w:val="NormalWeb"/>
        <w:spacing w:before="0" w:beforeAutospacing="0" w:after="0" w:afterAutospacing="0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055EE9AB" w14:textId="77777777" w:rsidR="004F16D3" w:rsidRPr="009528A8" w:rsidRDefault="004F16D3" w:rsidP="00F46CD8">
      <w:pPr>
        <w:pStyle w:val="NormalWeb"/>
        <w:spacing w:before="0" w:beforeAutospacing="0" w:after="0" w:afterAutospacing="0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1922B96B" w14:textId="7431FCB1" w:rsidR="00F46CD8" w:rsidRPr="009528A8" w:rsidRDefault="00BC2C9D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Se ha establecido que la transmisibilidad del Covid-19 corresponde a un </w:t>
      </w:r>
      <m:oMath>
        <m:sSub>
          <m:sSubPr>
            <m:ctrlPr>
              <w:rPr>
                <w:rFonts w:ascii="Cambria Math" w:eastAsiaTheme="minorEastAsia" w:hAnsi="Cambria Math"/>
                <w:color w:val="3B3838" w:themeColor="background2" w:themeShade="40"/>
                <w:sz w:val="20"/>
                <w:szCs w:val="20"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color w:val="3B3838" w:themeColor="background2" w:themeShade="40"/>
                <w:sz w:val="20"/>
                <w:szCs w:val="20"/>
                <w:lang w:val="es-C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3B3838" w:themeColor="background2" w:themeShade="40"/>
                <w:sz w:val="20"/>
                <w:szCs w:val="20"/>
                <w:lang w:val="es-CL"/>
              </w:rPr>
              <m:t>0</m:t>
            </m:r>
          </m:sub>
        </m:sSub>
      </m:oMath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 de 5.7</w:t>
      </w:r>
      <w:r w:rsidRPr="009528A8">
        <w:rPr>
          <w:rFonts w:ascii="Century Gothic" w:hAnsi="Century Gothic"/>
          <w:color w:val="3B3838" w:themeColor="background2" w:themeShade="40"/>
          <w:sz w:val="20"/>
          <w:szCs w:val="20"/>
        </w:rPr>
        <w:footnoteReference w:id="1"/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 (</w:t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highlight w:val="yellow"/>
          <w:lang w:val="es-CL"/>
        </w:rPr>
        <w:t>citar documento que respalde eso</w:t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 xml:space="preserve">). Observamos que las alzas bruscas en algún momento del inicio de la pandemia es un fenómeno común y </w:t>
      </w:r>
      <w:commentRangeStart w:id="0"/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highlight w:val="cyan"/>
          <w:lang w:val="es-CL"/>
        </w:rPr>
        <w:t>creemos se debe a la forma en la que fueron contabilizados los casos en ese momento</w:t>
      </w:r>
      <w:commentRangeEnd w:id="0"/>
      <w:r w:rsidRPr="009528A8">
        <w:rPr>
          <w:rStyle w:val="Refdecomentario"/>
          <w:rFonts w:ascii="Century Gothic" w:hAnsi="Century Gothic"/>
          <w:color w:val="3B3838" w:themeColor="background2" w:themeShade="40"/>
          <w:sz w:val="20"/>
          <w:szCs w:val="20"/>
        </w:rPr>
        <w:commentReference w:id="0"/>
      </w:r>
      <w:r w:rsidRPr="009528A8"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, más que al grado efectivo de transmisibilidad del virus.</w:t>
      </w:r>
    </w:p>
    <w:p w14:paraId="3CB806F7" w14:textId="55AAE49B" w:rsidR="00220123" w:rsidRPr="009528A8" w:rsidRDefault="0016439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  <w:t>xxx</w:t>
      </w:r>
    </w:p>
    <w:p w14:paraId="515A3E11" w14:textId="638BC6E9" w:rsidR="00DC3076" w:rsidRPr="009528A8" w:rsidRDefault="0016439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16439F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drawing>
          <wp:inline distT="0" distB="0" distL="0" distR="0" wp14:anchorId="53992792" wp14:editId="508672D3">
            <wp:extent cx="5400040" cy="4500033"/>
            <wp:effectExtent l="0" t="0" r="0" b="0"/>
            <wp:docPr id="2" name="Imagen 2" descr="C:\Users\usuario\Documents\GitHub_Personal\Algoritmos_R_y_PowerBI\Graficos_con_R\R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itHub_Personal\Algoritmos_R_y_PowerBI\Graficos_con_R\R0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C8E6" w14:textId="5EEB83C2" w:rsidR="00DC3076" w:rsidRPr="009528A8" w:rsidRDefault="00DC3076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</w:p>
    <w:p w14:paraId="759BD35B" w14:textId="35C161B1" w:rsidR="008A35AA" w:rsidRPr="009528A8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D6430F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lastRenderedPageBreak/>
        <w:drawing>
          <wp:inline distT="0" distB="0" distL="0" distR="0" wp14:anchorId="23A4B097" wp14:editId="0B9F53B1">
            <wp:extent cx="5400040" cy="4500033"/>
            <wp:effectExtent l="0" t="0" r="0" b="0"/>
            <wp:docPr id="7" name="Imagen 7" descr="C:\Users\usuario\Documents\GitHub_Personal\Algoritmos_R_y_PowerBI\Graficos_con_R\R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GitHub_Personal\Algoritmos_R_y_PowerBI\Graficos_con_R\R0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3ECA" w14:textId="5DBF0536" w:rsidR="008A35AA" w:rsidRPr="009528A8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D6430F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lastRenderedPageBreak/>
        <w:drawing>
          <wp:inline distT="0" distB="0" distL="0" distR="0" wp14:anchorId="4550C857" wp14:editId="32839E14">
            <wp:extent cx="5400040" cy="4500033"/>
            <wp:effectExtent l="0" t="0" r="0" b="0"/>
            <wp:docPr id="8" name="Imagen 8" descr="C:\Users\usuario\Documents\GitHub_Personal\Algoritmos_R_y_PowerBI\Graficos_con_R\R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GitHub_Personal\Algoritmos_R_y_PowerBI\Graficos_con_R\R0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8AA3" w14:textId="33602B1B" w:rsidR="00DC3076" w:rsidRPr="009528A8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D6430F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lastRenderedPageBreak/>
        <w:drawing>
          <wp:inline distT="0" distB="0" distL="0" distR="0" wp14:anchorId="688E803B" wp14:editId="63635501">
            <wp:extent cx="5400040" cy="4500033"/>
            <wp:effectExtent l="0" t="0" r="0" b="0"/>
            <wp:docPr id="9" name="Imagen 9" descr="C:\Users\usuario\Documents\GitHub_Personal\Algoritmos_R_y_PowerBI\Graficos_con_R\R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GitHub_Personal\Algoritmos_R_y_PowerBI\Graficos_con_R\R0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2781" w14:textId="575C17A7" w:rsidR="00DC3076" w:rsidRPr="009528A8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D6430F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lastRenderedPageBreak/>
        <w:drawing>
          <wp:inline distT="0" distB="0" distL="0" distR="0" wp14:anchorId="0B30D404" wp14:editId="6B36172F">
            <wp:extent cx="5400040" cy="4500033"/>
            <wp:effectExtent l="0" t="0" r="0" b="0"/>
            <wp:docPr id="11" name="Imagen 11" descr="C:\Users\usuario\Documents\GitHub_Personal\Algoritmos_R_y_PowerBI\Graficos_con_R\R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cuments\GitHub_Personal\Algoritmos_R_y_PowerBI\Graficos_con_R\R0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E904" w14:textId="15245785" w:rsidR="008A35AA" w:rsidRPr="009528A8" w:rsidRDefault="008A35AA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</w:p>
    <w:p w14:paraId="29A2A6FC" w14:textId="77777777" w:rsidR="008A35AA" w:rsidRPr="009528A8" w:rsidRDefault="008A35AA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</w:p>
    <w:p w14:paraId="2C919532" w14:textId="223546A4" w:rsidR="008A35AA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D6430F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lastRenderedPageBreak/>
        <w:drawing>
          <wp:inline distT="0" distB="0" distL="0" distR="0" wp14:anchorId="0CFCFAE8" wp14:editId="680EFE0E">
            <wp:extent cx="5400040" cy="4500033"/>
            <wp:effectExtent l="0" t="0" r="0" b="0"/>
            <wp:docPr id="12" name="Imagen 12" descr="C:\Users\usuario\Documents\GitHub_Personal\Algoritmos_R_y_PowerBI\Graficos_con_R\R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cuments\GitHub_Personal\Algoritmos_R_y_PowerBI\Graficos_con_R\R0_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B61A" w14:textId="00C917CB" w:rsidR="00D6430F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</w:p>
    <w:p w14:paraId="3DA2683D" w14:textId="6981D5C6" w:rsidR="00D6430F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D6430F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lastRenderedPageBreak/>
        <w:drawing>
          <wp:inline distT="0" distB="0" distL="0" distR="0" wp14:anchorId="3248DA33" wp14:editId="73C8B452">
            <wp:extent cx="5400040" cy="4500033"/>
            <wp:effectExtent l="0" t="0" r="0" b="0"/>
            <wp:docPr id="15" name="Imagen 15" descr="C:\Users\usuario\Documents\GitHub_Personal\Algoritmos_R_y_PowerBI\Graficos_con_R\R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cuments\GitHub_Personal\Algoritmos_R_y_PowerBI\Graficos_con_R\R0_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265E56" w14:textId="77777777" w:rsidR="00D6430F" w:rsidRPr="009528A8" w:rsidRDefault="00D6430F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</w:p>
    <w:p w14:paraId="41F296A4" w14:textId="573B52DF" w:rsidR="003F7A08" w:rsidRPr="009528A8" w:rsidRDefault="00DC3076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  <w:r w:rsidRPr="009528A8">
        <w:rPr>
          <w:rFonts w:ascii="Century Gothic" w:eastAsiaTheme="minorEastAsia" w:hAnsi="Century Gothic"/>
          <w:noProof/>
          <w:color w:val="3B3838" w:themeColor="background2" w:themeShade="40"/>
          <w:sz w:val="20"/>
          <w:szCs w:val="20"/>
          <w:lang w:val="en-US"/>
        </w:rPr>
        <w:drawing>
          <wp:inline distT="0" distB="0" distL="0" distR="0" wp14:anchorId="3B76A78D" wp14:editId="27747637">
            <wp:extent cx="5960534" cy="3519967"/>
            <wp:effectExtent l="0" t="0" r="2540" b="4445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2E474BB7-00EA-4C62-A8D8-F2DBA1A93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2E474BB7-00EA-4C62-A8D8-F2DBA1A93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0300" cy="35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3CA5" w14:textId="46D6B420" w:rsidR="003F7A08" w:rsidRPr="009528A8" w:rsidRDefault="003F7A08" w:rsidP="00BC2C9D">
      <w:pPr>
        <w:jc w:val="both"/>
        <w:rPr>
          <w:rFonts w:ascii="Century Gothic" w:eastAsiaTheme="minorEastAsia" w:hAnsi="Century Gothic"/>
          <w:color w:val="3B3838" w:themeColor="background2" w:themeShade="40"/>
          <w:sz w:val="20"/>
          <w:szCs w:val="20"/>
          <w:lang w:val="es-CL"/>
        </w:rPr>
      </w:pPr>
    </w:p>
    <w:sectPr w:rsidR="003F7A08" w:rsidRPr="0095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tricio Emanuelli" w:date="2020-07-11T23:15:00Z" w:initials="PE">
    <w:p w14:paraId="30AC94ED" w14:textId="7A7163A3" w:rsidR="00F26972" w:rsidRDefault="00F26972">
      <w:pPr>
        <w:pStyle w:val="Textocomentario"/>
      </w:pPr>
      <w:r>
        <w:rPr>
          <w:rStyle w:val="Refdecomentario"/>
        </w:rPr>
        <w:annotationRef/>
      </w:r>
      <w:r>
        <w:t xml:space="preserve">Christian, yo creo que se debe a que al Inicio no hay </w:t>
      </w:r>
      <w:r w:rsidRPr="00BC2C9D">
        <w:rPr>
          <w:b/>
          <w:bCs/>
        </w:rPr>
        <w:t>“recuperados”</w:t>
      </w:r>
      <w:r>
        <w:t>, por lo que el R0 se eleva, hasta que comienzan a recuperarse persona contagiadas.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AC94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4C68F" w16cex:dateUtc="2020-07-1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AC94ED" w16cid:durableId="22B4C6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97EA3" w14:textId="77777777" w:rsidR="007A680F" w:rsidRDefault="007A680F" w:rsidP="00BC2C9D">
      <w:pPr>
        <w:spacing w:after="0" w:line="240" w:lineRule="auto"/>
      </w:pPr>
      <w:r>
        <w:separator/>
      </w:r>
    </w:p>
  </w:endnote>
  <w:endnote w:type="continuationSeparator" w:id="0">
    <w:p w14:paraId="2320DEE7" w14:textId="77777777" w:rsidR="007A680F" w:rsidRDefault="007A680F" w:rsidP="00BC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5B8F7" w14:textId="77777777" w:rsidR="007A680F" w:rsidRDefault="007A680F" w:rsidP="00BC2C9D">
      <w:pPr>
        <w:spacing w:after="0" w:line="240" w:lineRule="auto"/>
      </w:pPr>
      <w:r>
        <w:separator/>
      </w:r>
    </w:p>
  </w:footnote>
  <w:footnote w:type="continuationSeparator" w:id="0">
    <w:p w14:paraId="57D33DCC" w14:textId="77777777" w:rsidR="007A680F" w:rsidRDefault="007A680F" w:rsidP="00BC2C9D">
      <w:pPr>
        <w:spacing w:after="0" w:line="240" w:lineRule="auto"/>
      </w:pPr>
      <w:r>
        <w:continuationSeparator/>
      </w:r>
    </w:p>
  </w:footnote>
  <w:footnote w:id="1">
    <w:p w14:paraId="60A2C034" w14:textId="77777777" w:rsidR="00F26972" w:rsidRPr="006C2A5A" w:rsidRDefault="00F26972" w:rsidP="00BC2C9D">
      <w:pPr>
        <w:pStyle w:val="Textonotapie"/>
      </w:pPr>
      <w:r w:rsidRPr="006C2A5A">
        <w:rPr>
          <w:rStyle w:val="Refdenotaalpie"/>
        </w:rPr>
        <w:footnoteRef/>
      </w:r>
      <w:r w:rsidRPr="006C2A5A">
        <w:t xml:space="preserve"> </w:t>
      </w:r>
      <w:proofErr w:type="spellStart"/>
      <w:r w:rsidRPr="006C2A5A">
        <w:t>Sanche</w:t>
      </w:r>
      <w:proofErr w:type="spellEnd"/>
      <w:r w:rsidRPr="006C2A5A">
        <w:t xml:space="preserve">, S., Lin, Y., Xu, C., Romero-Severson, E., </w:t>
      </w:r>
      <w:proofErr w:type="spellStart"/>
      <w:r w:rsidRPr="006C2A5A">
        <w:t>Hengartner</w:t>
      </w:r>
      <w:proofErr w:type="spellEnd"/>
      <w:r w:rsidRPr="006C2A5A">
        <w:t xml:space="preserve">, N., &amp; </w:t>
      </w:r>
      <w:proofErr w:type="spellStart"/>
      <w:r w:rsidRPr="006C2A5A">
        <w:t>Ke</w:t>
      </w:r>
      <w:proofErr w:type="spellEnd"/>
      <w:r w:rsidRPr="006C2A5A">
        <w:t>, R. (2020). High Contagiousness and Rapid Spread of Severe Acute Respiratory Syndrome Coronavirus 2. Emerging Infectious Diseases, 26(7), 1470-1477. https://dx.doi.org/10.3201/eid2607.200282.https://wwwnc.cdc.gov/eid/article/26/7/20-0282_article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4642"/>
    <w:multiLevelType w:val="hybridMultilevel"/>
    <w:tmpl w:val="30D4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io Emanuelli">
    <w15:presenceInfo w15:providerId="Windows Live" w15:userId="9f999e057ad8c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07"/>
    <w:rsid w:val="000E5811"/>
    <w:rsid w:val="0016439F"/>
    <w:rsid w:val="00220123"/>
    <w:rsid w:val="0034189A"/>
    <w:rsid w:val="003F7A08"/>
    <w:rsid w:val="004F16D3"/>
    <w:rsid w:val="005F30A0"/>
    <w:rsid w:val="007002A5"/>
    <w:rsid w:val="007A680F"/>
    <w:rsid w:val="008A35AA"/>
    <w:rsid w:val="009528A8"/>
    <w:rsid w:val="00AB43D1"/>
    <w:rsid w:val="00BC2C9D"/>
    <w:rsid w:val="00D6430F"/>
    <w:rsid w:val="00DC3076"/>
    <w:rsid w:val="00EC1107"/>
    <w:rsid w:val="00F26972"/>
    <w:rsid w:val="00F46CD8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9FC8"/>
  <w15:chartTrackingRefBased/>
  <w15:docId w15:val="{811DABC3-FEDC-4A6C-89EA-2BC320F1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i">
    <w:name w:val="mi"/>
    <w:basedOn w:val="Fuentedeprrafopredeter"/>
    <w:rsid w:val="00EC1107"/>
  </w:style>
  <w:style w:type="character" w:customStyle="1" w:styleId="mo">
    <w:name w:val="mo"/>
    <w:basedOn w:val="Fuentedeprrafopredeter"/>
    <w:rsid w:val="00EC1107"/>
  </w:style>
  <w:style w:type="character" w:customStyle="1" w:styleId="mjxassistivemathml">
    <w:name w:val="mjx_assistive_mathml"/>
    <w:basedOn w:val="Fuentedeprrafopredeter"/>
    <w:rsid w:val="00EC1107"/>
  </w:style>
  <w:style w:type="character" w:customStyle="1" w:styleId="mn">
    <w:name w:val="mn"/>
    <w:basedOn w:val="Fuentedeprrafopredeter"/>
    <w:rsid w:val="00EC1107"/>
  </w:style>
  <w:style w:type="character" w:customStyle="1" w:styleId="mtext">
    <w:name w:val="mtext"/>
    <w:basedOn w:val="Fuentedeprrafopredeter"/>
    <w:rsid w:val="00EC1107"/>
  </w:style>
  <w:style w:type="paragraph" w:styleId="Prrafodelista">
    <w:name w:val="List Paragraph"/>
    <w:basedOn w:val="Normal"/>
    <w:uiPriority w:val="34"/>
    <w:qFormat/>
    <w:rsid w:val="00F702F1"/>
    <w:pPr>
      <w:ind w:left="720"/>
      <w:contextualSpacing/>
    </w:pPr>
    <w:rPr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2C9D"/>
    <w:pPr>
      <w:spacing w:after="0" w:line="240" w:lineRule="auto"/>
    </w:pPr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2C9D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C2C9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C2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C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C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C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9D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F16D3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5F3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4.png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3.png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DBE66-1940-4B41-B136-B9C17F7B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9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Emanuelli</dc:creator>
  <cp:keywords/>
  <dc:description/>
  <cp:lastModifiedBy>usuario</cp:lastModifiedBy>
  <cp:revision>5</cp:revision>
  <dcterms:created xsi:type="dcterms:W3CDTF">2020-07-12T02:28:00Z</dcterms:created>
  <dcterms:modified xsi:type="dcterms:W3CDTF">2020-07-18T03:14:00Z</dcterms:modified>
</cp:coreProperties>
</file>