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D9563" w14:textId="4CC192AA" w:rsidR="00D253E5" w:rsidRPr="00D253E5" w:rsidRDefault="00D253E5">
      <w:pPr>
        <w:rPr>
          <w:b/>
          <w:bCs/>
        </w:rPr>
      </w:pPr>
      <w:r w:rsidRPr="00D253E5">
        <w:rPr>
          <w:b/>
          <w:bCs/>
        </w:rPr>
        <w:t>Glosario Casos Ingresados</w:t>
      </w:r>
    </w:p>
    <w:p w14:paraId="16B37B86" w14:textId="6F19F375" w:rsidR="00D253E5" w:rsidRDefault="00D253E5" w:rsidP="008D58DC">
      <w:pPr>
        <w:jc w:val="both"/>
      </w:pPr>
      <w:r>
        <w:t>LEIV: Ley Especial Integral para una Vida libre de Violencia para las Mujeres.</w:t>
      </w:r>
    </w:p>
    <w:p w14:paraId="6908736A" w14:textId="148509C7" w:rsidR="009422A2" w:rsidRDefault="00D253E5" w:rsidP="008D58DC">
      <w:pPr>
        <w:jc w:val="both"/>
      </w:pPr>
      <w:r>
        <w:t>Violencia Feminicida: Este tipo de Violencia comprende los delitos de Feminicidio, Feminicidio Agravado, Feminicidio Agravado en Grado de Tentativa, Feminicidio en Grado de Tentativa y donde la víctima sea mujer po</w:t>
      </w:r>
      <w:r w:rsidR="00DE3DC1">
        <w:t>r</w:t>
      </w:r>
      <w:r>
        <w:t xml:space="preserve"> los delitos de Homicidio Simple, </w:t>
      </w:r>
      <w:r w:rsidR="00DE3DC1">
        <w:t>H</w:t>
      </w:r>
      <w:r>
        <w:t xml:space="preserve">omicidio Agravado, </w:t>
      </w:r>
      <w:r w:rsidR="00DE3DC1">
        <w:t>H</w:t>
      </w:r>
      <w:r>
        <w:t xml:space="preserve">omicidio </w:t>
      </w:r>
      <w:r w:rsidR="00DE3DC1">
        <w:t>S</w:t>
      </w:r>
      <w:r>
        <w:t>imple en Grado de Tentativa y Homicidio Agravado en Grado de Tentativa.</w:t>
      </w:r>
    </w:p>
    <w:p w14:paraId="735FB9A9" w14:textId="6303823E" w:rsidR="00D253E5" w:rsidRDefault="00D253E5" w:rsidP="008D58DC">
      <w:pPr>
        <w:jc w:val="both"/>
      </w:pPr>
      <w:r>
        <w:t>Delitos LEIV</w:t>
      </w:r>
      <w:r w:rsidR="00DE3DC1">
        <w:t xml:space="preserve"> (Sin Feminicidios)</w:t>
      </w:r>
      <w:r>
        <w:t>:</w:t>
      </w:r>
      <w:r w:rsidR="00DE3DC1">
        <w:t xml:space="preserve"> C</w:t>
      </w:r>
      <w:r w:rsidR="00DE3DC1" w:rsidRPr="00DE3DC1">
        <w:t>omprende los delitos la Ley Especial Integral para una Vida Libre de Violencia para las Mujeres excluyendo los delitos de Feminicidio,</w:t>
      </w:r>
      <w:r w:rsidR="00DE3DC1">
        <w:t xml:space="preserve"> </w:t>
      </w:r>
      <w:r w:rsidR="00DE3DC1" w:rsidRPr="00DE3DC1">
        <w:t>Feminicidio Agravado, Feminicidio Agravado en Grado de Tentativa y Feminicidio En Grado de Tentativa</w:t>
      </w:r>
      <w:r w:rsidR="00DE3DC1">
        <w:t>.</w:t>
      </w:r>
    </w:p>
    <w:p w14:paraId="4ABB6484" w14:textId="390E83F7" w:rsidR="00D253E5" w:rsidRDefault="00D253E5" w:rsidP="008D58DC">
      <w:pPr>
        <w:jc w:val="both"/>
      </w:pPr>
      <w:r>
        <w:t>Violencia Sexual:</w:t>
      </w:r>
      <w:r w:rsidR="00DE3DC1">
        <w:t xml:space="preserve"> C</w:t>
      </w:r>
      <w:r w:rsidR="00DE3DC1">
        <w:t>omprende los Delitos Contra la Libertad Sexual donde la víctima es mujer.</w:t>
      </w:r>
      <w:r w:rsidR="00DE3DC1">
        <w:t xml:space="preserve"> </w:t>
      </w:r>
      <w:r w:rsidR="00DE3DC1" w:rsidRPr="00DE3DC1">
        <w:t>Acciones que obligan a una persona a mantener contactos sexualizados físicos o verbales, o a participar en ellos mediante la fuerza, intimidación, coerción, chantaje, soborno, manipulación, amenaza u otro mecanismo que anule o límite la voluntad personal. Igualmente, se considerará violencia sexual el hecho de que la persona agresora obligue a la persona agredida a realizar alguno de estos actos con terceras personas.</w:t>
      </w:r>
    </w:p>
    <w:p w14:paraId="0BD5A7D0" w14:textId="6F673460" w:rsidR="00D253E5" w:rsidRDefault="00D253E5" w:rsidP="008D58DC">
      <w:pPr>
        <w:jc w:val="both"/>
      </w:pPr>
      <w:r>
        <w:t>Violencia Física:</w:t>
      </w:r>
      <w:r w:rsidR="00DE3DC1">
        <w:t xml:space="preserve"> C</w:t>
      </w:r>
      <w:r w:rsidR="00DE3DC1" w:rsidRPr="00DE3DC1">
        <w:t>omprende los delitos de Lesiones, Lesiones Graves, Lesiones Muy Graves, Lesiones Agravadas</w:t>
      </w:r>
      <w:r w:rsidR="00DE3DC1">
        <w:t xml:space="preserve">, </w:t>
      </w:r>
      <w:r w:rsidR="00DE3DC1" w:rsidRPr="00DE3DC1">
        <w:t>Lesiones Culposas, Lesiones y Golpes, Disparo de Arma de Fuego y Lesiones Graves Agravadas donde la víctima es mujer</w:t>
      </w:r>
      <w:r w:rsidR="00DE3DC1">
        <w:t>.</w:t>
      </w:r>
    </w:p>
    <w:p w14:paraId="7503A6E2" w14:textId="1D5712F0" w:rsidR="00D253E5" w:rsidRDefault="00D253E5" w:rsidP="008D58DC">
      <w:pPr>
        <w:jc w:val="both"/>
      </w:pPr>
      <w:r>
        <w:t>Violencia Patrimonial:</w:t>
      </w:r>
      <w:r w:rsidR="00DE3DC1">
        <w:t xml:space="preserve"> C</w:t>
      </w:r>
      <w:r w:rsidR="00DE3DC1">
        <w:t>omprende los delitos de Hurt</w:t>
      </w:r>
      <w:r w:rsidR="00DE3DC1">
        <w:t>o</w:t>
      </w:r>
      <w:r w:rsidR="00DE3DC1">
        <w:t>, Hurto Agravado</w:t>
      </w:r>
      <w:r w:rsidR="00DE3DC1">
        <w:t xml:space="preserve">, </w:t>
      </w:r>
      <w:r w:rsidR="00DE3DC1">
        <w:t>Robo, Robo Agravado, Estafa, Estafa Agravada</w:t>
      </w:r>
      <w:r w:rsidR="00DE3DC1">
        <w:t xml:space="preserve">, </w:t>
      </w:r>
      <w:r w:rsidR="00DE3DC1">
        <w:t>Apropiación o Retención Indebidas, Usurpaciones de Inmuebles y Daños</w:t>
      </w:r>
      <w:r w:rsidR="00DE3DC1">
        <w:t xml:space="preserve"> </w:t>
      </w:r>
      <w:r w:rsidR="00DE3DC1">
        <w:t>donde la víctima sea mujer</w:t>
      </w:r>
      <w:r w:rsidR="00DE3DC1">
        <w:t>.</w:t>
      </w:r>
    </w:p>
    <w:p w14:paraId="6B172D97" w14:textId="027204B6" w:rsidR="00D253E5" w:rsidRDefault="00D253E5" w:rsidP="008D58DC">
      <w:pPr>
        <w:jc w:val="both"/>
      </w:pPr>
      <w:r>
        <w:t>Feminicidios:</w:t>
      </w:r>
      <w:r w:rsidR="000551D3">
        <w:t xml:space="preserve"> Toda mu</w:t>
      </w:r>
      <w:r w:rsidR="00DE3DC1" w:rsidRPr="00DE3DC1">
        <w:t>erte violenta</w:t>
      </w:r>
      <w:r w:rsidR="000551D3">
        <w:t xml:space="preserve"> </w:t>
      </w:r>
      <w:r w:rsidR="00DE3DC1" w:rsidRPr="00DE3DC1">
        <w:t xml:space="preserve">provocada a una mujer por motivos de odio o </w:t>
      </w:r>
      <w:r w:rsidR="000551D3">
        <w:t>m</w:t>
      </w:r>
      <w:r w:rsidR="00DE3DC1" w:rsidRPr="00DE3DC1">
        <w:t>enosprecio hacia</w:t>
      </w:r>
      <w:r w:rsidR="000551D3">
        <w:t xml:space="preserve"> </w:t>
      </w:r>
      <w:r w:rsidR="00DE3DC1" w:rsidRPr="00DE3DC1">
        <w:t>su</w:t>
      </w:r>
      <w:r w:rsidR="000551D3">
        <w:t xml:space="preserve"> </w:t>
      </w:r>
      <w:r w:rsidR="00DE3DC1" w:rsidRPr="00DE3DC1">
        <w:t>condición</w:t>
      </w:r>
      <w:r w:rsidR="000551D3">
        <w:t xml:space="preserve"> </w:t>
      </w:r>
      <w:r w:rsidR="00DE3DC1" w:rsidRPr="00DE3DC1">
        <w:t>de</w:t>
      </w:r>
      <w:r w:rsidR="000551D3">
        <w:t xml:space="preserve"> </w:t>
      </w:r>
      <w:r w:rsidR="00DE3DC1" w:rsidRPr="00DE3DC1">
        <w:t>mujer y tiene como principal antecedente, una sucesión de hechos violentos.</w:t>
      </w:r>
      <w:r w:rsidR="000551D3">
        <w:t xml:space="preserve"> </w:t>
      </w:r>
      <w:r w:rsidR="00DE3DC1" w:rsidRPr="00DE3DC1">
        <w:t>El</w:t>
      </w:r>
      <w:r w:rsidR="000551D3">
        <w:t xml:space="preserve"> </w:t>
      </w:r>
      <w:r w:rsidR="00DE3DC1" w:rsidRPr="00DE3DC1">
        <w:t>feminicidio como violencia de género extrema contra mujeres, supone previamente un conjunto de hechos</w:t>
      </w:r>
      <w:r w:rsidR="000551D3">
        <w:t xml:space="preserve"> </w:t>
      </w:r>
      <w:r w:rsidR="00DE3DC1" w:rsidRPr="00DE3DC1">
        <w:t>misóginos que implican la violación de derechos humanos, culminando con el asesinato.</w:t>
      </w:r>
    </w:p>
    <w:p w14:paraId="3AA16AC9" w14:textId="6B5C79BD" w:rsidR="00D253E5" w:rsidRDefault="00D253E5" w:rsidP="008D58DC">
      <w:pPr>
        <w:jc w:val="both"/>
      </w:pPr>
      <w:r>
        <w:t>Feminicidios Tentativos:</w:t>
      </w:r>
      <w:r w:rsidR="000551D3">
        <w:t xml:space="preserve"> Intento de cometer Feminicidio </w:t>
      </w:r>
      <w:r w:rsidR="008D58DC">
        <w:t>que no se llega a consumar.</w:t>
      </w:r>
    </w:p>
    <w:p w14:paraId="55B74025" w14:textId="7224A846" w:rsidR="00605B40" w:rsidRDefault="00605B40" w:rsidP="008D58DC">
      <w:pPr>
        <w:jc w:val="both"/>
      </w:pPr>
    </w:p>
    <w:p w14:paraId="035887A9" w14:textId="1CD3EBD4" w:rsidR="00605B40" w:rsidRPr="00D43F1C" w:rsidRDefault="00605B40" w:rsidP="008D58DC">
      <w:pPr>
        <w:jc w:val="both"/>
        <w:rPr>
          <w:b/>
          <w:bCs/>
        </w:rPr>
      </w:pPr>
      <w:r w:rsidRPr="00D43F1C">
        <w:rPr>
          <w:b/>
          <w:bCs/>
        </w:rPr>
        <w:t>Glosario Casos con Sentencia</w:t>
      </w:r>
    </w:p>
    <w:p w14:paraId="6496A663"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r w:rsidRPr="00D43F1C">
        <w:rPr>
          <w:rStyle w:val="Textoennegrita"/>
          <w:rFonts w:ascii="Calibri" w:hAnsi="Calibri" w:cs="Calibri"/>
          <w:b w:val="0"/>
          <w:bCs w:val="0"/>
          <w:color w:val="252423"/>
          <w:sz w:val="22"/>
          <w:szCs w:val="22"/>
        </w:rPr>
        <w:t>Expresiones De Violencia Contra Las Mujeres:</w:t>
      </w:r>
    </w:p>
    <w:p w14:paraId="027A0633"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p>
    <w:p w14:paraId="1E4C8B07"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r w:rsidRPr="00D43F1C">
        <w:rPr>
          <w:rStyle w:val="Textoennegrita"/>
          <w:rFonts w:ascii="Calibri" w:hAnsi="Calibri" w:cs="Calibri"/>
          <w:b w:val="0"/>
          <w:bCs w:val="0"/>
          <w:color w:val="252423"/>
          <w:sz w:val="22"/>
          <w:szCs w:val="22"/>
        </w:rPr>
        <w:t xml:space="preserve">Feminicidio Agravado: </w:t>
      </w:r>
      <w:r w:rsidRPr="00D43F1C">
        <w:rPr>
          <w:rFonts w:ascii="Calibri" w:hAnsi="Calibri" w:cs="Calibri"/>
          <w:color w:val="252423"/>
          <w:sz w:val="22"/>
          <w:szCs w:val="22"/>
        </w:rPr>
        <w:t>Delito de Feminicidio con Agravantes.</w:t>
      </w:r>
    </w:p>
    <w:p w14:paraId="797E3D5F"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p>
    <w:p w14:paraId="7B054E55"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r w:rsidRPr="00D43F1C">
        <w:rPr>
          <w:rStyle w:val="Textoennegrita"/>
          <w:rFonts w:ascii="Calibri" w:hAnsi="Calibri" w:cs="Calibri"/>
          <w:b w:val="0"/>
          <w:bCs w:val="0"/>
          <w:color w:val="252423"/>
          <w:sz w:val="22"/>
          <w:szCs w:val="22"/>
        </w:rPr>
        <w:t xml:space="preserve">Feminicidio Agravado en Grado de Tentativa: </w:t>
      </w:r>
      <w:r w:rsidRPr="00D43F1C">
        <w:rPr>
          <w:rFonts w:ascii="Calibri" w:hAnsi="Calibri" w:cs="Calibri"/>
          <w:color w:val="252423"/>
          <w:sz w:val="22"/>
          <w:szCs w:val="22"/>
        </w:rPr>
        <w:t>Delito</w:t>
      </w:r>
      <w:r w:rsidRPr="00D43F1C">
        <w:rPr>
          <w:rStyle w:val="Textoennegrita"/>
          <w:rFonts w:ascii="Calibri" w:hAnsi="Calibri" w:cs="Calibri"/>
          <w:b w:val="0"/>
          <w:bCs w:val="0"/>
          <w:color w:val="252423"/>
          <w:sz w:val="22"/>
          <w:szCs w:val="22"/>
        </w:rPr>
        <w:t xml:space="preserve"> </w:t>
      </w:r>
      <w:r w:rsidRPr="00D43F1C">
        <w:rPr>
          <w:rFonts w:ascii="Calibri" w:hAnsi="Calibri" w:cs="Calibri"/>
          <w:color w:val="252423"/>
          <w:sz w:val="22"/>
          <w:szCs w:val="22"/>
        </w:rPr>
        <w:t>de</w:t>
      </w:r>
      <w:r w:rsidRPr="00D43F1C">
        <w:rPr>
          <w:rStyle w:val="Textoennegrita"/>
          <w:rFonts w:ascii="Calibri" w:hAnsi="Calibri" w:cs="Calibri"/>
          <w:b w:val="0"/>
          <w:bCs w:val="0"/>
          <w:color w:val="252423"/>
          <w:sz w:val="22"/>
          <w:szCs w:val="22"/>
        </w:rPr>
        <w:t xml:space="preserve"> </w:t>
      </w:r>
      <w:r w:rsidRPr="00D43F1C">
        <w:rPr>
          <w:rFonts w:ascii="Calibri" w:hAnsi="Calibri" w:cs="Calibri"/>
          <w:color w:val="252423"/>
          <w:sz w:val="22"/>
          <w:szCs w:val="22"/>
        </w:rPr>
        <w:t>Feminicidio con Agravantes que no se llegó a consumar.</w:t>
      </w:r>
    </w:p>
    <w:p w14:paraId="159B1794"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p>
    <w:p w14:paraId="79E4569D"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r w:rsidRPr="00D43F1C">
        <w:rPr>
          <w:rStyle w:val="Textoennegrita"/>
          <w:rFonts w:ascii="Calibri" w:hAnsi="Calibri" w:cs="Calibri"/>
          <w:b w:val="0"/>
          <w:bCs w:val="0"/>
          <w:color w:val="252423"/>
          <w:sz w:val="22"/>
          <w:szCs w:val="22"/>
        </w:rPr>
        <w:t xml:space="preserve">Feminicidio en Grado de Tentativa: </w:t>
      </w:r>
      <w:r w:rsidRPr="00D43F1C">
        <w:rPr>
          <w:rFonts w:ascii="Calibri" w:hAnsi="Calibri" w:cs="Calibri"/>
          <w:color w:val="252423"/>
          <w:sz w:val="22"/>
          <w:szCs w:val="22"/>
        </w:rPr>
        <w:t>Delito de Feminicidio que no se llegó a consumar.</w:t>
      </w:r>
    </w:p>
    <w:p w14:paraId="47DBBAAC"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p>
    <w:p w14:paraId="53953937"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r w:rsidRPr="00D43F1C">
        <w:rPr>
          <w:rStyle w:val="Textoennegrita"/>
          <w:rFonts w:ascii="Calibri" w:hAnsi="Calibri" w:cs="Calibri"/>
          <w:b w:val="0"/>
          <w:bCs w:val="0"/>
          <w:color w:val="252423"/>
          <w:sz w:val="22"/>
          <w:szCs w:val="22"/>
        </w:rPr>
        <w:t>Sustracción Patrimonial:</w:t>
      </w:r>
    </w:p>
    <w:p w14:paraId="1EC0DFEE"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p>
    <w:p w14:paraId="685B64FB"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r w:rsidRPr="00D43F1C">
        <w:rPr>
          <w:rStyle w:val="Textoennegrita"/>
          <w:rFonts w:ascii="Calibri" w:hAnsi="Calibri" w:cs="Calibri"/>
          <w:b w:val="0"/>
          <w:bCs w:val="0"/>
          <w:color w:val="252423"/>
          <w:sz w:val="22"/>
          <w:szCs w:val="22"/>
        </w:rPr>
        <w:lastRenderedPageBreak/>
        <w:t xml:space="preserve">Suicidio Feminicida Por Inducción O Ayuda: </w:t>
      </w:r>
      <w:r w:rsidRPr="00D43F1C">
        <w:rPr>
          <w:rFonts w:ascii="Calibri" w:hAnsi="Calibri" w:cs="Calibri"/>
          <w:color w:val="252423"/>
          <w:sz w:val="22"/>
          <w:szCs w:val="22"/>
        </w:rPr>
        <w:t xml:space="preserve">Se trata de mujeres que son impulsadas al suicidio como consecuencia del acoso y la violencia constante a la que se ven sometidas considerando el suicido como "única </w:t>
      </w:r>
      <w:proofErr w:type="gramStart"/>
      <w:r w:rsidRPr="00D43F1C">
        <w:rPr>
          <w:rFonts w:ascii="Calibri" w:hAnsi="Calibri" w:cs="Calibri"/>
          <w:color w:val="252423"/>
          <w:sz w:val="22"/>
          <w:szCs w:val="22"/>
        </w:rPr>
        <w:t>salida .</w:t>
      </w:r>
      <w:proofErr w:type="gramEnd"/>
      <w:r w:rsidRPr="00D43F1C">
        <w:rPr>
          <w:rFonts w:ascii="Calibri" w:hAnsi="Calibri" w:cs="Calibri"/>
          <w:color w:val="252423"/>
          <w:sz w:val="22"/>
          <w:szCs w:val="22"/>
        </w:rPr>
        <w:t xml:space="preserve"> También como medida desesperada para poner fin a los malos tratos o como señal de impotencia frente a la impunidad en que se desenvuelve su agresor.</w:t>
      </w:r>
      <w:r w:rsidRPr="00D43F1C">
        <w:rPr>
          <w:rStyle w:val="Textoennegrita"/>
          <w:rFonts w:ascii="Calibri" w:hAnsi="Calibri" w:cs="Calibri"/>
          <w:b w:val="0"/>
          <w:bCs w:val="0"/>
          <w:color w:val="252423"/>
          <w:sz w:val="22"/>
          <w:szCs w:val="22"/>
        </w:rPr>
        <w:t xml:space="preserve"> </w:t>
      </w:r>
    </w:p>
    <w:p w14:paraId="153DE1E1"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p>
    <w:p w14:paraId="020F2F69" w14:textId="77777777" w:rsidR="00605B40" w:rsidRPr="00D43F1C" w:rsidRDefault="00605B40" w:rsidP="00605B40">
      <w:pPr>
        <w:pStyle w:val="NormalWeb"/>
        <w:shd w:val="clear" w:color="auto" w:fill="FFFFFF"/>
        <w:spacing w:before="0" w:beforeAutospacing="0" w:after="0" w:afterAutospacing="0"/>
        <w:rPr>
          <w:rFonts w:ascii="Calibri" w:hAnsi="Calibri" w:cs="Calibri"/>
          <w:color w:val="252423"/>
          <w:sz w:val="22"/>
          <w:szCs w:val="22"/>
        </w:rPr>
      </w:pPr>
      <w:r w:rsidRPr="00D43F1C">
        <w:rPr>
          <w:rStyle w:val="Textoennegrita"/>
          <w:rFonts w:ascii="Calibri" w:hAnsi="Calibri" w:cs="Calibri"/>
          <w:b w:val="0"/>
          <w:bCs w:val="0"/>
          <w:color w:val="252423"/>
          <w:sz w:val="22"/>
          <w:szCs w:val="22"/>
        </w:rPr>
        <w:t>Sustracción De Las Utilidades De Las Actividades Económicas Familiares:</w:t>
      </w:r>
    </w:p>
    <w:p w14:paraId="090AF0E5" w14:textId="03C8429C" w:rsidR="00605B40" w:rsidRDefault="00605B40" w:rsidP="008D58DC">
      <w:pPr>
        <w:jc w:val="both"/>
      </w:pPr>
    </w:p>
    <w:p w14:paraId="2DED3CB0" w14:textId="61A9730F" w:rsidR="00D43F1C" w:rsidRDefault="00D43F1C" w:rsidP="008D58DC">
      <w:pPr>
        <w:jc w:val="both"/>
        <w:rPr>
          <w:b/>
          <w:bCs/>
        </w:rPr>
      </w:pPr>
      <w:r w:rsidRPr="00D43F1C">
        <w:rPr>
          <w:b/>
          <w:bCs/>
        </w:rPr>
        <w:t>Glosario Feminicidios Mujeres y Niñas</w:t>
      </w:r>
    </w:p>
    <w:p w14:paraId="3CAFEC94" w14:textId="4413B358" w:rsidR="00D43F1C" w:rsidRDefault="00D43F1C" w:rsidP="008D58DC">
      <w:pPr>
        <w:jc w:val="both"/>
        <w:rPr>
          <w:b/>
          <w:bCs/>
        </w:rPr>
      </w:pPr>
    </w:p>
    <w:p w14:paraId="42D41F0B" w14:textId="78AB76AF" w:rsidR="00D43F1C" w:rsidRPr="00D43F1C" w:rsidRDefault="00D43F1C" w:rsidP="008D58DC">
      <w:pPr>
        <w:jc w:val="both"/>
        <w:rPr>
          <w:rFonts w:cstheme="minorHAnsi"/>
        </w:rPr>
      </w:pPr>
      <w:r w:rsidRPr="00D43F1C">
        <w:rPr>
          <w:rFonts w:eastAsia="Times New Roman" w:cstheme="minorHAnsi"/>
          <w:b/>
          <w:bCs/>
          <w:lang w:eastAsia="es-CL"/>
        </w:rPr>
        <w:t>Feminicidio</w:t>
      </w:r>
      <w:r w:rsidRPr="00D43F1C">
        <w:rPr>
          <w:rFonts w:eastAsia="Times New Roman" w:cstheme="minorHAnsi"/>
          <w:lang w:eastAsia="es-CL"/>
        </w:rPr>
        <w:t xml:space="preserve">: </w:t>
      </w:r>
      <w:r w:rsidRPr="00D43F1C">
        <w:rPr>
          <w:rFonts w:cstheme="minorHAnsi"/>
        </w:rPr>
        <w:t>Toda muerte violenta provocada a una mujer por motivos de odio o menosprecio hacia su condición de mujer y tiene como principal antecedente, una sucesión de hechos violentos. El feminicidio como violencia de género extrema contra mujeres, supone previamente un conjunto de hechos misóginos que implican la violación de derechos humanos, culminando con el asesinato.</w:t>
      </w:r>
    </w:p>
    <w:p w14:paraId="52B3CE2B" w14:textId="20D7C481" w:rsidR="00D43F1C" w:rsidRPr="00D43F1C" w:rsidRDefault="00D43F1C" w:rsidP="00D43F1C">
      <w:pPr>
        <w:spacing w:after="0" w:line="240" w:lineRule="auto"/>
        <w:jc w:val="both"/>
        <w:rPr>
          <w:rFonts w:eastAsia="Times New Roman" w:cstheme="minorHAnsi"/>
          <w:lang w:eastAsia="es-CL"/>
        </w:rPr>
      </w:pPr>
      <w:r w:rsidRPr="00D43F1C">
        <w:rPr>
          <w:rFonts w:eastAsia="Times New Roman" w:cstheme="minorHAnsi"/>
          <w:b/>
          <w:bCs/>
          <w:lang w:eastAsia="es-CL"/>
        </w:rPr>
        <w:t>Niñas</w:t>
      </w:r>
      <w:r w:rsidRPr="00D43F1C">
        <w:rPr>
          <w:rFonts w:eastAsia="Times New Roman" w:cstheme="minorHAnsi"/>
          <w:lang w:eastAsia="es-CL"/>
        </w:rPr>
        <w:t xml:space="preserve">: </w:t>
      </w:r>
      <w:r w:rsidRPr="00D43F1C">
        <w:rPr>
          <w:rFonts w:eastAsia="Times New Roman" w:cstheme="minorHAnsi"/>
          <w:lang w:eastAsia="es-CL"/>
        </w:rPr>
        <w:t xml:space="preserve">Mujeres de 0 a 12 </w:t>
      </w:r>
      <w:proofErr w:type="gramStart"/>
      <w:r w:rsidRPr="00D43F1C">
        <w:rPr>
          <w:rFonts w:eastAsia="Times New Roman" w:cstheme="minorHAnsi"/>
          <w:lang w:eastAsia="es-CL"/>
        </w:rPr>
        <w:t>años de edad</w:t>
      </w:r>
      <w:proofErr w:type="gramEnd"/>
      <w:r w:rsidRPr="00D43F1C">
        <w:rPr>
          <w:rFonts w:eastAsia="Times New Roman" w:cstheme="minorHAnsi"/>
          <w:lang w:eastAsia="es-CL"/>
        </w:rPr>
        <w:t>.</w:t>
      </w:r>
    </w:p>
    <w:p w14:paraId="109A45B5" w14:textId="77777777" w:rsidR="00D43F1C" w:rsidRPr="00D43F1C" w:rsidRDefault="00D43F1C" w:rsidP="00D43F1C">
      <w:pPr>
        <w:spacing w:after="0" w:line="240" w:lineRule="auto"/>
        <w:jc w:val="both"/>
        <w:rPr>
          <w:rFonts w:eastAsia="Times New Roman" w:cstheme="minorHAnsi"/>
          <w:lang w:eastAsia="es-CL"/>
        </w:rPr>
      </w:pPr>
    </w:p>
    <w:p w14:paraId="1D96BBE9" w14:textId="25CE5AC7" w:rsidR="00D43F1C" w:rsidRPr="00D43F1C" w:rsidRDefault="00D43F1C" w:rsidP="00D43F1C">
      <w:pPr>
        <w:spacing w:after="0" w:line="240" w:lineRule="auto"/>
        <w:jc w:val="both"/>
        <w:rPr>
          <w:rFonts w:eastAsia="Times New Roman" w:cstheme="minorHAnsi"/>
          <w:lang w:eastAsia="es-CL"/>
        </w:rPr>
      </w:pPr>
      <w:r w:rsidRPr="00D43F1C">
        <w:rPr>
          <w:rFonts w:eastAsia="Times New Roman" w:cstheme="minorHAnsi"/>
          <w:b/>
          <w:bCs/>
          <w:lang w:eastAsia="es-CL"/>
        </w:rPr>
        <w:t>Violencia de Género</w:t>
      </w:r>
      <w:r w:rsidRPr="00D43F1C">
        <w:rPr>
          <w:rFonts w:eastAsia="Times New Roman" w:cstheme="minorHAnsi"/>
          <w:lang w:eastAsia="es-CL"/>
        </w:rPr>
        <w:t xml:space="preserve">: </w:t>
      </w:r>
      <w:r w:rsidRPr="00D43F1C">
        <w:rPr>
          <w:rFonts w:eastAsia="Times New Roman" w:cstheme="minorHAnsi"/>
          <w:lang w:eastAsia="es-CL"/>
        </w:rPr>
        <w:t>Cualquier acción o conducta, basada en el género, que cause muerte, daño o sufrimiento físico, sexual, o psicológico, tanto en el ámbito público como privado.</w:t>
      </w:r>
    </w:p>
    <w:p w14:paraId="787D4241" w14:textId="77777777" w:rsidR="00D43F1C" w:rsidRPr="00D43F1C" w:rsidRDefault="00D43F1C" w:rsidP="00D43F1C">
      <w:pPr>
        <w:spacing w:after="0" w:line="240" w:lineRule="auto"/>
        <w:jc w:val="both"/>
        <w:rPr>
          <w:rFonts w:eastAsia="Times New Roman" w:cstheme="minorHAnsi"/>
          <w:lang w:eastAsia="es-CL"/>
        </w:rPr>
      </w:pPr>
    </w:p>
    <w:p w14:paraId="4287D917" w14:textId="69EB71B2" w:rsidR="00D43F1C" w:rsidRPr="00D43F1C" w:rsidRDefault="00D43F1C" w:rsidP="00D43F1C">
      <w:pPr>
        <w:spacing w:after="0" w:line="240" w:lineRule="auto"/>
        <w:jc w:val="both"/>
        <w:rPr>
          <w:rFonts w:eastAsia="Times New Roman" w:cstheme="minorHAnsi"/>
          <w:lang w:eastAsia="es-CL"/>
        </w:rPr>
      </w:pPr>
      <w:r w:rsidRPr="00D43F1C">
        <w:rPr>
          <w:rFonts w:eastAsia="Times New Roman" w:cstheme="minorHAnsi"/>
          <w:b/>
          <w:bCs/>
          <w:lang w:eastAsia="es-CL"/>
        </w:rPr>
        <w:t>Número total de asesinatos de mujeres intencionales/ homicidios</w:t>
      </w:r>
      <w:r w:rsidRPr="00D43F1C">
        <w:rPr>
          <w:rFonts w:eastAsia="Times New Roman" w:cstheme="minorHAnsi"/>
          <w:lang w:eastAsia="es-CL"/>
        </w:rPr>
        <w:t xml:space="preserve">: </w:t>
      </w:r>
      <w:r w:rsidRPr="00D43F1C">
        <w:rPr>
          <w:rFonts w:eastAsia="Times New Roman" w:cstheme="minorHAnsi"/>
          <w:lang w:eastAsia="es-CL"/>
        </w:rPr>
        <w:t xml:space="preserve">La información corresponde a mujeres víctimas de muertes violentas dolosas registradas en la Mesa Técnica de Conciliación de Cifras de Homicidios Dolosos. En tal sentido, los datos pueden incluir víctimas que posteriormente y </w:t>
      </w:r>
      <w:proofErr w:type="gramStart"/>
      <w:r w:rsidRPr="00D43F1C">
        <w:rPr>
          <w:rFonts w:eastAsia="Times New Roman" w:cstheme="minorHAnsi"/>
          <w:lang w:eastAsia="es-CL"/>
        </w:rPr>
        <w:t>de acuerdo a</w:t>
      </w:r>
      <w:proofErr w:type="gramEnd"/>
      <w:r w:rsidRPr="00D43F1C">
        <w:rPr>
          <w:rFonts w:eastAsia="Times New Roman" w:cstheme="minorHAnsi"/>
          <w:lang w:eastAsia="es-CL"/>
        </w:rPr>
        <w:t xml:space="preserve"> las investigaciones, se investiguen por el delito de Feminicidio.</w:t>
      </w:r>
    </w:p>
    <w:p w14:paraId="492CD3A6" w14:textId="57C05E5F" w:rsidR="00D43F1C" w:rsidRPr="00D43F1C" w:rsidRDefault="00D43F1C" w:rsidP="00D43F1C">
      <w:pPr>
        <w:spacing w:after="0" w:line="240" w:lineRule="auto"/>
        <w:jc w:val="both"/>
        <w:rPr>
          <w:rFonts w:eastAsia="Times New Roman" w:cstheme="minorHAnsi"/>
          <w:lang w:eastAsia="es-CL"/>
        </w:rPr>
      </w:pPr>
    </w:p>
    <w:p w14:paraId="41B2668E" w14:textId="0EC96807" w:rsidR="00D43F1C" w:rsidRPr="00D43F1C" w:rsidRDefault="00D43F1C" w:rsidP="00D43F1C">
      <w:pPr>
        <w:spacing w:after="0" w:line="240" w:lineRule="auto"/>
        <w:jc w:val="both"/>
        <w:rPr>
          <w:rFonts w:eastAsia="Times New Roman" w:cstheme="minorHAnsi"/>
          <w:lang w:eastAsia="es-CL"/>
        </w:rPr>
      </w:pPr>
      <w:r w:rsidRPr="00D43F1C">
        <w:rPr>
          <w:rFonts w:eastAsia="Times New Roman" w:cstheme="minorHAnsi"/>
          <w:b/>
          <w:bCs/>
          <w:lang w:eastAsia="es-CL"/>
        </w:rPr>
        <w:t>Número total de feminicidios u homicidios de mujeres por violencia de género</w:t>
      </w:r>
      <w:r w:rsidRPr="00D43F1C">
        <w:rPr>
          <w:rFonts w:eastAsia="Times New Roman" w:cstheme="minorHAnsi"/>
          <w:lang w:eastAsia="es-CL"/>
        </w:rPr>
        <w:t xml:space="preserve">: </w:t>
      </w:r>
      <w:r w:rsidRPr="00D43F1C">
        <w:rPr>
          <w:rFonts w:eastAsia="Times New Roman" w:cstheme="minorHAnsi"/>
          <w:lang w:eastAsia="es-CL"/>
        </w:rPr>
        <w:t>Los datos corresponden a las víctimas registradas por el delito de Feminicidio 2017 según datos de SIGAP (Sistema de Información y Gestión Automatizada del Proceso Fiscal). A partir del año 2018, las víctimas de Feminicidios corresponden según datos homologados en la Mesa Técnica de Conciliación de Cifras de Homicidios Dolosos, año en que se ha comenzado a homologar dichos datos.</w:t>
      </w:r>
    </w:p>
    <w:p w14:paraId="09F13EE7" w14:textId="1F103746" w:rsidR="00D43F1C" w:rsidRPr="00D43F1C" w:rsidRDefault="00D43F1C" w:rsidP="00D43F1C">
      <w:pPr>
        <w:spacing w:after="0" w:line="240" w:lineRule="auto"/>
        <w:jc w:val="both"/>
        <w:rPr>
          <w:rFonts w:ascii="Times New Roman" w:eastAsia="Times New Roman" w:hAnsi="Times New Roman" w:cs="Times New Roman"/>
          <w:sz w:val="24"/>
          <w:szCs w:val="24"/>
          <w:lang w:eastAsia="es-CL"/>
        </w:rPr>
      </w:pPr>
    </w:p>
    <w:sectPr w:rsidR="00D43F1C" w:rsidRPr="00D43F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E5"/>
    <w:rsid w:val="000551D3"/>
    <w:rsid w:val="005757F8"/>
    <w:rsid w:val="00605B40"/>
    <w:rsid w:val="008D58DC"/>
    <w:rsid w:val="009422A2"/>
    <w:rsid w:val="00D253E5"/>
    <w:rsid w:val="00D43F1C"/>
    <w:rsid w:val="00DE3DC1"/>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BADE"/>
  <w15:chartTrackingRefBased/>
  <w15:docId w15:val="{AF01AFAD-C54B-4A0C-8A32-6BE5B17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5B4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05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0793">
      <w:bodyDiv w:val="1"/>
      <w:marLeft w:val="0"/>
      <w:marRight w:val="0"/>
      <w:marTop w:val="0"/>
      <w:marBottom w:val="0"/>
      <w:divBdr>
        <w:top w:val="none" w:sz="0" w:space="0" w:color="auto"/>
        <w:left w:val="none" w:sz="0" w:space="0" w:color="auto"/>
        <w:bottom w:val="none" w:sz="0" w:space="0" w:color="auto"/>
        <w:right w:val="none" w:sz="0" w:space="0" w:color="auto"/>
      </w:divBdr>
    </w:div>
    <w:div w:id="102166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680</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Carolina Marió Ceballos</cp:lastModifiedBy>
  <cp:revision>1</cp:revision>
  <dcterms:created xsi:type="dcterms:W3CDTF">2020-11-20T01:46:00Z</dcterms:created>
  <dcterms:modified xsi:type="dcterms:W3CDTF">2020-11-20T03:38:00Z</dcterms:modified>
</cp:coreProperties>
</file>