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65A91D96" w:rsidR="003A1FF6" w:rsidRPr="00294CF0" w:rsidRDefault="00294CF0" w:rsidP="00294CF0">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1D6969EA"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7E35A131" w14:textId="4AD5F331" w:rsidR="00327BD9" w:rsidRPr="00327BD9" w:rsidRDefault="00327BD9" w:rsidP="00FA62DA">
      <w:pPr>
        <w:jc w:val="both"/>
        <w:rPr>
          <w:color w:val="FF0000"/>
          <w:sz w:val="28"/>
          <w:szCs w:val="28"/>
        </w:rPr>
      </w:pPr>
      <w:r w:rsidRPr="00327BD9">
        <w:rPr>
          <w:color w:val="FF0000"/>
          <w:sz w:val="28"/>
          <w:szCs w:val="28"/>
        </w:rPr>
        <w:t>En proceso…</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016B8F34" w:rsidR="0009056C" w:rsidRPr="00D53956"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 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046C676B" w:rsidR="00D53956" w:rsidRP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Si bien la demanda de cereales y otros cultivos ha aumentado en los últimos años, reflejado en un incremento de los rendimientos de producción, las bajas inesperadas de la producción de trigo y maíz, entre otros cereales, debido a fenómenos meteorológicos han causado una gran sensibilidad de los precios.</w:t>
      </w:r>
    </w:p>
    <w:p w14:paraId="3C17ABAF" w14:textId="77777777" w:rsidR="00D53956" w:rsidRDefault="00D53956" w:rsidP="00327BD9">
      <w:pPr>
        <w:spacing w:after="0" w:line="240" w:lineRule="auto"/>
        <w:jc w:val="both"/>
        <w:rPr>
          <w:rFonts w:ascii="Calibri" w:eastAsia="Times New Roman" w:hAnsi="Calibri" w:cs="Calibri"/>
          <w:b/>
          <w:bCs/>
          <w:lang w:eastAsia="es-CL"/>
        </w:rPr>
      </w:pPr>
    </w:p>
    <w:p w14:paraId="28976861" w14:textId="1903A683"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77777777" w:rsidR="0009056C" w:rsidRDefault="0009056C" w:rsidP="00327BD9">
      <w:pPr>
        <w:spacing w:after="0" w:line="240" w:lineRule="auto"/>
        <w:jc w:val="both"/>
        <w:rPr>
          <w:rFonts w:ascii="Calibri" w:eastAsia="Times New Roman" w:hAnsi="Calibri" w:cs="Calibri"/>
          <w:b/>
          <w:bCs/>
          <w:lang w:eastAsia="es-CL"/>
        </w:rPr>
      </w:pPr>
    </w:p>
    <w:p w14:paraId="3BB7AA2C" w14:textId="77777777" w:rsidR="0009056C" w:rsidRDefault="0009056C" w:rsidP="00327BD9">
      <w:pPr>
        <w:spacing w:after="0" w:line="240" w:lineRule="auto"/>
        <w:jc w:val="both"/>
        <w:rPr>
          <w:rFonts w:ascii="Calibri" w:eastAsia="Times New Roman" w:hAnsi="Calibri" w:cs="Calibri"/>
          <w:b/>
          <w:bCs/>
          <w:lang w:eastAsia="es-CL"/>
        </w:rPr>
      </w:pPr>
    </w:p>
    <w:p w14:paraId="251ADE70" w14:textId="77777777" w:rsidR="0009056C" w:rsidRDefault="0009056C" w:rsidP="00327BD9">
      <w:pPr>
        <w:spacing w:after="0" w:line="240" w:lineRule="auto"/>
        <w:jc w:val="both"/>
        <w:rPr>
          <w:rFonts w:ascii="Calibri" w:eastAsia="Times New Roman" w:hAnsi="Calibri" w:cs="Calibri"/>
          <w:b/>
          <w:bCs/>
          <w:lang w:eastAsia="es-CL"/>
        </w:rPr>
      </w:pPr>
    </w:p>
    <w:p w14:paraId="7456DB91" w14:textId="77777777" w:rsidR="0009056C" w:rsidRDefault="0009056C" w:rsidP="00327BD9">
      <w:pPr>
        <w:spacing w:after="0" w:line="240" w:lineRule="auto"/>
        <w:jc w:val="both"/>
        <w:rPr>
          <w:rFonts w:ascii="Calibri" w:eastAsia="Times New Roman" w:hAnsi="Calibri" w:cs="Calibri"/>
          <w:b/>
          <w:bCs/>
          <w:lang w:eastAsia="es-CL"/>
        </w:rPr>
      </w:pPr>
    </w:p>
    <w:p w14:paraId="7974837D" w14:textId="77777777" w:rsidR="0009056C" w:rsidRDefault="0009056C" w:rsidP="00327BD9">
      <w:pPr>
        <w:spacing w:after="0" w:line="240" w:lineRule="auto"/>
        <w:jc w:val="both"/>
        <w:rPr>
          <w:rFonts w:ascii="Calibri" w:eastAsia="Times New Roman" w:hAnsi="Calibri" w:cs="Calibri"/>
          <w:b/>
          <w:bCs/>
          <w:lang w:eastAsia="es-CL"/>
        </w:rPr>
      </w:pPr>
    </w:p>
    <w:p w14:paraId="46BC6418" w14:textId="77777777" w:rsidR="0009056C" w:rsidRDefault="0009056C" w:rsidP="00327BD9">
      <w:pPr>
        <w:spacing w:after="0" w:line="240" w:lineRule="auto"/>
        <w:jc w:val="both"/>
        <w:rPr>
          <w:rFonts w:ascii="Calibri" w:eastAsia="Times New Roman" w:hAnsi="Calibri" w:cs="Calibri"/>
          <w:b/>
          <w:bCs/>
          <w:lang w:eastAsia="es-CL"/>
        </w:rPr>
      </w:pPr>
    </w:p>
    <w:p w14:paraId="1C89D057" w14:textId="77777777" w:rsidR="0009056C" w:rsidRDefault="0009056C" w:rsidP="00327BD9">
      <w:pPr>
        <w:spacing w:after="0" w:line="240" w:lineRule="auto"/>
        <w:jc w:val="both"/>
        <w:rPr>
          <w:rFonts w:ascii="Calibri" w:eastAsia="Times New Roman" w:hAnsi="Calibri" w:cs="Calibri"/>
          <w:b/>
          <w:bCs/>
          <w:lang w:eastAsia="es-CL"/>
        </w:rPr>
      </w:pPr>
    </w:p>
    <w:p w14:paraId="1DA34023" w14:textId="77777777" w:rsidR="0009056C" w:rsidRDefault="0009056C" w:rsidP="00327BD9">
      <w:pPr>
        <w:spacing w:after="0" w:line="240" w:lineRule="auto"/>
        <w:jc w:val="both"/>
        <w:rPr>
          <w:rFonts w:ascii="Calibri" w:eastAsia="Times New Roman" w:hAnsi="Calibri" w:cs="Calibri"/>
          <w:b/>
          <w:bCs/>
          <w:lang w:eastAsia="es-CL"/>
        </w:rPr>
      </w:pPr>
    </w:p>
    <w:p w14:paraId="292E2E3A" w14:textId="77777777" w:rsidR="0009056C" w:rsidRDefault="0009056C" w:rsidP="00327BD9">
      <w:pPr>
        <w:spacing w:after="0" w:line="240" w:lineRule="auto"/>
        <w:jc w:val="both"/>
        <w:rPr>
          <w:rFonts w:ascii="Calibri" w:eastAsia="Times New Roman" w:hAnsi="Calibri" w:cs="Calibri"/>
          <w:b/>
          <w:bCs/>
          <w:lang w:eastAsia="es-CL"/>
        </w:rPr>
      </w:pPr>
    </w:p>
    <w:p w14:paraId="6401B8F4" w14:textId="77777777" w:rsidR="0009056C" w:rsidRDefault="0009056C" w:rsidP="00327BD9">
      <w:pPr>
        <w:spacing w:after="0" w:line="240" w:lineRule="auto"/>
        <w:jc w:val="both"/>
        <w:rPr>
          <w:rFonts w:ascii="Calibri" w:eastAsia="Times New Roman" w:hAnsi="Calibri" w:cs="Calibri"/>
          <w:b/>
          <w:bCs/>
          <w:lang w:eastAsia="es-CL"/>
        </w:rPr>
      </w:pPr>
    </w:p>
    <w:p w14:paraId="651FAD6C" w14:textId="77777777" w:rsidR="0009056C" w:rsidRDefault="0009056C" w:rsidP="00327BD9">
      <w:pPr>
        <w:spacing w:after="0" w:line="240" w:lineRule="auto"/>
        <w:jc w:val="both"/>
        <w:rPr>
          <w:rFonts w:ascii="Calibri" w:eastAsia="Times New Roman" w:hAnsi="Calibri" w:cs="Calibri"/>
          <w:b/>
          <w:bCs/>
          <w:lang w:eastAsia="es-CL"/>
        </w:rPr>
      </w:pPr>
    </w:p>
    <w:p w14:paraId="20F3F448" w14:textId="77777777" w:rsidR="0009056C" w:rsidRDefault="0009056C" w:rsidP="00327BD9">
      <w:pPr>
        <w:spacing w:after="0" w:line="240" w:lineRule="auto"/>
        <w:jc w:val="both"/>
        <w:rPr>
          <w:rFonts w:ascii="Calibri" w:eastAsia="Times New Roman" w:hAnsi="Calibri" w:cs="Calibri"/>
          <w:b/>
          <w:bCs/>
          <w:lang w:eastAsia="es-CL"/>
        </w:rPr>
      </w:pPr>
    </w:p>
    <w:p w14:paraId="7884F784" w14:textId="77777777" w:rsidR="0009056C" w:rsidRDefault="0009056C" w:rsidP="00327BD9">
      <w:pPr>
        <w:spacing w:after="0" w:line="240" w:lineRule="auto"/>
        <w:jc w:val="both"/>
        <w:rPr>
          <w:rFonts w:ascii="Calibri" w:eastAsia="Times New Roman" w:hAnsi="Calibri" w:cs="Calibri"/>
          <w:b/>
          <w:bCs/>
          <w:lang w:eastAsia="es-CL"/>
        </w:rPr>
      </w:pPr>
    </w:p>
    <w:p w14:paraId="67CE22E1" w14:textId="77777777" w:rsidR="0009056C" w:rsidRDefault="0009056C" w:rsidP="00327BD9">
      <w:pPr>
        <w:spacing w:after="0" w:line="240" w:lineRule="auto"/>
        <w:jc w:val="both"/>
        <w:rPr>
          <w:rFonts w:ascii="Calibri" w:eastAsia="Times New Roman" w:hAnsi="Calibri" w:cs="Calibri"/>
          <w:b/>
          <w:bCs/>
          <w:lang w:eastAsia="es-CL"/>
        </w:rPr>
      </w:pPr>
    </w:p>
    <w:p w14:paraId="63AF6D17" w14:textId="201885B5"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13A40B86" id="_x0000_t202" coordsize="21600,21600" o:spt="202" path="m,l,21600r21600,l21600,xe">
                <v:stroke joinstyle="miter"/>
                <v:path gradientshapeok="t" o:connecttype="rect"/>
              </v:shapetype>
              <v:shape id="CuadroTexto 7" o:spid="_x0000_s1026"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4A10E22E" w:rsidR="00327BD9" w:rsidRDefault="00327BD9" w:rsidP="00FA62DA">
      <w:pPr>
        <w:jc w:val="both"/>
      </w:pPr>
    </w:p>
    <w:p w14:paraId="04C1EE35" w14:textId="0C69F687" w:rsidR="00327BD9" w:rsidRDefault="00327BD9" w:rsidP="00FA62DA">
      <w:pPr>
        <w:jc w:val="both"/>
      </w:pPr>
    </w:p>
    <w:p w14:paraId="5823635F" w14:textId="60A8148B" w:rsidR="00327BD9" w:rsidRDefault="00327BD9" w:rsidP="00FA62DA">
      <w:pPr>
        <w:jc w:val="both"/>
      </w:pPr>
    </w:p>
    <w:p w14:paraId="2B28FAF4" w14:textId="5E30300A" w:rsidR="00327BD9" w:rsidRDefault="00327BD9" w:rsidP="00FA62DA">
      <w:pPr>
        <w:jc w:val="both"/>
      </w:pPr>
    </w:p>
    <w:p w14:paraId="79AFE1D2" w14:textId="6B772E98" w:rsidR="00327BD9" w:rsidRPr="00327BD9" w:rsidRDefault="00327BD9" w:rsidP="00FA62DA">
      <w:pPr>
        <w:jc w:val="both"/>
        <w:rPr>
          <w:b/>
          <w:bCs/>
        </w:rPr>
      </w:pPr>
    </w:p>
    <w:p w14:paraId="5F071736" w14:textId="29C1D8FD"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5408" behindDoc="0" locked="0" layoutInCell="1" allowOverlap="1" wp14:anchorId="3F1864A2" wp14:editId="525A30AF">
                <wp:simplePos x="0" y="0"/>
                <wp:positionH relativeFrom="margin">
                  <wp:align>left</wp:align>
                </wp:positionH>
                <wp:positionV relativeFrom="paragraph">
                  <wp:posOffset>174625</wp:posOffset>
                </wp:positionV>
                <wp:extent cx="6343650" cy="2286000"/>
                <wp:effectExtent l="0" t="0" r="19050" b="19050"/>
                <wp:wrapNone/>
                <wp:docPr id="11" name="CuadroTexto 8"/>
                <wp:cNvGraphicFramePr/>
                <a:graphic xmlns:a="http://schemas.openxmlformats.org/drawingml/2006/main">
                  <a:graphicData uri="http://schemas.microsoft.com/office/word/2010/wordprocessingShape">
                    <wps:wsp>
                      <wps:cNvSpPr txBox="1"/>
                      <wps:spPr>
                        <a:xfrm>
                          <a:off x="0" y="0"/>
                          <a:ext cx="6343650" cy="22860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1864A2" id="CuadroTexto 8" o:spid="_x0000_s1027" type="#_x0000_t202" style="position:absolute;left:0;text-align:left;margin-left:0;margin-top:13.75pt;width:499.5pt;height:18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" fillcolor="white [3201]" strokecolor="#7f7f7f [1601]">
                <v:textbo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v:textbox>
                <w10:wrap anchorx="margin"/>
              </v:shape>
            </w:pict>
          </mc:Fallback>
        </mc:AlternateContent>
      </w:r>
      <w:r w:rsidRPr="00327BD9">
        <w:rPr>
          <w:rFonts w:ascii="Calibri" w:eastAsia="Times New Roman" w:hAnsi="Calibri" w:cs="Calibri"/>
          <w:b/>
          <w:bCs/>
          <w:lang w:eastAsia="es-CL"/>
        </w:rPr>
        <w:t>Consecuencias para la Salud y el Bienestar Humano</w:t>
      </w:r>
    </w:p>
    <w:p w14:paraId="5643806B" w14:textId="363CEC18" w:rsidR="00327BD9" w:rsidRDefault="00327BD9" w:rsidP="00FA62DA">
      <w:pPr>
        <w:jc w:val="both"/>
      </w:pP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068C4C93" w:rsidR="003E1159" w:rsidRDefault="003E1159" w:rsidP="00FA62DA">
      <w:pPr>
        <w:jc w:val="both"/>
        <w:rPr>
          <w:b/>
          <w:bCs/>
        </w:rPr>
      </w:pPr>
      <w:r w:rsidRPr="003E1159">
        <w:rPr>
          <w:b/>
          <w:bCs/>
          <w:highlight w:val="yellow"/>
        </w:rPr>
        <w:t>Referencias</w:t>
      </w:r>
    </w:p>
    <w:p w14:paraId="0FEA68FC" w14:textId="77777777" w:rsidR="00C5456C" w:rsidRDefault="00E319AC" w:rsidP="00C5456C">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F62E4A4" w:rsidR="00C5456C" w:rsidRPr="00C5456C" w:rsidRDefault="00C5456C" w:rsidP="00C5456C">
      <w:pPr>
        <w:spacing w:after="0" w:line="240" w:lineRule="auto"/>
        <w:jc w:val="both"/>
        <w:rPr>
          <w:rFonts w:ascii="Calibri" w:eastAsia="Times New Roman" w:hAnsi="Calibri" w:cs="Calibri"/>
          <w:color w:val="0563C1"/>
          <w:u w:val="single"/>
          <w:lang w:eastAsia="es-CL"/>
        </w:rPr>
      </w:pPr>
      <w:r w:rsidRPr="00C5456C">
        <w:t>(2)</w:t>
      </w:r>
    </w:p>
    <w:p w14:paraId="295A5D49" w14:textId="409467B3" w:rsidR="007D03A8" w:rsidRPr="00FD4022" w:rsidRDefault="00C5456C" w:rsidP="00FD4022">
      <w:pPr>
        <w:jc w:val="both"/>
        <w:rPr>
          <w:rFonts w:ascii="Calibri" w:eastAsia="Times New Roman" w:hAnsi="Calibri" w:cs="Calibri"/>
          <w:color w:val="0563C1"/>
          <w:u w:val="single"/>
          <w:lang w:eastAsia="es-CL"/>
        </w:rPr>
      </w:pPr>
      <w:r>
        <w:t xml:space="preserve">(3) </w:t>
      </w:r>
      <w:hyperlink r:id="rId13"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C5456C">
      <w:pPr>
        <w:spacing w:line="240" w:lineRule="auto"/>
        <w:jc w:val="both"/>
      </w:pPr>
      <w:r w:rsidRPr="007D03A8">
        <w:rPr>
          <w:rFonts w:ascii="Calibri" w:eastAsia="Times New Roman" w:hAnsi="Calibri" w:cs="Calibri"/>
          <w:lang w:eastAsia="es-CL"/>
        </w:rPr>
        <w:t xml:space="preserve">(4)  </w:t>
      </w:r>
      <w:hyperlink r:id="rId14"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1E4075CF" w:rsidR="00434100" w:rsidRPr="00C5456C" w:rsidRDefault="00FD4022" w:rsidP="00434100">
      <w:pPr>
        <w:spacing w:line="240" w:lineRule="auto"/>
        <w:jc w:val="both"/>
      </w:pPr>
      <w:r>
        <w:t xml:space="preserve">(5) </w:t>
      </w:r>
      <w:hyperlink r:id="rId15" w:history="1">
        <w:r w:rsidRPr="005A0DB0">
          <w:rPr>
            <w:rStyle w:val="Hipervnculo"/>
          </w:rPr>
          <w:t>https://www.eea.europa.eu/data-and-maps/indicators/ocean-acidification-3/assessment</w:t>
        </w:r>
      </w:hyperlink>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32E9B" w14:textId="77777777" w:rsidR="00022D03" w:rsidRDefault="00022D03" w:rsidP="00066D6B">
      <w:pPr>
        <w:spacing w:after="0" w:line="240" w:lineRule="auto"/>
      </w:pPr>
      <w:r>
        <w:separator/>
      </w:r>
    </w:p>
  </w:endnote>
  <w:endnote w:type="continuationSeparator" w:id="0">
    <w:p w14:paraId="557E8E58" w14:textId="77777777" w:rsidR="00022D03" w:rsidRDefault="00022D03"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BA4DE" w14:textId="77777777" w:rsidR="00022D03" w:rsidRDefault="00022D03" w:rsidP="00066D6B">
      <w:pPr>
        <w:spacing w:after="0" w:line="240" w:lineRule="auto"/>
      </w:pPr>
      <w:r>
        <w:separator/>
      </w:r>
    </w:p>
  </w:footnote>
  <w:footnote w:type="continuationSeparator" w:id="0">
    <w:p w14:paraId="4FC2BB92" w14:textId="77777777" w:rsidR="00022D03" w:rsidRDefault="00022D03"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2D03"/>
    <w:rsid w:val="00026DED"/>
    <w:rsid w:val="00033D59"/>
    <w:rsid w:val="00066D6B"/>
    <w:rsid w:val="0009056C"/>
    <w:rsid w:val="00160A58"/>
    <w:rsid w:val="00163F1E"/>
    <w:rsid w:val="00206EE3"/>
    <w:rsid w:val="0021565B"/>
    <w:rsid w:val="00257E24"/>
    <w:rsid w:val="00285217"/>
    <w:rsid w:val="00294CF0"/>
    <w:rsid w:val="00327BD9"/>
    <w:rsid w:val="00364ED1"/>
    <w:rsid w:val="003A1FF6"/>
    <w:rsid w:val="003C63A0"/>
    <w:rsid w:val="003E1159"/>
    <w:rsid w:val="00434100"/>
    <w:rsid w:val="00476379"/>
    <w:rsid w:val="004B625B"/>
    <w:rsid w:val="004E2CD4"/>
    <w:rsid w:val="00520C6A"/>
    <w:rsid w:val="006066A3"/>
    <w:rsid w:val="0062730F"/>
    <w:rsid w:val="00640604"/>
    <w:rsid w:val="00667A07"/>
    <w:rsid w:val="007D03A8"/>
    <w:rsid w:val="00823BB2"/>
    <w:rsid w:val="00996C00"/>
    <w:rsid w:val="00996D3F"/>
    <w:rsid w:val="00A76276"/>
    <w:rsid w:val="00AC6369"/>
    <w:rsid w:val="00B45D01"/>
    <w:rsid w:val="00B93202"/>
    <w:rsid w:val="00B96F86"/>
    <w:rsid w:val="00BB4C3F"/>
    <w:rsid w:val="00BF4350"/>
    <w:rsid w:val="00C5456C"/>
    <w:rsid w:val="00D31EE3"/>
    <w:rsid w:val="00D53956"/>
    <w:rsid w:val="00D6587B"/>
    <w:rsid w:val="00DD1ECF"/>
    <w:rsid w:val="00E319AC"/>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epdata.es/datos/cambio-climatico-datos-graficos/447" TargetMode="Externa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yperlink" Target="https://www.eea.europa.eu/data-and-maps/indicators/ocean-acidification-3/assessment"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www.star.nesdis.noaa.gov/sod/lsa/SeaLevelRise/)%20and%20Radar%20Altimeter%20Database%20System%20%20(http://www.deos.tudelft.nl/altim/ra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10169</TotalTime>
  <Pages>6</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24</cp:revision>
  <dcterms:created xsi:type="dcterms:W3CDTF">2020-09-30T23:39:00Z</dcterms:created>
  <dcterms:modified xsi:type="dcterms:W3CDTF">2020-10-14T21:39:00Z</dcterms:modified>
</cp:coreProperties>
</file>