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77777777" w:rsidR="003A1FF6" w:rsidRDefault="003A1FF6" w:rsidP="00476379">
      <w:pPr>
        <w:jc w:val="center"/>
        <w:rPr>
          <w:b/>
          <w:bCs/>
          <w:sz w:val="28"/>
          <w:szCs w:val="28"/>
        </w:rPr>
      </w:pP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68F348CE"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867DAA9"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77777777" w:rsidR="00B45D01" w:rsidRDefault="00B45D01"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7777777" w:rsidR="00B45D01" w:rsidRPr="00520C6A" w:rsidRDefault="00B45D01" w:rsidP="00B45D01">
      <w:pPr>
        <w:jc w:val="both"/>
        <w:rPr>
          <w:b/>
          <w:bCs/>
        </w:rPr>
      </w:pPr>
      <w:r w:rsidRPr="00520C6A">
        <w:rPr>
          <w:b/>
          <w:bCs/>
        </w:rPr>
        <w:t>Fuente: NSIDC/NASA</w:t>
      </w:r>
    </w:p>
    <w:p w14:paraId="5AF2A425" w14:textId="77777777" w:rsidR="00B45D01" w:rsidRDefault="00B45D01" w:rsidP="003C63A0">
      <w:pPr>
        <w:spacing w:after="0" w:line="240" w:lineRule="auto"/>
        <w:jc w:val="both"/>
        <w:rPr>
          <w:rFonts w:ascii="Calibri" w:eastAsia="Times New Roman" w:hAnsi="Calibri" w:cs="Times New Roman"/>
          <w:b/>
          <w:bCs/>
          <w:color w:val="000000"/>
          <w:lang w:eastAsia="es-CL"/>
        </w:rPr>
      </w:pPr>
    </w:p>
    <w:p w14:paraId="1E0BCB16" w14:textId="28B24AF7" w:rsidR="003C63A0" w:rsidRDefault="003C63A0" w:rsidP="003C63A0">
      <w:pPr>
        <w:spacing w:after="0" w:line="240" w:lineRule="auto"/>
        <w:jc w:val="both"/>
        <w:rPr>
          <w:rFonts w:ascii="Calibri" w:eastAsia="Times New Roman" w:hAnsi="Calibri" w:cs="Times New Roman"/>
          <w:b/>
          <w:bCs/>
          <w:color w:val="000000"/>
          <w:lang w:eastAsia="es-CL"/>
        </w:rPr>
      </w:pPr>
      <w:r>
        <w:rPr>
          <w:noProof/>
        </w:rPr>
        <mc:AlternateContent>
          <mc:Choice Requires="wps">
            <w:drawing>
              <wp:anchor distT="0" distB="0" distL="114300" distR="114300" simplePos="0" relativeHeight="251659264" behindDoc="0" locked="0" layoutInCell="1" allowOverlap="1" wp14:anchorId="574FA4E6" wp14:editId="76210784">
                <wp:simplePos x="0" y="0"/>
                <wp:positionH relativeFrom="margin">
                  <wp:align>left</wp:align>
                </wp:positionH>
                <wp:positionV relativeFrom="paragraph">
                  <wp:posOffset>170180</wp:posOffset>
                </wp:positionV>
                <wp:extent cx="5495925" cy="1066800"/>
                <wp:effectExtent l="0" t="0" r="28575" b="19050"/>
                <wp:wrapNone/>
                <wp:docPr id="4" name="CuadroTexto 3">
                  <a:extLst xmlns:a="http://schemas.openxmlformats.org/drawingml/2006/main">
                    <a:ext uri="{FF2B5EF4-FFF2-40B4-BE49-F238E27FC236}">
                      <a16:creationId xmlns:a16="http://schemas.microsoft.com/office/drawing/2014/main" id="{FD1E2C93-9D35-4F00-A96F-8F5483C1F4EA}"/>
                    </a:ext>
                  </a:extLst>
                </wp:docPr>
                <wp:cNvGraphicFramePr/>
                <a:graphic xmlns:a="http://schemas.openxmlformats.org/drawingml/2006/main">
                  <a:graphicData uri="http://schemas.microsoft.com/office/word/2010/wordprocessingShape">
                    <wps:wsp>
                      <wps:cNvSpPr txBox="1"/>
                      <wps:spPr>
                        <a:xfrm>
                          <a:off x="0" y="0"/>
                          <a:ext cx="5495925" cy="1066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74FA4E6" id="_x0000_t202" coordsize="21600,21600" o:spt="202" path="m,l,21600r21600,l21600,xe">
                <v:stroke joinstyle="miter"/>
                <v:path gradientshapeok="t" o:connecttype="rect"/>
              </v:shapetype>
              <v:shape id="CuadroTexto 3" o:spid="_x0000_s1026" type="#_x0000_t202" style="position:absolute;left:0;text-align:left;margin-left:0;margin-top:13.4pt;width:432.75pt;height: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" fillcolor="white [3201]" strokecolor="#7f7f7f [1601]">
                <v:textbo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v:textbox>
                <w10:wrap anchorx="margin"/>
              </v:shape>
            </w:pict>
          </mc:Fallback>
        </mc:AlternateContent>
      </w:r>
      <w:r w:rsidRPr="003C63A0">
        <w:rPr>
          <w:rFonts w:ascii="Calibri" w:eastAsia="Times New Roman" w:hAnsi="Calibri" w:cs="Times New Roman"/>
          <w:b/>
          <w:bCs/>
          <w:color w:val="000000"/>
          <w:lang w:eastAsia="es-CL"/>
        </w:rPr>
        <w:t>Cambios en el Nivel Medio del Mar</w:t>
      </w:r>
    </w:p>
    <w:p w14:paraId="10F552C0" w14:textId="77A3584A" w:rsidR="003C63A0" w:rsidRPr="003C63A0" w:rsidRDefault="003C63A0" w:rsidP="003C63A0">
      <w:pPr>
        <w:spacing w:after="0" w:line="240" w:lineRule="auto"/>
        <w:jc w:val="both"/>
        <w:rPr>
          <w:rFonts w:ascii="Calibri" w:eastAsia="Times New Roman" w:hAnsi="Calibri" w:cs="Times New Roman"/>
          <w:b/>
          <w:bCs/>
          <w:color w:val="000000"/>
          <w:lang w:eastAsia="es-CL"/>
        </w:rPr>
      </w:pPr>
    </w:p>
    <w:p w14:paraId="32CA4810" w14:textId="6C2A5B65" w:rsidR="003C63A0" w:rsidRDefault="003C63A0" w:rsidP="00FA62DA">
      <w:pPr>
        <w:jc w:val="both"/>
      </w:pPr>
    </w:p>
    <w:p w14:paraId="3001290E" w14:textId="68AA3850" w:rsidR="003C63A0" w:rsidRDefault="003C63A0" w:rsidP="00FA62DA">
      <w:pPr>
        <w:jc w:val="both"/>
      </w:pPr>
    </w:p>
    <w:p w14:paraId="653F5291" w14:textId="494F6808" w:rsidR="003C63A0" w:rsidRDefault="003C63A0" w:rsidP="00FA62DA">
      <w:pPr>
        <w:jc w:val="both"/>
      </w:pPr>
    </w:p>
    <w:p w14:paraId="0656CF34" w14:textId="4B57BEA1" w:rsidR="003C63A0" w:rsidRDefault="003C63A0" w:rsidP="00FA62DA">
      <w:pPr>
        <w:jc w:val="both"/>
      </w:pPr>
    </w:p>
    <w:p w14:paraId="0038FDEF" w14:textId="19486175" w:rsidR="003C63A0" w:rsidRDefault="00285217" w:rsidP="00FA62DA">
      <w:pPr>
        <w:jc w:val="both"/>
      </w:pPr>
      <w:r>
        <w:t>El aumento del nivel del mar se debe principalmente por el agua liberada por el derretimiento de las capas de hielo y los glaciares, en conjunto a la expansión del agua marina debido al aumento de su temperatura. Según datos de la Oficina Nacional de Administración Oceánica y Atmosférica</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0922444"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69FF931B"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BB5831" w14:textId="2C52C3FE" w:rsidR="00066D6B" w:rsidRDefault="00066D6B" w:rsidP="00FA62DA">
      <w:pPr>
        <w:jc w:val="both"/>
      </w:pPr>
      <w:r>
        <w:t>En las últimas décadas el pH de nuestros océanos ha disminuido en un 0,64%. Siguiendo esta tendencia, se prevé que para fines de este siglo el pH baje a valores entre 8.05 y 7.75</w:t>
      </w:r>
    </w:p>
    <w:p w14:paraId="7E35A131" w14:textId="4AD5F331" w:rsidR="00327BD9" w:rsidRPr="00327BD9" w:rsidRDefault="00327BD9" w:rsidP="00FA62DA">
      <w:pPr>
        <w:jc w:val="both"/>
        <w:rPr>
          <w:color w:val="FF0000"/>
          <w:sz w:val="28"/>
          <w:szCs w:val="28"/>
        </w:rPr>
      </w:pPr>
      <w:r w:rsidRPr="00327BD9">
        <w:rPr>
          <w:color w:val="FF0000"/>
          <w:sz w:val="28"/>
          <w:szCs w:val="28"/>
        </w:rPr>
        <w:t>En proceso…</w:t>
      </w:r>
    </w:p>
    <w:p w14:paraId="0BD5007E" w14:textId="22A6D639"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1312" behindDoc="0" locked="0" layoutInCell="1" allowOverlap="1" wp14:anchorId="789D4720" wp14:editId="49646A67">
                <wp:simplePos x="0" y="0"/>
                <wp:positionH relativeFrom="margin">
                  <wp:align>left</wp:align>
                </wp:positionH>
                <wp:positionV relativeFrom="paragraph">
                  <wp:posOffset>173355</wp:posOffset>
                </wp:positionV>
                <wp:extent cx="6391275" cy="2105025"/>
                <wp:effectExtent l="0" t="0" r="28575" b="28575"/>
                <wp:wrapNone/>
                <wp:docPr id="9" name="CuadroTexto 6"/>
                <wp:cNvGraphicFramePr/>
                <a:graphic xmlns:a="http://schemas.openxmlformats.org/drawingml/2006/main">
                  <a:graphicData uri="http://schemas.microsoft.com/office/word/2010/wordprocessingShape">
                    <wps:wsp>
                      <wps:cNvSpPr txBox="1"/>
                      <wps:spPr>
                        <a:xfrm>
                          <a:off x="0" y="0"/>
                          <a:ext cx="6391275" cy="21050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6BC1CE3" w14:textId="77777777" w:rsidR="00327BD9" w:rsidRDefault="00327BD9" w:rsidP="00327BD9">
                            <w:pPr>
                              <w:rPr>
                                <w:sz w:val="24"/>
                                <w:szCs w:val="24"/>
                              </w:rPr>
                            </w:pPr>
                            <w:r>
                              <w:rPr>
                                <w:rFonts w:hAnsi="Calibri"/>
                                <w:color w:val="000000" w:themeColor="dark1"/>
                              </w:rPr>
                              <w:t xml:space="preserve">En el ámbito terrestre, se observa que los impactos negativos del cambio climático en el rendimiento de los cultivos han sido mayores a los impactos positivos. Estos últimos se concentran en regiones de altas latitudes, para las cuales tampoco existen evidencias que el balance final sea positivo. Específicamente, se anotan bajas en el rendimiento del trigo y el maíz en el total global. En el caso de nuestro país, las zonas climáticas de la fruticultura y la silvicultura se verán desplazadas hacia el sur, producto de la reducción en los niveles esperados de precipitación y mayor temperatura. En materia de seguridad alimentaria, se observa una gran sensibilidad de los precios de los alimentos respecto de la ocurrencia de episodios climáticos extremos en las principales regiones de producción de alimentos y cereales. Por ejemplo, el pronunciado aumento de los precios del trigo y el maíz en los mercados internacionales en años recientes, tuvo como correlato episodios de sequía que azotaron a los Estados Unidos y Rusia, combinados con fuertes lluvias e inundaciones en Australia y Pakistán.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89D4720" id="CuadroTexto 6" o:spid="_x0000_s1027" type="#_x0000_t202" style="position:absolute;left:0;text-align:left;margin-left:0;margin-top:13.65pt;width:503.25pt;height:165.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" fillcolor="white [3201]" strokecolor="#7f7f7f [1601]">
                <v:textbox>
                  <w:txbxContent>
                    <w:p w14:paraId="06BC1CE3" w14:textId="77777777" w:rsidR="00327BD9" w:rsidRDefault="00327BD9" w:rsidP="00327BD9">
                      <w:pPr>
                        <w:rPr>
                          <w:sz w:val="24"/>
                          <w:szCs w:val="24"/>
                        </w:rPr>
                      </w:pPr>
                      <w:r>
                        <w:rPr>
                          <w:rFonts w:hAnsi="Calibri"/>
                          <w:color w:val="000000" w:themeColor="dark1"/>
                        </w:rPr>
                        <w:t xml:space="preserve">En el ámbito terrestre, se observa que los impactos negativos del cambio climático en el rendimiento de los cultivos han sido mayores a los impactos positivos. Estos últimos se concentran en regiones de altas latitudes, para las cuales tampoco existen evidencias que el balance final sea positivo. Específicamente, se anotan bajas en el rendimiento del trigo y el maíz en el total global. En el caso de nuestro país, las zonas climáticas de la fruticultura y la silvicultura se verán desplazadas hacia el sur, producto de la reducción en los niveles esperados de precipitación y mayor temperatura. En materia de seguridad alimentaria, se observa una gran sensibilidad de los precios de los alimentos respecto de la ocurrencia de episodios climáticos extremos en las principales regiones de producción de alimentos y cereales. Por ejemplo, el pronunciado aumento de los precios del trigo y el maíz en los mercados internacionales en años recientes, tuvo como correlato episodios de sequía que azotaron a los Estados Unidos y Rusia, combinados con fuertes lluvias e inundaciones en Australia y Pakistán. </w:t>
                      </w:r>
                    </w:p>
                  </w:txbxContent>
                </v:textbox>
                <w10:wrap anchorx="margin"/>
              </v:shape>
            </w:pict>
          </mc:Fallback>
        </mc:AlternateContent>
      </w:r>
      <w:r w:rsidRPr="00327BD9">
        <w:rPr>
          <w:rFonts w:ascii="Calibri" w:eastAsia="Times New Roman" w:hAnsi="Calibri" w:cs="Calibri"/>
          <w:b/>
          <w:bCs/>
          <w:lang w:eastAsia="es-CL"/>
        </w:rPr>
        <w:t>Desorganización de la Producción de Alimentos y el Suministro de Agua</w:t>
      </w:r>
    </w:p>
    <w:p w14:paraId="1EAFE8D3" w14:textId="65D0B7F7" w:rsidR="00327BD9" w:rsidRDefault="00327BD9" w:rsidP="00FA62DA">
      <w:pPr>
        <w:jc w:val="both"/>
      </w:pPr>
    </w:p>
    <w:p w14:paraId="132E6C47" w14:textId="76FCA8B2" w:rsidR="00327BD9" w:rsidRDefault="00327BD9" w:rsidP="00FA62DA">
      <w:pPr>
        <w:jc w:val="both"/>
      </w:pPr>
    </w:p>
    <w:p w14:paraId="55E0AAC0" w14:textId="27036BC8" w:rsidR="00327BD9" w:rsidRDefault="00327BD9" w:rsidP="00FA62DA">
      <w:pPr>
        <w:jc w:val="both"/>
      </w:pPr>
    </w:p>
    <w:p w14:paraId="494A9DF0" w14:textId="4E99E890" w:rsidR="00327BD9" w:rsidRDefault="00327BD9" w:rsidP="00FA62DA">
      <w:pPr>
        <w:jc w:val="both"/>
      </w:pPr>
    </w:p>
    <w:p w14:paraId="017BB721" w14:textId="022D262A" w:rsidR="00327BD9" w:rsidRDefault="00327BD9" w:rsidP="00FA62DA">
      <w:pPr>
        <w:jc w:val="both"/>
      </w:pPr>
    </w:p>
    <w:p w14:paraId="191DBD14" w14:textId="24EB6080" w:rsidR="00327BD9" w:rsidRDefault="00327BD9" w:rsidP="00FA62DA">
      <w:pPr>
        <w:jc w:val="both"/>
      </w:pPr>
    </w:p>
    <w:p w14:paraId="74E1CA7A" w14:textId="1521A6D1" w:rsidR="00327BD9" w:rsidRDefault="00327BD9" w:rsidP="00FA62DA">
      <w:pPr>
        <w:jc w:val="both"/>
      </w:pPr>
    </w:p>
    <w:p w14:paraId="47095ECA" w14:textId="4D86546F" w:rsidR="00327BD9" w:rsidRPr="00327BD9" w:rsidRDefault="00327BD9" w:rsidP="00FA62DA">
      <w:pPr>
        <w:jc w:val="both"/>
        <w:rPr>
          <w:b/>
          <w:bCs/>
        </w:rPr>
      </w:pPr>
    </w:p>
    <w:p w14:paraId="63AF6D17" w14:textId="1B842A72"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3A40B86" id="CuadroTexto 7" o:spid="_x0000_s1028"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4A10E22E" w:rsidR="00327BD9" w:rsidRDefault="00327BD9" w:rsidP="00FA62DA">
      <w:pPr>
        <w:jc w:val="both"/>
      </w:pPr>
    </w:p>
    <w:p w14:paraId="04C1EE35" w14:textId="0C69F687" w:rsidR="00327BD9" w:rsidRDefault="00327BD9" w:rsidP="00FA62DA">
      <w:pPr>
        <w:jc w:val="both"/>
      </w:pPr>
    </w:p>
    <w:p w14:paraId="5823635F" w14:textId="60A8148B" w:rsidR="00327BD9" w:rsidRDefault="00327BD9" w:rsidP="00FA62DA">
      <w:pPr>
        <w:jc w:val="both"/>
      </w:pPr>
    </w:p>
    <w:p w14:paraId="2B28FAF4" w14:textId="5E30300A" w:rsidR="00327BD9" w:rsidRDefault="00327BD9" w:rsidP="00FA62DA">
      <w:pPr>
        <w:jc w:val="both"/>
      </w:pPr>
    </w:p>
    <w:p w14:paraId="79AFE1D2" w14:textId="6B772E98" w:rsidR="00327BD9" w:rsidRPr="00327BD9" w:rsidRDefault="00327BD9" w:rsidP="00FA62DA">
      <w:pPr>
        <w:jc w:val="both"/>
        <w:rPr>
          <w:b/>
          <w:bCs/>
        </w:rPr>
      </w:pPr>
    </w:p>
    <w:p w14:paraId="5F071736" w14:textId="29C1D8FD"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5408" behindDoc="0" locked="0" layoutInCell="1" allowOverlap="1" wp14:anchorId="3F1864A2" wp14:editId="525A30AF">
                <wp:simplePos x="0" y="0"/>
                <wp:positionH relativeFrom="margin">
                  <wp:align>left</wp:align>
                </wp:positionH>
                <wp:positionV relativeFrom="paragraph">
                  <wp:posOffset>174625</wp:posOffset>
                </wp:positionV>
                <wp:extent cx="6343650" cy="2286000"/>
                <wp:effectExtent l="0" t="0" r="19050" b="19050"/>
                <wp:wrapNone/>
                <wp:docPr id="11" name="CuadroTexto 8"/>
                <wp:cNvGraphicFramePr/>
                <a:graphic xmlns:a="http://schemas.openxmlformats.org/drawingml/2006/main">
                  <a:graphicData uri="http://schemas.microsoft.com/office/word/2010/wordprocessingShape">
                    <wps:wsp>
                      <wps:cNvSpPr txBox="1"/>
                      <wps:spPr>
                        <a:xfrm>
                          <a:off x="0" y="0"/>
                          <a:ext cx="6343650" cy="22860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1864A2" id="CuadroTexto 8" o:spid="_x0000_s1029" type="#_x0000_t202" style="position:absolute;left:0;text-align:left;margin-left:0;margin-top:13.75pt;width:499.5pt;height:18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" fillcolor="white [3201]" strokecolor="#7f7f7f [1601]">
                <v:textbo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v:textbox>
                <w10:wrap anchorx="margin"/>
              </v:shape>
            </w:pict>
          </mc:Fallback>
        </mc:AlternateContent>
      </w:r>
      <w:r w:rsidRPr="00327BD9">
        <w:rPr>
          <w:rFonts w:ascii="Calibri" w:eastAsia="Times New Roman" w:hAnsi="Calibri" w:cs="Calibri"/>
          <w:b/>
          <w:bCs/>
          <w:lang w:eastAsia="es-CL"/>
        </w:rPr>
        <w:t>Consecuencias para la Salud y el Bienestar Humano</w:t>
      </w:r>
    </w:p>
    <w:p w14:paraId="5643806B" w14:textId="363CEC18" w:rsidR="00327BD9" w:rsidRDefault="00327BD9" w:rsidP="00FA62DA">
      <w:pPr>
        <w:jc w:val="both"/>
      </w:pP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76C0B563" w:rsidR="003E1159" w:rsidRDefault="003E1159" w:rsidP="00FA62DA">
      <w:pPr>
        <w:jc w:val="both"/>
        <w:rPr>
          <w:b/>
          <w:bCs/>
        </w:rPr>
      </w:pPr>
      <w:r w:rsidRPr="003E1159">
        <w:rPr>
          <w:b/>
          <w:bCs/>
          <w:highlight w:val="yellow"/>
        </w:rPr>
        <w:t>Referencias</w:t>
      </w:r>
    </w:p>
    <w:p w14:paraId="59FB8E19" w14:textId="3CF65161" w:rsidR="003E1159" w:rsidRDefault="00996C00" w:rsidP="00FA62DA">
      <w:pPr>
        <w:jc w:val="both"/>
        <w:rPr>
          <w:b/>
          <w:bCs/>
        </w:rPr>
      </w:pPr>
      <w:hyperlink r:id="rId12" w:history="1">
        <w:r w:rsidR="003E1159" w:rsidRPr="00792200">
          <w:rPr>
            <w:rStyle w:val="Hipervnculo"/>
            <w:b/>
            <w:bCs/>
          </w:rPr>
          <w:t>https://www.eea.europa.eu/data-and-maps/indicators/ocean-acidification-3/assessment</w:t>
        </w:r>
      </w:hyperlink>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5A0D1" w14:textId="77777777" w:rsidR="00996C00" w:rsidRDefault="00996C00" w:rsidP="00066D6B">
      <w:pPr>
        <w:spacing w:after="0" w:line="240" w:lineRule="auto"/>
      </w:pPr>
      <w:r>
        <w:separator/>
      </w:r>
    </w:p>
  </w:endnote>
  <w:endnote w:type="continuationSeparator" w:id="0">
    <w:p w14:paraId="6A554117" w14:textId="77777777" w:rsidR="00996C00" w:rsidRDefault="00996C00"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2BDDF" w14:textId="77777777" w:rsidR="00996C00" w:rsidRDefault="00996C00" w:rsidP="00066D6B">
      <w:pPr>
        <w:spacing w:after="0" w:line="240" w:lineRule="auto"/>
      </w:pPr>
      <w:r>
        <w:separator/>
      </w:r>
    </w:p>
  </w:footnote>
  <w:footnote w:type="continuationSeparator" w:id="0">
    <w:p w14:paraId="165E3974" w14:textId="77777777" w:rsidR="00996C00" w:rsidRDefault="00996C00"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160A58"/>
    <w:rsid w:val="00163F1E"/>
    <w:rsid w:val="00206EE3"/>
    <w:rsid w:val="00257E24"/>
    <w:rsid w:val="00285217"/>
    <w:rsid w:val="00327BD9"/>
    <w:rsid w:val="00364ED1"/>
    <w:rsid w:val="003A1FF6"/>
    <w:rsid w:val="003C63A0"/>
    <w:rsid w:val="003E1159"/>
    <w:rsid w:val="00476379"/>
    <w:rsid w:val="004B625B"/>
    <w:rsid w:val="00520C6A"/>
    <w:rsid w:val="006066A3"/>
    <w:rsid w:val="0062730F"/>
    <w:rsid w:val="00640604"/>
    <w:rsid w:val="00667A07"/>
    <w:rsid w:val="00823BB2"/>
    <w:rsid w:val="00996C00"/>
    <w:rsid w:val="00996D3F"/>
    <w:rsid w:val="00A76276"/>
    <w:rsid w:val="00AC6369"/>
    <w:rsid w:val="00B45D01"/>
    <w:rsid w:val="00B93202"/>
    <w:rsid w:val="00B96F86"/>
    <w:rsid w:val="00BF4350"/>
    <w:rsid w:val="00D6587B"/>
    <w:rsid w:val="00DD1ECF"/>
    <w:rsid w:val="00EA1FBE"/>
    <w:rsid w:val="00F96F61"/>
    <w:rsid w:val="00FA62DA"/>
    <w:rsid w:val="00FB0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www.eea.europa.eu/data-and-maps/indicators/ocean-acidification-3/assess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8902</TotalTime>
  <Pages>6</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15</cp:revision>
  <dcterms:created xsi:type="dcterms:W3CDTF">2020-09-30T23:39:00Z</dcterms:created>
  <dcterms:modified xsi:type="dcterms:W3CDTF">2020-10-12T21:02:00Z</dcterms:modified>
</cp:coreProperties>
</file>