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5A9B" w14:textId="220F8324" w:rsidR="009361D9" w:rsidRPr="009361D9" w:rsidRDefault="009361D9" w:rsidP="009361D9">
      <w:pPr>
        <w:jc w:val="center"/>
        <w:rPr>
          <w:b/>
          <w:lang w:val="es-ES"/>
        </w:rPr>
      </w:pPr>
      <w:r w:rsidRPr="009361D9">
        <w:rPr>
          <w:b/>
          <w:lang w:val="es-ES"/>
        </w:rPr>
        <w:t>Sistema económico</w:t>
      </w:r>
    </w:p>
    <w:p w14:paraId="46530ABC" w14:textId="77777777" w:rsidR="009361D9" w:rsidRPr="009361D9" w:rsidRDefault="009361D9" w:rsidP="00D572F4">
      <w:pPr>
        <w:jc w:val="both"/>
        <w:rPr>
          <w:b/>
          <w:lang w:val="es-ES"/>
        </w:rPr>
      </w:pPr>
    </w:p>
    <w:p w14:paraId="08D5CC5F" w14:textId="67CA2250" w:rsidR="00D572F4" w:rsidRPr="009361D9" w:rsidRDefault="00F2657E" w:rsidP="009361D9">
      <w:pPr>
        <w:pStyle w:val="Prrafodelista"/>
        <w:numPr>
          <w:ilvl w:val="0"/>
          <w:numId w:val="1"/>
        </w:numPr>
        <w:jc w:val="both"/>
        <w:rPr>
          <w:b/>
          <w:lang w:val="es-ES"/>
        </w:rPr>
      </w:pPr>
      <w:r w:rsidRPr="009361D9">
        <w:rPr>
          <w:b/>
          <w:lang w:val="es-ES"/>
        </w:rPr>
        <w:t>¿El Banco Central dejará de ser autónomo?</w:t>
      </w:r>
    </w:p>
    <w:p w14:paraId="7447D14B" w14:textId="77777777" w:rsidR="009361D9" w:rsidRPr="009361D9" w:rsidRDefault="009361D9" w:rsidP="00D572F4">
      <w:pPr>
        <w:jc w:val="both"/>
        <w:rPr>
          <w:lang w:val="es-ES"/>
        </w:rPr>
      </w:pPr>
    </w:p>
    <w:p w14:paraId="4A6FA852" w14:textId="1FE024E7" w:rsidR="003F4D70" w:rsidRDefault="00741506" w:rsidP="003F4D70">
      <w:pPr>
        <w:ind w:left="360"/>
        <w:jc w:val="both"/>
        <w:rPr>
          <w:lang w:val="es-ES"/>
        </w:rPr>
      </w:pPr>
      <w:r w:rsidRPr="009361D9">
        <w:rPr>
          <w:lang w:val="es-ES"/>
        </w:rPr>
        <w:t xml:space="preserve">De acuerdo </w:t>
      </w:r>
      <w:r w:rsidR="009361D9" w:rsidRPr="009361D9">
        <w:rPr>
          <w:lang w:val="es-ES"/>
        </w:rPr>
        <w:t xml:space="preserve">con </w:t>
      </w:r>
      <w:r w:rsidRPr="009361D9">
        <w:rPr>
          <w:lang w:val="es-ES"/>
        </w:rPr>
        <w:t xml:space="preserve">la propuesta de </w:t>
      </w:r>
      <w:r w:rsidR="000434D5">
        <w:rPr>
          <w:lang w:val="es-ES"/>
        </w:rPr>
        <w:t>nueva Constitución</w:t>
      </w:r>
      <w:r w:rsidRPr="009361D9">
        <w:rPr>
          <w:lang w:val="es-ES"/>
        </w:rPr>
        <w:t xml:space="preserve">, el Banco Central será un órgano autónomo (Artículo 357). Sin embargo, </w:t>
      </w:r>
      <w:r w:rsidR="009361D9" w:rsidRPr="009361D9">
        <w:rPr>
          <w:lang w:val="es-ES"/>
        </w:rPr>
        <w:t xml:space="preserve">el </w:t>
      </w:r>
      <w:r w:rsidR="00C604CE" w:rsidRPr="009361D9">
        <w:rPr>
          <w:lang w:val="es-ES"/>
        </w:rPr>
        <w:t>pleno de la Corte Suprema, a requerimiento de</w:t>
      </w:r>
      <w:r w:rsidR="009361D9" w:rsidRPr="009361D9">
        <w:rPr>
          <w:lang w:val="es-ES"/>
        </w:rPr>
        <w:t xml:space="preserve"> </w:t>
      </w:r>
      <w:r w:rsidRPr="009361D9">
        <w:rPr>
          <w:lang w:val="es-ES"/>
        </w:rPr>
        <w:t xml:space="preserve">consejeros puede tener origen por requerimiento de la mayoría de los diputados o representantes regionales en ejercicio </w:t>
      </w:r>
      <w:r w:rsidR="00DB095C" w:rsidRPr="009361D9">
        <w:rPr>
          <w:lang w:val="es-ES"/>
        </w:rPr>
        <w:t xml:space="preserve">o del </w:t>
      </w:r>
      <w:r w:rsidR="000434D5">
        <w:rPr>
          <w:lang w:val="es-ES"/>
        </w:rPr>
        <w:t>p</w:t>
      </w:r>
      <w:r w:rsidR="00DB095C" w:rsidRPr="009361D9">
        <w:rPr>
          <w:lang w:val="es-ES"/>
        </w:rPr>
        <w:t>residente de la República</w:t>
      </w:r>
      <w:r w:rsidR="00771010" w:rsidRPr="009361D9">
        <w:rPr>
          <w:lang w:val="es-ES"/>
        </w:rPr>
        <w:t xml:space="preserve"> (Artículo 363)</w:t>
      </w:r>
      <w:r w:rsidR="000434D5">
        <w:rPr>
          <w:lang w:val="es-ES"/>
        </w:rPr>
        <w:t>,</w:t>
      </w:r>
      <w:r w:rsidR="00771010" w:rsidRPr="009361D9">
        <w:rPr>
          <w:lang w:val="es-ES"/>
        </w:rPr>
        <w:t xml:space="preserve"> </w:t>
      </w:r>
      <w:r w:rsidRPr="009361D9">
        <w:rPr>
          <w:lang w:val="es-ES"/>
        </w:rPr>
        <w:t>mientras que en la actualidad aquello no es así (Artículo</w:t>
      </w:r>
      <w:r w:rsidR="00DD4DF7" w:rsidRPr="009361D9">
        <w:rPr>
          <w:lang w:val="es-ES"/>
        </w:rPr>
        <w:t>s</w:t>
      </w:r>
      <w:r w:rsidRPr="009361D9">
        <w:rPr>
          <w:lang w:val="es-ES"/>
        </w:rPr>
        <w:t xml:space="preserve"> 16 y 17 </w:t>
      </w:r>
      <w:r w:rsidR="000434D5">
        <w:rPr>
          <w:lang w:val="es-ES"/>
        </w:rPr>
        <w:t xml:space="preserve">de la </w:t>
      </w:r>
      <w:r w:rsidRPr="009361D9">
        <w:rPr>
          <w:lang w:val="es-ES"/>
        </w:rPr>
        <w:t xml:space="preserve">Ley </w:t>
      </w:r>
      <w:r w:rsidR="00DD4DF7" w:rsidRPr="009361D9">
        <w:rPr>
          <w:lang w:val="es-ES"/>
        </w:rPr>
        <w:t xml:space="preserve">Orgánica Constitucional del Banco Central). Además, </w:t>
      </w:r>
      <w:r w:rsidR="000434D5">
        <w:rPr>
          <w:lang w:val="es-ES"/>
        </w:rPr>
        <w:t xml:space="preserve">se constitucionaliza que </w:t>
      </w:r>
      <w:r w:rsidR="00DD4DF7" w:rsidRPr="009361D9">
        <w:rPr>
          <w:lang w:val="es-ES"/>
        </w:rPr>
        <w:t>las decisiones del Banco Central deben tener presente la orientación general de la política económica del Gobierno (Artículo 358)</w:t>
      </w:r>
      <w:r w:rsidR="000434D5">
        <w:rPr>
          <w:lang w:val="es-ES"/>
        </w:rPr>
        <w:t>, lo cual hoy se menciona en su ley orgánica</w:t>
      </w:r>
      <w:r w:rsidR="00DD4DF7" w:rsidRPr="009361D9">
        <w:rPr>
          <w:lang w:val="es-ES"/>
        </w:rPr>
        <w:t xml:space="preserve">. </w:t>
      </w:r>
    </w:p>
    <w:p w14:paraId="675C6EF6" w14:textId="77777777" w:rsidR="003F4D70" w:rsidRDefault="003F4D70" w:rsidP="000434D5">
      <w:pPr>
        <w:ind w:left="360"/>
        <w:jc w:val="both"/>
        <w:rPr>
          <w:lang w:val="es-ES"/>
        </w:rPr>
      </w:pPr>
    </w:p>
    <w:p w14:paraId="0D0E1116" w14:textId="74F47547" w:rsidR="00741506" w:rsidRPr="009361D9" w:rsidRDefault="000434D5" w:rsidP="000434D5">
      <w:pPr>
        <w:ind w:left="360"/>
        <w:jc w:val="both"/>
        <w:rPr>
          <w:lang w:val="es-ES"/>
        </w:rPr>
      </w:pPr>
      <w:r>
        <w:rPr>
          <w:lang w:val="es-ES"/>
        </w:rPr>
        <w:t>En resumen, s</w:t>
      </w:r>
      <w:r w:rsidR="00DD4DF7" w:rsidRPr="009361D9">
        <w:rPr>
          <w:lang w:val="es-ES"/>
        </w:rPr>
        <w:t>i bien se señala que el Banco Central será autónomo, los elementos mencionados podrían afectar su autonomía.</w:t>
      </w:r>
      <w:r w:rsidR="003F4D70">
        <w:rPr>
          <w:lang w:val="es-ES"/>
        </w:rPr>
        <w:t xml:space="preserve"> Posiblemente juzgados por sus votaciones, se debilita su real autonomía.  </w:t>
      </w:r>
    </w:p>
    <w:p w14:paraId="0A3E6B26" w14:textId="77777777" w:rsidR="003F4D70" w:rsidRDefault="003F4D70" w:rsidP="00D572F4">
      <w:pPr>
        <w:jc w:val="both"/>
      </w:pPr>
    </w:p>
    <w:p w14:paraId="0D5A8456" w14:textId="147FAF11" w:rsidR="00C604CE" w:rsidRPr="009361D9" w:rsidRDefault="00C604CE" w:rsidP="003F4D70">
      <w:pPr>
        <w:ind w:left="360"/>
        <w:jc w:val="both"/>
      </w:pPr>
      <w:r w:rsidRPr="009361D9">
        <w:t>Por otra parte</w:t>
      </w:r>
      <w:r w:rsidR="00AC0315">
        <w:t xml:space="preserve">, </w:t>
      </w:r>
      <w:r w:rsidRPr="009361D9">
        <w:t>se le impone al B</w:t>
      </w:r>
      <w:r w:rsidR="003F4D70">
        <w:t>anco Central</w:t>
      </w:r>
      <w:r w:rsidRPr="009361D9">
        <w:t xml:space="preserve"> </w:t>
      </w:r>
      <w:r w:rsidR="00516EDD" w:rsidRPr="009361D9">
        <w:t>considerar en sus decisiones “</w:t>
      </w:r>
      <w:r w:rsidRPr="009361D9">
        <w:t>la protección del empleo, el cuidado del medioambiente y del patrimonio natural</w:t>
      </w:r>
      <w:r w:rsidR="00516EDD" w:rsidRPr="009361D9">
        <w:t>” (art</w:t>
      </w:r>
      <w:r w:rsidR="003F4D70">
        <w:t>ículo</w:t>
      </w:r>
      <w:r w:rsidR="00516EDD" w:rsidRPr="009361D9">
        <w:t xml:space="preserve"> 358), materias importantes pero que </w:t>
      </w:r>
      <w:r w:rsidR="003F4D70" w:rsidRPr="009361D9">
        <w:t>les</w:t>
      </w:r>
      <w:r w:rsidR="00516EDD" w:rsidRPr="009361D9">
        <w:t xml:space="preserve"> corresponde a otros organismos del </w:t>
      </w:r>
      <w:r w:rsidR="003F4D70">
        <w:t>E</w:t>
      </w:r>
      <w:r w:rsidR="00516EDD" w:rsidRPr="009361D9">
        <w:t>stado</w:t>
      </w:r>
      <w:r w:rsidR="003F4D70">
        <w:t>,</w:t>
      </w:r>
      <w:r w:rsidR="00516EDD" w:rsidRPr="009361D9">
        <w:t xml:space="preserve"> y que</w:t>
      </w:r>
      <w:r w:rsidR="003F4D70">
        <w:t xml:space="preserve"> además</w:t>
      </w:r>
      <w:r w:rsidR="00516EDD" w:rsidRPr="009361D9">
        <w:t xml:space="preserve"> pueden distraer o distorsionar el rol fundamental del B</w:t>
      </w:r>
      <w:r w:rsidR="003F4D70">
        <w:t>anco Central</w:t>
      </w:r>
      <w:r w:rsidR="00516EDD" w:rsidRPr="009361D9">
        <w:t xml:space="preserve"> en el combate de la inflación y como órgano rector de la política monetaria.</w:t>
      </w:r>
    </w:p>
    <w:p w14:paraId="6FB231C9" w14:textId="77777777" w:rsidR="00194E90" w:rsidRPr="009361D9" w:rsidRDefault="00194E90" w:rsidP="00D572F4">
      <w:pPr>
        <w:jc w:val="both"/>
        <w:rPr>
          <w:lang w:val="es-ES"/>
        </w:rPr>
      </w:pPr>
    </w:p>
    <w:p w14:paraId="222CE016" w14:textId="043120E9" w:rsidR="00194E90" w:rsidRPr="003F4D70" w:rsidRDefault="00194E90" w:rsidP="003F4D70">
      <w:pPr>
        <w:pStyle w:val="Prrafodelista"/>
        <w:numPr>
          <w:ilvl w:val="0"/>
          <w:numId w:val="1"/>
        </w:numPr>
        <w:jc w:val="both"/>
        <w:rPr>
          <w:b/>
          <w:lang w:val="es-ES"/>
        </w:rPr>
      </w:pPr>
      <w:r w:rsidRPr="003F4D70">
        <w:rPr>
          <w:b/>
          <w:lang w:val="es-ES"/>
        </w:rPr>
        <w:t>¿Cómo se ve afectado el derecho de propiedad?</w:t>
      </w:r>
    </w:p>
    <w:p w14:paraId="207482BB" w14:textId="77777777" w:rsidR="00AC0315" w:rsidRDefault="00AC0315" w:rsidP="003F4D70">
      <w:pPr>
        <w:ind w:left="360"/>
        <w:jc w:val="both"/>
        <w:rPr>
          <w:lang w:val="es-ES"/>
        </w:rPr>
      </w:pPr>
    </w:p>
    <w:p w14:paraId="2E9D6D68" w14:textId="5ABBEC38" w:rsidR="00194E90" w:rsidRPr="009361D9" w:rsidRDefault="00F72677" w:rsidP="00AC0315">
      <w:pPr>
        <w:ind w:left="360"/>
        <w:jc w:val="both"/>
        <w:rPr>
          <w:lang w:val="es-ES"/>
        </w:rPr>
      </w:pPr>
      <w:r w:rsidRPr="009361D9">
        <w:rPr>
          <w:lang w:val="es-ES"/>
        </w:rPr>
        <w:t>En la</w:t>
      </w:r>
      <w:r w:rsidR="003F4D70">
        <w:rPr>
          <w:lang w:val="es-ES"/>
        </w:rPr>
        <w:t xml:space="preserve"> propuesta de</w:t>
      </w:r>
      <w:r w:rsidRPr="009361D9">
        <w:rPr>
          <w:lang w:val="es-ES"/>
        </w:rPr>
        <w:t xml:space="preserve"> </w:t>
      </w:r>
      <w:r w:rsidR="003F4D70">
        <w:rPr>
          <w:lang w:val="es-ES"/>
        </w:rPr>
        <w:t>nueva Constitución</w:t>
      </w:r>
      <w:r w:rsidRPr="009361D9">
        <w:rPr>
          <w:lang w:val="es-ES"/>
        </w:rPr>
        <w:t xml:space="preserve">, toda persona natural o jurídica tiene derecho de propiedad, sin embargo, en caso de expropiación, se indemniza por el </w:t>
      </w:r>
      <w:r w:rsidR="00516EDD" w:rsidRPr="009361D9">
        <w:rPr>
          <w:lang w:val="es-ES"/>
        </w:rPr>
        <w:t>“</w:t>
      </w:r>
      <w:r w:rsidRPr="009361D9">
        <w:rPr>
          <w:lang w:val="es-ES"/>
        </w:rPr>
        <w:t>justo precio</w:t>
      </w:r>
      <w:r w:rsidR="00516EDD" w:rsidRPr="009361D9">
        <w:rPr>
          <w:lang w:val="es-ES"/>
        </w:rPr>
        <w:t>”</w:t>
      </w:r>
      <w:r w:rsidRPr="009361D9">
        <w:rPr>
          <w:lang w:val="es-ES"/>
        </w:rPr>
        <w:t xml:space="preserve"> del bien (Artículo 78). En la actua</w:t>
      </w:r>
      <w:r w:rsidR="00233949" w:rsidRPr="009361D9">
        <w:rPr>
          <w:lang w:val="es-ES"/>
        </w:rPr>
        <w:t xml:space="preserve">l constitución, la indemnización es por el daño patrimonial efectivamente causado (Artículo 19). </w:t>
      </w:r>
      <w:r w:rsidR="00AC0315">
        <w:rPr>
          <w:lang w:val="es-ES"/>
        </w:rPr>
        <w:t>En el texto que se plebiscitará n</w:t>
      </w:r>
      <w:r w:rsidR="00233949" w:rsidRPr="009361D9">
        <w:rPr>
          <w:lang w:val="es-ES"/>
        </w:rPr>
        <w:t xml:space="preserve">o </w:t>
      </w:r>
      <w:r w:rsidR="00516EDD" w:rsidRPr="009361D9">
        <w:rPr>
          <w:lang w:val="es-ES"/>
        </w:rPr>
        <w:t xml:space="preserve">se define lo </w:t>
      </w:r>
      <w:r w:rsidR="00233949" w:rsidRPr="009361D9">
        <w:rPr>
          <w:lang w:val="es-ES"/>
        </w:rPr>
        <w:t>que se entiende por “justo precio”</w:t>
      </w:r>
      <w:r w:rsidR="00516EDD" w:rsidRPr="009361D9">
        <w:rPr>
          <w:lang w:val="es-ES"/>
        </w:rPr>
        <w:t xml:space="preserve"> y podría ocurrir que los criterios para determinarlo deriven </w:t>
      </w:r>
      <w:r w:rsidR="00794EEE" w:rsidRPr="009361D9">
        <w:rPr>
          <w:lang w:val="es-ES"/>
        </w:rPr>
        <w:t>en</w:t>
      </w:r>
      <w:r w:rsidR="00A20E98" w:rsidRPr="009361D9">
        <w:rPr>
          <w:lang w:val="es-ES"/>
        </w:rPr>
        <w:t xml:space="preserve"> que en caso de expropiación </w:t>
      </w:r>
      <w:r w:rsidR="00F67941" w:rsidRPr="009361D9">
        <w:rPr>
          <w:lang w:val="es-ES"/>
        </w:rPr>
        <w:t>la indemnización sea por un valor distinto al valor de mercado de los bienes expropiados.</w:t>
      </w:r>
      <w:r w:rsidR="00794EEE" w:rsidRPr="009361D9">
        <w:rPr>
          <w:lang w:val="es-ES"/>
        </w:rPr>
        <w:t xml:space="preserve"> Por otra parte, la actual </w:t>
      </w:r>
      <w:r w:rsidR="00AC0315">
        <w:rPr>
          <w:lang w:val="es-ES"/>
        </w:rPr>
        <w:t>C</w:t>
      </w:r>
      <w:r w:rsidR="00794EEE" w:rsidRPr="009361D9">
        <w:rPr>
          <w:lang w:val="es-ES"/>
        </w:rPr>
        <w:t>onstitución estable</w:t>
      </w:r>
      <w:r w:rsidR="007729AE">
        <w:rPr>
          <w:lang w:val="es-ES"/>
        </w:rPr>
        <w:t>ce</w:t>
      </w:r>
      <w:r w:rsidR="00794EEE" w:rsidRPr="009361D9">
        <w:rPr>
          <w:lang w:val="es-ES"/>
        </w:rPr>
        <w:t xml:space="preserve"> el pago previo (a la ocupación del bien expropiado) y al contado, </w:t>
      </w:r>
      <w:r w:rsidR="00AC0315">
        <w:rPr>
          <w:lang w:val="es-ES"/>
        </w:rPr>
        <w:t xml:space="preserve">mientras que en el proyecto se </w:t>
      </w:r>
      <w:r w:rsidR="00794EEE" w:rsidRPr="009361D9">
        <w:rPr>
          <w:lang w:val="es-ES"/>
        </w:rPr>
        <w:t xml:space="preserve">establece que la persona podrá reclamar “del monto y la forma de pago”, por lo que, además de </w:t>
      </w:r>
      <w:r w:rsidR="007747D2" w:rsidRPr="009361D9">
        <w:rPr>
          <w:lang w:val="es-ES"/>
        </w:rPr>
        <w:t>relativizar el precio, se debilita el derecho de propiedad toda vez que el estado podría pagar en cuotas, en bonos u otras formas en desmedro del afectado.</w:t>
      </w:r>
    </w:p>
    <w:p w14:paraId="687AF835" w14:textId="77777777" w:rsidR="006F67BF" w:rsidRPr="009361D9" w:rsidRDefault="006F67BF" w:rsidP="00D572F4">
      <w:pPr>
        <w:jc w:val="both"/>
        <w:rPr>
          <w:lang w:val="es-ES"/>
        </w:rPr>
      </w:pPr>
    </w:p>
    <w:p w14:paraId="509109C1" w14:textId="5D793240" w:rsidR="006F67BF" w:rsidRPr="00AC0315" w:rsidRDefault="006F67BF" w:rsidP="00AC0315">
      <w:pPr>
        <w:pStyle w:val="Prrafodelista"/>
        <w:numPr>
          <w:ilvl w:val="0"/>
          <w:numId w:val="1"/>
        </w:numPr>
        <w:jc w:val="both"/>
        <w:rPr>
          <w:b/>
          <w:lang w:val="es-ES"/>
        </w:rPr>
      </w:pPr>
      <w:r w:rsidRPr="00AC0315">
        <w:rPr>
          <w:b/>
          <w:lang w:val="es-ES"/>
        </w:rPr>
        <w:t>¿El sistema de pensiones será público de reparto?</w:t>
      </w:r>
    </w:p>
    <w:p w14:paraId="721B592F" w14:textId="77777777" w:rsidR="00AC0315" w:rsidRDefault="00AC0315" w:rsidP="00AC0315">
      <w:pPr>
        <w:ind w:firstLine="360"/>
        <w:jc w:val="both"/>
        <w:rPr>
          <w:lang w:val="es-ES"/>
        </w:rPr>
      </w:pPr>
    </w:p>
    <w:p w14:paraId="7062DCAA" w14:textId="77777777" w:rsidR="007B4883" w:rsidRDefault="00502861" w:rsidP="00AC0315">
      <w:pPr>
        <w:ind w:left="360"/>
        <w:jc w:val="both"/>
        <w:rPr>
          <w:lang w:val="es-ES"/>
        </w:rPr>
      </w:pPr>
      <w:r w:rsidRPr="009361D9">
        <w:rPr>
          <w:lang w:val="es-ES"/>
        </w:rPr>
        <w:t>Según se señala en la</w:t>
      </w:r>
      <w:r w:rsidR="00AC0315">
        <w:rPr>
          <w:lang w:val="es-ES"/>
        </w:rPr>
        <w:t xml:space="preserve"> propuesta de nueva Constitución,</w:t>
      </w:r>
      <w:r w:rsidRPr="009361D9">
        <w:rPr>
          <w:lang w:val="es-ES"/>
        </w:rPr>
        <w:t xml:space="preserve"> la ley establecerá un sistema de seguridad social público (Artículo 45). </w:t>
      </w:r>
      <w:r w:rsidR="007747D2" w:rsidRPr="009361D9">
        <w:rPr>
          <w:lang w:val="es-ES"/>
        </w:rPr>
        <w:t xml:space="preserve">En su inciso 3 señala que </w:t>
      </w:r>
      <w:r w:rsidR="007B4883">
        <w:t>e</w:t>
      </w:r>
      <w:r w:rsidR="007747D2" w:rsidRPr="009361D9">
        <w:t>l Estado define la política de seguridad social. Esta se financiará por trabajadoras, trabajadores</w:t>
      </w:r>
      <w:r w:rsidR="007B4883">
        <w:t xml:space="preserve"> y</w:t>
      </w:r>
      <w:r w:rsidR="007747D2" w:rsidRPr="009361D9">
        <w:t xml:space="preserve"> empleadores, a través de cotizaciones obligatorias y rentas generales de la nación. Los </w:t>
      </w:r>
      <w:r w:rsidR="007747D2" w:rsidRPr="009361D9">
        <w:lastRenderedPageBreak/>
        <w:t>recursos con que se financie la seguridad social no podrán ser destinados a fines distintos que el pago de los beneficios que establezca el sistema.</w:t>
      </w:r>
      <w:r w:rsidR="007242F0" w:rsidRPr="009361D9">
        <w:rPr>
          <w:lang w:val="es-ES"/>
        </w:rPr>
        <w:t xml:space="preserve"> </w:t>
      </w:r>
    </w:p>
    <w:p w14:paraId="0863ABC7" w14:textId="77777777" w:rsidR="007B4883" w:rsidRDefault="007B4883" w:rsidP="00AC0315">
      <w:pPr>
        <w:ind w:left="360"/>
        <w:jc w:val="both"/>
        <w:rPr>
          <w:lang w:val="es-ES"/>
        </w:rPr>
      </w:pPr>
    </w:p>
    <w:p w14:paraId="775F5EDD" w14:textId="3837F2C7" w:rsidR="007B4883" w:rsidRDefault="007242F0" w:rsidP="00AC0315">
      <w:pPr>
        <w:ind w:left="360"/>
        <w:jc w:val="both"/>
        <w:rPr>
          <w:lang w:val="es-ES"/>
        </w:rPr>
      </w:pPr>
      <w:r w:rsidRPr="009361D9">
        <w:rPr>
          <w:lang w:val="es-ES"/>
        </w:rPr>
        <w:t xml:space="preserve">Por ende, si bien no está explícito en </w:t>
      </w:r>
      <w:r w:rsidR="007B4883">
        <w:rPr>
          <w:lang w:val="es-ES"/>
        </w:rPr>
        <w:t>el texto</w:t>
      </w:r>
      <w:r w:rsidRPr="009361D9">
        <w:rPr>
          <w:lang w:val="es-ES"/>
        </w:rPr>
        <w:t xml:space="preserve">, </w:t>
      </w:r>
      <w:r w:rsidR="007B4883">
        <w:rPr>
          <w:lang w:val="es-ES"/>
        </w:rPr>
        <w:t xml:space="preserve">entendemos que </w:t>
      </w:r>
      <w:r w:rsidRPr="009361D9">
        <w:rPr>
          <w:lang w:val="es-ES"/>
        </w:rPr>
        <w:t xml:space="preserve">el sistema de pensiones </w:t>
      </w:r>
      <w:r w:rsidR="0006667E" w:rsidRPr="009361D9">
        <w:rPr>
          <w:lang w:val="es-ES"/>
        </w:rPr>
        <w:t xml:space="preserve">descrito corresponde </w:t>
      </w:r>
      <w:r w:rsidRPr="009361D9">
        <w:rPr>
          <w:lang w:val="es-ES"/>
        </w:rPr>
        <w:t>a</w:t>
      </w:r>
      <w:r w:rsidR="007B4883">
        <w:rPr>
          <w:lang w:val="es-ES"/>
        </w:rPr>
        <w:t xml:space="preserve"> las bases de</w:t>
      </w:r>
      <w:r w:rsidRPr="009361D9">
        <w:rPr>
          <w:lang w:val="es-ES"/>
        </w:rPr>
        <w:t xml:space="preserve"> uno de reparto</w:t>
      </w:r>
      <w:r w:rsidR="0006667E" w:rsidRPr="009361D9">
        <w:rPr>
          <w:lang w:val="es-ES"/>
        </w:rPr>
        <w:t>, toda vez que los recursos obtenidos de las cotizaciones no podrían destinarse por ejemplo a los herederos de un trabajador fallecido. Incluso no podrían invertirse para aumentar su rentabilidad, si se interpreta literalmente el texto</w:t>
      </w:r>
      <w:r w:rsidR="007B4883">
        <w:rPr>
          <w:lang w:val="es-ES"/>
        </w:rPr>
        <w:t xml:space="preserve">. </w:t>
      </w:r>
    </w:p>
    <w:p w14:paraId="18FCD154" w14:textId="77777777" w:rsidR="007B4883" w:rsidRDefault="007B4883" w:rsidP="00AC0315">
      <w:pPr>
        <w:ind w:left="360"/>
        <w:jc w:val="both"/>
        <w:rPr>
          <w:lang w:val="es-ES"/>
        </w:rPr>
      </w:pPr>
    </w:p>
    <w:p w14:paraId="0D0613B3" w14:textId="2C85DE86" w:rsidR="000777FA" w:rsidRPr="007B4883" w:rsidRDefault="000777FA" w:rsidP="007B4883">
      <w:pPr>
        <w:pStyle w:val="Prrafodelista"/>
        <w:numPr>
          <w:ilvl w:val="0"/>
          <w:numId w:val="1"/>
        </w:numPr>
        <w:jc w:val="both"/>
        <w:rPr>
          <w:b/>
          <w:lang w:val="es-ES"/>
        </w:rPr>
      </w:pPr>
      <w:r w:rsidRPr="007B4883">
        <w:rPr>
          <w:b/>
          <w:lang w:val="es-ES"/>
        </w:rPr>
        <w:t>¿</w:t>
      </w:r>
      <w:r w:rsidR="00D94982" w:rsidRPr="007B4883">
        <w:rPr>
          <w:b/>
          <w:lang w:val="es-ES"/>
        </w:rPr>
        <w:t>Podrán los gobiernos locales emitir deuda</w:t>
      </w:r>
      <w:r w:rsidRPr="007B4883">
        <w:rPr>
          <w:b/>
          <w:lang w:val="es-ES"/>
        </w:rPr>
        <w:t>?</w:t>
      </w:r>
    </w:p>
    <w:p w14:paraId="4F7E6749" w14:textId="77777777" w:rsidR="007B4883" w:rsidRDefault="007B4883" w:rsidP="00D572F4">
      <w:pPr>
        <w:jc w:val="both"/>
        <w:rPr>
          <w:lang w:val="es-ES"/>
        </w:rPr>
      </w:pPr>
    </w:p>
    <w:p w14:paraId="3D2E77B2" w14:textId="7F672452" w:rsidR="000777FA" w:rsidRPr="009361D9" w:rsidRDefault="00D94982" w:rsidP="007B4883">
      <w:pPr>
        <w:ind w:left="360"/>
        <w:jc w:val="both"/>
        <w:rPr>
          <w:lang w:val="es-ES"/>
        </w:rPr>
      </w:pPr>
      <w:r w:rsidRPr="009361D9">
        <w:rPr>
          <w:lang w:val="es-ES"/>
        </w:rPr>
        <w:t>Si</w:t>
      </w:r>
      <w:r w:rsidR="007B4883">
        <w:rPr>
          <w:lang w:val="es-ES"/>
        </w:rPr>
        <w:t xml:space="preserve">, </w:t>
      </w:r>
      <w:r w:rsidR="003614DA" w:rsidRPr="009361D9">
        <w:rPr>
          <w:lang w:val="es-ES"/>
        </w:rPr>
        <w:t>l</w:t>
      </w:r>
      <w:r w:rsidR="00885E7E" w:rsidRPr="009361D9">
        <w:rPr>
          <w:lang w:val="es-ES"/>
        </w:rPr>
        <w:t xml:space="preserve">os gobiernos regionales y locales </w:t>
      </w:r>
      <w:r w:rsidR="003614DA" w:rsidRPr="009361D9">
        <w:rPr>
          <w:lang w:val="es-ES"/>
        </w:rPr>
        <w:t xml:space="preserve">podrán emitir deuda bajo determinadas </w:t>
      </w:r>
      <w:r w:rsidRPr="009361D9">
        <w:rPr>
          <w:lang w:val="es-ES"/>
        </w:rPr>
        <w:t>limitaciones, entre otras</w:t>
      </w:r>
      <w:r w:rsidR="007B4883">
        <w:rPr>
          <w:lang w:val="es-ES"/>
        </w:rPr>
        <w:t>,</w:t>
      </w:r>
      <w:r w:rsidRPr="009361D9">
        <w:rPr>
          <w:lang w:val="es-ES"/>
        </w:rPr>
        <w:t xml:space="preserve"> </w:t>
      </w:r>
      <w:r w:rsidR="007B4883">
        <w:rPr>
          <w:lang w:val="es-ES"/>
        </w:rPr>
        <w:t xml:space="preserve">la de </w:t>
      </w:r>
      <w:r w:rsidRPr="009361D9">
        <w:rPr>
          <w:lang w:val="es-ES"/>
        </w:rPr>
        <w:t xml:space="preserve">no pagar gasto corriente ni remuneraciones </w:t>
      </w:r>
      <w:r w:rsidR="003614DA" w:rsidRPr="009361D9">
        <w:rPr>
          <w:lang w:val="es-ES"/>
        </w:rPr>
        <w:t>(Artículo 250). Pese a lo anterior, aquello pued</w:t>
      </w:r>
      <w:r w:rsidRPr="009361D9">
        <w:rPr>
          <w:lang w:val="es-ES"/>
        </w:rPr>
        <w:t>e</w:t>
      </w:r>
      <w:r w:rsidR="003614DA" w:rsidRPr="009361D9">
        <w:rPr>
          <w:lang w:val="es-ES"/>
        </w:rPr>
        <w:t xml:space="preserve"> dar como consecuencia</w:t>
      </w:r>
      <w:r w:rsidR="00A5616D" w:rsidRPr="009361D9">
        <w:rPr>
          <w:lang w:val="es-ES"/>
        </w:rPr>
        <w:t xml:space="preserve"> un incentivo a incrementar el endeudamiento público</w:t>
      </w:r>
      <w:r w:rsidR="007B4883">
        <w:rPr>
          <w:lang w:val="es-ES"/>
        </w:rPr>
        <w:t>,</w:t>
      </w:r>
      <w:r w:rsidR="00A5616D" w:rsidRPr="009361D9">
        <w:rPr>
          <w:lang w:val="es-ES"/>
        </w:rPr>
        <w:t xml:space="preserve"> </w:t>
      </w:r>
      <w:r w:rsidRPr="009361D9">
        <w:rPr>
          <w:lang w:val="es-ES"/>
        </w:rPr>
        <w:t xml:space="preserve">siendo dudoso que se cumpla con los principios de </w:t>
      </w:r>
      <w:r w:rsidR="00E27B4C" w:rsidRPr="009361D9">
        <w:rPr>
          <w:lang w:val="es-ES"/>
        </w:rPr>
        <w:t>eficiencia y responsabilidad fiscal</w:t>
      </w:r>
      <w:r w:rsidRPr="009361D9">
        <w:rPr>
          <w:lang w:val="es-ES"/>
        </w:rPr>
        <w:t xml:space="preserve">. Un municipio que presente una sobredotación de funcionarios y programas </w:t>
      </w:r>
      <w:r w:rsidR="00E27B4C" w:rsidRPr="009361D9">
        <w:rPr>
          <w:lang w:val="es-ES"/>
        </w:rPr>
        <w:t>asistencialistas</w:t>
      </w:r>
      <w:r w:rsidRPr="009361D9">
        <w:rPr>
          <w:lang w:val="es-ES"/>
        </w:rPr>
        <w:t xml:space="preserve"> no dispondrá de los recursos para obras o necesidades reales y podría obtenerlos vía endeudamiento</w:t>
      </w:r>
      <w:r w:rsidR="007B4883">
        <w:rPr>
          <w:lang w:val="es-ES"/>
        </w:rPr>
        <w:t>,</w:t>
      </w:r>
      <w:r w:rsidRPr="009361D9">
        <w:rPr>
          <w:lang w:val="es-ES"/>
        </w:rPr>
        <w:t xml:space="preserve"> sin dejar de pagar operadores y favores políticos</w:t>
      </w:r>
      <w:r w:rsidR="00E27B4C">
        <w:rPr>
          <w:lang w:val="es-ES"/>
        </w:rPr>
        <w:t xml:space="preserve">. </w:t>
      </w:r>
    </w:p>
    <w:p w14:paraId="622B3019" w14:textId="061FE00E" w:rsidR="002964F5" w:rsidRPr="009361D9" w:rsidRDefault="002964F5" w:rsidP="00D572F4">
      <w:pPr>
        <w:jc w:val="both"/>
        <w:rPr>
          <w:lang w:val="es-ES"/>
        </w:rPr>
      </w:pPr>
    </w:p>
    <w:p w14:paraId="0FE3285E" w14:textId="481DD000" w:rsidR="002964F5" w:rsidRDefault="002964F5" w:rsidP="00E27B4C">
      <w:pPr>
        <w:pStyle w:val="Prrafodelista"/>
        <w:numPr>
          <w:ilvl w:val="0"/>
          <w:numId w:val="1"/>
        </w:numPr>
        <w:jc w:val="both"/>
        <w:rPr>
          <w:b/>
          <w:bCs/>
          <w:lang w:val="es-ES"/>
        </w:rPr>
      </w:pPr>
      <w:r w:rsidRPr="00E27B4C">
        <w:rPr>
          <w:b/>
          <w:bCs/>
          <w:lang w:val="es-ES"/>
        </w:rPr>
        <w:t>¿Podrán los gobiernos regionales</w:t>
      </w:r>
      <w:r w:rsidR="00E27B4C">
        <w:rPr>
          <w:b/>
          <w:bCs/>
          <w:lang w:val="es-ES"/>
        </w:rPr>
        <w:t xml:space="preserve"> o</w:t>
      </w:r>
      <w:r w:rsidRPr="00E27B4C">
        <w:rPr>
          <w:b/>
          <w:bCs/>
          <w:lang w:val="es-ES"/>
        </w:rPr>
        <w:t xml:space="preserve"> locales conformar empresas públicas?</w:t>
      </w:r>
    </w:p>
    <w:p w14:paraId="3AC168DE" w14:textId="1F5A4C3C" w:rsidR="00E27B4C" w:rsidRDefault="00E27B4C" w:rsidP="00E27B4C">
      <w:pPr>
        <w:ind w:left="360"/>
        <w:jc w:val="both"/>
        <w:rPr>
          <w:b/>
          <w:bCs/>
          <w:lang w:val="es-ES"/>
        </w:rPr>
      </w:pPr>
    </w:p>
    <w:p w14:paraId="662B6D0A" w14:textId="39EC2A3C" w:rsidR="00E27B4C" w:rsidRPr="00E27B4C" w:rsidRDefault="00E27B4C" w:rsidP="00E27B4C">
      <w:pPr>
        <w:ind w:left="360"/>
        <w:jc w:val="both"/>
        <w:rPr>
          <w:b/>
          <w:bCs/>
          <w:lang w:val="es-ES"/>
        </w:rPr>
      </w:pPr>
      <w:r>
        <w:rPr>
          <w:lang w:val="es-ES"/>
        </w:rPr>
        <w:t xml:space="preserve">En efecto, se autoriza que las entidades territoriales creen empresas públicas como parte de las denominadas leyes de acuerdo regional (artículo 268, letra m). En el nivel municipal se establece en el artículo 214 y a nivel de la región en los artículos 220 y 224.  </w:t>
      </w:r>
    </w:p>
    <w:p w14:paraId="3AB2ADF3" w14:textId="77777777" w:rsidR="00A5616D" w:rsidRPr="009361D9" w:rsidRDefault="00A5616D" w:rsidP="00D572F4">
      <w:pPr>
        <w:jc w:val="both"/>
        <w:rPr>
          <w:lang w:val="es-ES"/>
        </w:rPr>
      </w:pPr>
    </w:p>
    <w:p w14:paraId="4FB3DCFB" w14:textId="4675A2AC" w:rsidR="00E27B4C" w:rsidRDefault="00AC3A16" w:rsidP="00D572F4">
      <w:pPr>
        <w:pStyle w:val="Prrafodelista"/>
        <w:numPr>
          <w:ilvl w:val="0"/>
          <w:numId w:val="1"/>
        </w:numPr>
        <w:jc w:val="both"/>
        <w:rPr>
          <w:b/>
          <w:lang w:val="es-ES"/>
        </w:rPr>
      </w:pPr>
      <w:r w:rsidRPr="00E27B4C">
        <w:rPr>
          <w:b/>
          <w:lang w:val="es-ES"/>
        </w:rPr>
        <w:t>¿</w:t>
      </w:r>
      <w:r w:rsidR="00D673A6">
        <w:rPr>
          <w:b/>
          <w:lang w:val="es-ES"/>
        </w:rPr>
        <w:t>Los futuros diputados y representantes regionales (actuales senadores)</w:t>
      </w:r>
      <w:r w:rsidRPr="00E27B4C">
        <w:rPr>
          <w:b/>
          <w:lang w:val="es-ES"/>
        </w:rPr>
        <w:t xml:space="preserve"> podrá</w:t>
      </w:r>
      <w:r w:rsidR="00D673A6">
        <w:rPr>
          <w:b/>
          <w:lang w:val="es-ES"/>
        </w:rPr>
        <w:t>n</w:t>
      </w:r>
      <w:r w:rsidRPr="00E27B4C">
        <w:rPr>
          <w:b/>
          <w:lang w:val="es-ES"/>
        </w:rPr>
        <w:t xml:space="preserve"> </w:t>
      </w:r>
      <w:r w:rsidR="00283F9A" w:rsidRPr="00E27B4C">
        <w:rPr>
          <w:b/>
          <w:lang w:val="es-ES"/>
        </w:rPr>
        <w:t>proponer proyectos de ley que irroguen gasto público?</w:t>
      </w:r>
    </w:p>
    <w:p w14:paraId="31D0E682" w14:textId="77777777" w:rsidR="00E27B4C" w:rsidRDefault="00E27B4C" w:rsidP="00E27B4C">
      <w:pPr>
        <w:ind w:left="360"/>
        <w:jc w:val="both"/>
        <w:rPr>
          <w:lang w:val="es-ES"/>
        </w:rPr>
      </w:pPr>
    </w:p>
    <w:p w14:paraId="6BFE3835" w14:textId="6D2B6E3C" w:rsidR="00DF37AE" w:rsidRDefault="00283F9A" w:rsidP="00DF37AE">
      <w:pPr>
        <w:ind w:left="360"/>
        <w:jc w:val="both"/>
        <w:rPr>
          <w:lang w:val="es-ES"/>
        </w:rPr>
      </w:pPr>
      <w:r w:rsidRPr="00E27B4C">
        <w:rPr>
          <w:lang w:val="es-ES"/>
        </w:rPr>
        <w:t>S</w:t>
      </w:r>
      <w:r w:rsidR="00E27B4C">
        <w:rPr>
          <w:lang w:val="es-ES"/>
        </w:rPr>
        <w:t>í</w:t>
      </w:r>
      <w:r w:rsidRPr="00E27B4C">
        <w:rPr>
          <w:lang w:val="es-ES"/>
        </w:rPr>
        <w:t>, en el artículo 266 se señala q</w:t>
      </w:r>
      <w:r w:rsidR="00D673A6">
        <w:rPr>
          <w:lang w:val="es-ES"/>
        </w:rPr>
        <w:t xml:space="preserve">ue </w:t>
      </w:r>
      <w:r w:rsidR="005C3D37">
        <w:rPr>
          <w:lang w:val="es-ES"/>
        </w:rPr>
        <w:t xml:space="preserve">las </w:t>
      </w:r>
      <w:r w:rsidR="005C3D37" w:rsidRPr="00E27B4C">
        <w:rPr>
          <w:lang w:val="es-ES"/>
        </w:rPr>
        <w:t>leyes de concurrencia presidencial necesaria corresponden</w:t>
      </w:r>
      <w:r w:rsidRPr="00E27B4C">
        <w:rPr>
          <w:lang w:val="es-ES"/>
        </w:rPr>
        <w:t xml:space="preserve"> a las que irroguen directamente gastos al Estado</w:t>
      </w:r>
      <w:r w:rsidR="00D673A6">
        <w:rPr>
          <w:lang w:val="es-ES"/>
        </w:rPr>
        <w:t xml:space="preserve"> y que estas </w:t>
      </w:r>
      <w:r w:rsidRPr="00E27B4C">
        <w:rPr>
          <w:lang w:val="es-ES"/>
        </w:rPr>
        <w:t>pueden tener su origen en un mensaje</w:t>
      </w:r>
      <w:r w:rsidR="00DD17BF" w:rsidRPr="00E27B4C">
        <w:rPr>
          <w:lang w:val="es-ES"/>
        </w:rPr>
        <w:t xml:space="preserve"> o en una moción</w:t>
      </w:r>
      <w:r w:rsidRPr="00E27B4C">
        <w:rPr>
          <w:lang w:val="es-ES"/>
        </w:rPr>
        <w:t xml:space="preserve"> (Artículo 267)</w:t>
      </w:r>
      <w:r w:rsidR="00D673A6">
        <w:rPr>
          <w:lang w:val="es-ES"/>
        </w:rPr>
        <w:t>. Aunque necesitan el patrocinio del Ejecutivo para convertirse en ley, e</w:t>
      </w:r>
      <w:r w:rsidR="002964F5" w:rsidRPr="009361D9">
        <w:rPr>
          <w:lang w:val="es-ES"/>
        </w:rPr>
        <w:t>n la práctica</w:t>
      </w:r>
      <w:r w:rsidR="00D673A6">
        <w:rPr>
          <w:lang w:val="es-ES"/>
        </w:rPr>
        <w:t>,</w:t>
      </w:r>
      <w:r w:rsidR="002964F5" w:rsidRPr="009361D9">
        <w:rPr>
          <w:lang w:val="es-ES"/>
        </w:rPr>
        <w:t xml:space="preserve"> el </w:t>
      </w:r>
      <w:proofErr w:type="gramStart"/>
      <w:r w:rsidR="002964F5" w:rsidRPr="009361D9">
        <w:rPr>
          <w:lang w:val="es-ES"/>
        </w:rPr>
        <w:t>Presidente</w:t>
      </w:r>
      <w:proofErr w:type="gramEnd"/>
      <w:r w:rsidR="002964F5" w:rsidRPr="009361D9">
        <w:rPr>
          <w:lang w:val="es-ES"/>
        </w:rPr>
        <w:t xml:space="preserve"> de la República pierde la iniciativa exclusiva y </w:t>
      </w:r>
      <w:r w:rsidR="00D673A6" w:rsidRPr="009361D9">
        <w:rPr>
          <w:lang w:val="es-ES"/>
        </w:rPr>
        <w:t>podrá</w:t>
      </w:r>
      <w:r w:rsidR="002964F5" w:rsidRPr="009361D9">
        <w:rPr>
          <w:lang w:val="es-ES"/>
        </w:rPr>
        <w:t xml:space="preserve"> ser emplazado a concurrir con su firma en aquellos proyectos parlamentarios que </w:t>
      </w:r>
      <w:r w:rsidR="00B2586E" w:rsidRPr="009361D9">
        <w:rPr>
          <w:lang w:val="es-ES"/>
        </w:rPr>
        <w:t>irroguen gasto, pagando eventualmente el costo político de no apoyar proyectos muy populares pero dañinos para el país.</w:t>
      </w:r>
      <w:r w:rsidR="00B2586E">
        <w:rPr>
          <w:lang w:val="es-ES"/>
        </w:rPr>
        <w:t xml:space="preserve"> </w:t>
      </w:r>
    </w:p>
    <w:p w14:paraId="591808A1" w14:textId="0A0FEC85" w:rsidR="00DF37AE" w:rsidRDefault="00DF37AE" w:rsidP="00DF37AE">
      <w:pPr>
        <w:ind w:left="360"/>
        <w:jc w:val="both"/>
        <w:rPr>
          <w:lang w:val="es-ES"/>
        </w:rPr>
      </w:pPr>
    </w:p>
    <w:p w14:paraId="1FF1709A" w14:textId="087D524D" w:rsidR="00DF37AE" w:rsidRDefault="00DF37AE" w:rsidP="00DF37AE">
      <w:pPr>
        <w:pStyle w:val="Prrafodelista"/>
        <w:numPr>
          <w:ilvl w:val="0"/>
          <w:numId w:val="1"/>
        </w:numPr>
        <w:jc w:val="both"/>
        <w:rPr>
          <w:b/>
          <w:bCs/>
          <w:lang w:val="es-ES"/>
        </w:rPr>
      </w:pPr>
      <w:r>
        <w:rPr>
          <w:b/>
          <w:bCs/>
          <w:lang w:val="es-ES"/>
        </w:rPr>
        <w:t xml:space="preserve">¿Las entidades territoriales podrán establecer tasas y contribuciones? </w:t>
      </w:r>
    </w:p>
    <w:p w14:paraId="4ACAFA69" w14:textId="4A58979A" w:rsidR="00DF37AE" w:rsidRDefault="00DF37AE" w:rsidP="00DF37AE">
      <w:pPr>
        <w:ind w:left="360"/>
        <w:jc w:val="both"/>
        <w:rPr>
          <w:b/>
          <w:bCs/>
          <w:lang w:val="es-ES"/>
        </w:rPr>
      </w:pPr>
    </w:p>
    <w:p w14:paraId="715F9ED9" w14:textId="7D177460" w:rsidR="00741506" w:rsidRPr="003E7F1C" w:rsidRDefault="00DF37AE" w:rsidP="003E7F1C">
      <w:pPr>
        <w:ind w:left="360"/>
        <w:jc w:val="both"/>
        <w:rPr>
          <w:bCs/>
          <w:lang w:val="es-ES"/>
        </w:rPr>
      </w:pPr>
      <w:r>
        <w:rPr>
          <w:bCs/>
          <w:lang w:val="es-ES"/>
        </w:rPr>
        <w:t>En efecto, podrán establecer tasas y contribuciones dentro de su territorio</w:t>
      </w:r>
      <w:r w:rsidR="003E7F1C">
        <w:rPr>
          <w:bCs/>
          <w:lang w:val="es-ES"/>
        </w:rPr>
        <w:t xml:space="preserve"> (artículo 185, numeral 4), lo cual constituye un cambio importante en este sistema. Además, en el mismo artículo, número 1, se señala que dentro de los objetivos del sistema tributario están la reducción de las desigualdades y la pobreza</w:t>
      </w:r>
      <w:r w:rsidR="009165CE">
        <w:rPr>
          <w:bCs/>
          <w:lang w:val="es-ES"/>
        </w:rPr>
        <w:t xml:space="preserve">, lo que podría derivar en </w:t>
      </w:r>
      <w:r w:rsidR="00701C14">
        <w:rPr>
          <w:bCs/>
          <w:lang w:val="es-ES"/>
        </w:rPr>
        <w:t xml:space="preserve">carga </w:t>
      </w:r>
      <w:r w:rsidR="00701C14">
        <w:rPr>
          <w:bCs/>
          <w:lang w:val="es-ES"/>
        </w:rPr>
        <w:lastRenderedPageBreak/>
        <w:t xml:space="preserve">tributara </w:t>
      </w:r>
      <w:r w:rsidR="00866E33">
        <w:rPr>
          <w:bCs/>
          <w:lang w:val="es-ES"/>
        </w:rPr>
        <w:t xml:space="preserve">diferente en </w:t>
      </w:r>
      <w:r w:rsidR="00701C14">
        <w:rPr>
          <w:bCs/>
          <w:lang w:val="es-ES"/>
        </w:rPr>
        <w:t>distintas regiones</w:t>
      </w:r>
      <w:r w:rsidR="00C62CBD">
        <w:rPr>
          <w:bCs/>
          <w:lang w:val="es-ES"/>
        </w:rPr>
        <w:t>, generando distorsiones y desincentivo a la inversión.</w:t>
      </w:r>
    </w:p>
    <w:p w14:paraId="7C5DD587" w14:textId="77777777" w:rsidR="00F2657E" w:rsidRPr="00D572F4" w:rsidRDefault="00F2657E" w:rsidP="00D572F4">
      <w:pPr>
        <w:jc w:val="both"/>
        <w:rPr>
          <w:lang w:val="es-ES"/>
        </w:rPr>
      </w:pPr>
    </w:p>
    <w:sectPr w:rsidR="00F2657E" w:rsidRPr="00D572F4" w:rsidSect="005735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23BBE"/>
    <w:multiLevelType w:val="hybridMultilevel"/>
    <w:tmpl w:val="D95C48E6"/>
    <w:lvl w:ilvl="0" w:tplc="824048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35676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2F4"/>
    <w:rsid w:val="000434D5"/>
    <w:rsid w:val="0006667E"/>
    <w:rsid w:val="000733BF"/>
    <w:rsid w:val="000777FA"/>
    <w:rsid w:val="000C2443"/>
    <w:rsid w:val="000F400E"/>
    <w:rsid w:val="00194E90"/>
    <w:rsid w:val="00233949"/>
    <w:rsid w:val="00283F9A"/>
    <w:rsid w:val="002964F5"/>
    <w:rsid w:val="003614DA"/>
    <w:rsid w:val="003E7F1C"/>
    <w:rsid w:val="003F4D70"/>
    <w:rsid w:val="0045153E"/>
    <w:rsid w:val="004D2D7D"/>
    <w:rsid w:val="004E3F68"/>
    <w:rsid w:val="004F59BB"/>
    <w:rsid w:val="00502861"/>
    <w:rsid w:val="00516EDD"/>
    <w:rsid w:val="00523A97"/>
    <w:rsid w:val="005735EB"/>
    <w:rsid w:val="005C3D37"/>
    <w:rsid w:val="00650D16"/>
    <w:rsid w:val="006F67BF"/>
    <w:rsid w:val="00701C14"/>
    <w:rsid w:val="007242F0"/>
    <w:rsid w:val="00741506"/>
    <w:rsid w:val="00771010"/>
    <w:rsid w:val="007729AE"/>
    <w:rsid w:val="007747D2"/>
    <w:rsid w:val="00794EEE"/>
    <w:rsid w:val="007B4883"/>
    <w:rsid w:val="00866E33"/>
    <w:rsid w:val="00871C57"/>
    <w:rsid w:val="00885E7E"/>
    <w:rsid w:val="009165CE"/>
    <w:rsid w:val="009361D9"/>
    <w:rsid w:val="00A20E98"/>
    <w:rsid w:val="00A5616D"/>
    <w:rsid w:val="00AC0315"/>
    <w:rsid w:val="00AC3A16"/>
    <w:rsid w:val="00B2586E"/>
    <w:rsid w:val="00B9773C"/>
    <w:rsid w:val="00BA0D34"/>
    <w:rsid w:val="00C604CE"/>
    <w:rsid w:val="00C62CBD"/>
    <w:rsid w:val="00D572F4"/>
    <w:rsid w:val="00D673A6"/>
    <w:rsid w:val="00D94982"/>
    <w:rsid w:val="00DB095C"/>
    <w:rsid w:val="00DD17BF"/>
    <w:rsid w:val="00DD4DF7"/>
    <w:rsid w:val="00DF37AE"/>
    <w:rsid w:val="00E27B4C"/>
    <w:rsid w:val="00F2657E"/>
    <w:rsid w:val="00F67941"/>
    <w:rsid w:val="00F72677"/>
    <w:rsid w:val="00FB39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0565"/>
  <w15:chartTrackingRefBased/>
  <w15:docId w15:val="{2B8CAF7D-EA2D-9247-B6ED-067CA416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771010"/>
  </w:style>
  <w:style w:type="character" w:styleId="Refdecomentario">
    <w:name w:val="annotation reference"/>
    <w:basedOn w:val="Fuentedeprrafopredeter"/>
    <w:uiPriority w:val="99"/>
    <w:semiHidden/>
    <w:unhideWhenUsed/>
    <w:rsid w:val="00771010"/>
    <w:rPr>
      <w:sz w:val="16"/>
      <w:szCs w:val="16"/>
    </w:rPr>
  </w:style>
  <w:style w:type="paragraph" w:styleId="Textocomentario">
    <w:name w:val="annotation text"/>
    <w:basedOn w:val="Normal"/>
    <w:link w:val="TextocomentarioCar"/>
    <w:uiPriority w:val="99"/>
    <w:unhideWhenUsed/>
    <w:rsid w:val="00771010"/>
    <w:rPr>
      <w:sz w:val="20"/>
      <w:szCs w:val="20"/>
    </w:rPr>
  </w:style>
  <w:style w:type="character" w:customStyle="1" w:styleId="TextocomentarioCar">
    <w:name w:val="Texto comentario Car"/>
    <w:basedOn w:val="Fuentedeprrafopredeter"/>
    <w:link w:val="Textocomentario"/>
    <w:uiPriority w:val="99"/>
    <w:rsid w:val="00771010"/>
    <w:rPr>
      <w:sz w:val="20"/>
      <w:szCs w:val="20"/>
    </w:rPr>
  </w:style>
  <w:style w:type="paragraph" w:styleId="Asuntodelcomentario">
    <w:name w:val="annotation subject"/>
    <w:basedOn w:val="Textocomentario"/>
    <w:next w:val="Textocomentario"/>
    <w:link w:val="AsuntodelcomentarioCar"/>
    <w:uiPriority w:val="99"/>
    <w:semiHidden/>
    <w:unhideWhenUsed/>
    <w:rsid w:val="00771010"/>
    <w:rPr>
      <w:b/>
      <w:bCs/>
    </w:rPr>
  </w:style>
  <w:style w:type="character" w:customStyle="1" w:styleId="AsuntodelcomentarioCar">
    <w:name w:val="Asunto del comentario Car"/>
    <w:basedOn w:val="TextocomentarioCar"/>
    <w:link w:val="Asuntodelcomentario"/>
    <w:uiPriority w:val="99"/>
    <w:semiHidden/>
    <w:rsid w:val="00771010"/>
    <w:rPr>
      <w:b/>
      <w:bCs/>
      <w:sz w:val="20"/>
      <w:szCs w:val="20"/>
    </w:rPr>
  </w:style>
  <w:style w:type="paragraph" w:styleId="Prrafodelista">
    <w:name w:val="List Paragraph"/>
    <w:basedOn w:val="Normal"/>
    <w:uiPriority w:val="34"/>
    <w:qFormat/>
    <w:rsid w:val="00936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8135">
      <w:bodyDiv w:val="1"/>
      <w:marLeft w:val="0"/>
      <w:marRight w:val="0"/>
      <w:marTop w:val="0"/>
      <w:marBottom w:val="0"/>
      <w:divBdr>
        <w:top w:val="none" w:sz="0" w:space="0" w:color="auto"/>
        <w:left w:val="none" w:sz="0" w:space="0" w:color="auto"/>
        <w:bottom w:val="none" w:sz="0" w:space="0" w:color="auto"/>
        <w:right w:val="none" w:sz="0" w:space="0" w:color="auto"/>
      </w:divBdr>
      <w:divsChild>
        <w:div w:id="565262547">
          <w:marLeft w:val="0"/>
          <w:marRight w:val="0"/>
          <w:marTop w:val="0"/>
          <w:marBottom w:val="0"/>
          <w:divBdr>
            <w:top w:val="none" w:sz="0" w:space="0" w:color="auto"/>
            <w:left w:val="none" w:sz="0" w:space="0" w:color="auto"/>
            <w:bottom w:val="none" w:sz="0" w:space="0" w:color="auto"/>
            <w:right w:val="none" w:sz="0" w:space="0" w:color="auto"/>
          </w:divBdr>
          <w:divsChild>
            <w:div w:id="1429619417">
              <w:marLeft w:val="0"/>
              <w:marRight w:val="0"/>
              <w:marTop w:val="0"/>
              <w:marBottom w:val="0"/>
              <w:divBdr>
                <w:top w:val="none" w:sz="0" w:space="0" w:color="auto"/>
                <w:left w:val="none" w:sz="0" w:space="0" w:color="auto"/>
                <w:bottom w:val="none" w:sz="0" w:space="0" w:color="auto"/>
                <w:right w:val="none" w:sz="0" w:space="0" w:color="auto"/>
              </w:divBdr>
              <w:divsChild>
                <w:div w:id="845096331">
                  <w:marLeft w:val="0"/>
                  <w:marRight w:val="0"/>
                  <w:marTop w:val="0"/>
                  <w:marBottom w:val="0"/>
                  <w:divBdr>
                    <w:top w:val="none" w:sz="0" w:space="0" w:color="auto"/>
                    <w:left w:val="none" w:sz="0" w:space="0" w:color="auto"/>
                    <w:bottom w:val="none" w:sz="0" w:space="0" w:color="auto"/>
                    <w:right w:val="none" w:sz="0" w:space="0" w:color="auto"/>
                  </w:divBdr>
                  <w:divsChild>
                    <w:div w:id="12392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631792">
      <w:bodyDiv w:val="1"/>
      <w:marLeft w:val="0"/>
      <w:marRight w:val="0"/>
      <w:marTop w:val="0"/>
      <w:marBottom w:val="0"/>
      <w:divBdr>
        <w:top w:val="none" w:sz="0" w:space="0" w:color="auto"/>
        <w:left w:val="none" w:sz="0" w:space="0" w:color="auto"/>
        <w:bottom w:val="none" w:sz="0" w:space="0" w:color="auto"/>
        <w:right w:val="none" w:sz="0" w:space="0" w:color="auto"/>
      </w:divBdr>
      <w:divsChild>
        <w:div w:id="1128544430">
          <w:marLeft w:val="0"/>
          <w:marRight w:val="0"/>
          <w:marTop w:val="0"/>
          <w:marBottom w:val="0"/>
          <w:divBdr>
            <w:top w:val="none" w:sz="0" w:space="0" w:color="auto"/>
            <w:left w:val="none" w:sz="0" w:space="0" w:color="auto"/>
            <w:bottom w:val="none" w:sz="0" w:space="0" w:color="auto"/>
            <w:right w:val="none" w:sz="0" w:space="0" w:color="auto"/>
          </w:divBdr>
          <w:divsChild>
            <w:div w:id="58872122">
              <w:marLeft w:val="0"/>
              <w:marRight w:val="0"/>
              <w:marTop w:val="0"/>
              <w:marBottom w:val="0"/>
              <w:divBdr>
                <w:top w:val="none" w:sz="0" w:space="0" w:color="auto"/>
                <w:left w:val="none" w:sz="0" w:space="0" w:color="auto"/>
                <w:bottom w:val="none" w:sz="0" w:space="0" w:color="auto"/>
                <w:right w:val="none" w:sz="0" w:space="0" w:color="auto"/>
              </w:divBdr>
              <w:divsChild>
                <w:div w:id="707071380">
                  <w:marLeft w:val="0"/>
                  <w:marRight w:val="0"/>
                  <w:marTop w:val="0"/>
                  <w:marBottom w:val="0"/>
                  <w:divBdr>
                    <w:top w:val="none" w:sz="0" w:space="0" w:color="auto"/>
                    <w:left w:val="none" w:sz="0" w:space="0" w:color="auto"/>
                    <w:bottom w:val="none" w:sz="0" w:space="0" w:color="auto"/>
                    <w:right w:val="none" w:sz="0" w:space="0" w:color="auto"/>
                  </w:divBdr>
                  <w:divsChild>
                    <w:div w:id="13057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821</Words>
  <Characters>4684</Characters>
  <Application>Microsoft Office Word</Application>
  <DocSecurity>0</DocSecurity>
  <Lines>39</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zecchetto toledo</dc:creator>
  <cp:keywords/>
  <dc:description/>
  <cp:lastModifiedBy>luis pardo sáinz</cp:lastModifiedBy>
  <cp:revision>10</cp:revision>
  <dcterms:created xsi:type="dcterms:W3CDTF">2022-07-24T21:53:00Z</dcterms:created>
  <dcterms:modified xsi:type="dcterms:W3CDTF">2022-07-26T21:31:00Z</dcterms:modified>
</cp:coreProperties>
</file>