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8CC8" w14:textId="0DB06981" w:rsidR="00B7523A" w:rsidRPr="00E51BAE" w:rsidRDefault="00B7523A" w:rsidP="00B7523A">
      <w:pPr>
        <w:jc w:val="both"/>
        <w:rPr>
          <w:b/>
          <w:bCs/>
          <w:lang w:val="es-MX"/>
        </w:rPr>
      </w:pPr>
      <w:r w:rsidRPr="00E51BAE">
        <w:rPr>
          <w:b/>
          <w:bCs/>
        </w:rPr>
        <w:t>¿Qué sabes de la comuna de Placilla?</w:t>
      </w:r>
    </w:p>
    <w:p w14:paraId="3BD49987" w14:textId="5084512C" w:rsidR="00FA5238" w:rsidRPr="00E51BAE" w:rsidRDefault="00B7523A" w:rsidP="00285DF4">
      <w:pPr>
        <w:jc w:val="both"/>
      </w:pPr>
      <w:r w:rsidRPr="00E51BAE">
        <w:t>Muy a menudo se escucha a alguien decir “Santiago no es Chile”</w:t>
      </w:r>
      <w:r w:rsidR="00B659BE" w:rsidRPr="00E51BAE">
        <w:t xml:space="preserve">. Y es que usualmente casi todas las noticias que vemos y escuchamos </w:t>
      </w:r>
      <w:r w:rsidR="00285988" w:rsidRPr="00E51BAE">
        <w:t>a diario</w:t>
      </w:r>
      <w:r w:rsidR="00B659BE" w:rsidRPr="00E51BAE">
        <w:t xml:space="preserve"> se centran en la zona urbana de la región Metropolitana, es decir, en 34 de las 345 comunas del país. Incluso, si eres de </w:t>
      </w:r>
      <w:r w:rsidR="00285988" w:rsidRPr="00E51BAE">
        <w:t>alguna comuna especialmente pequeña o alejada de esta zona</w:t>
      </w:r>
      <w:r w:rsidR="00B659BE" w:rsidRPr="00E51BAE">
        <w:t xml:space="preserve">, es muy probable que en el colegio </w:t>
      </w:r>
      <w:r w:rsidR="00285988" w:rsidRPr="00E51BAE">
        <w:t xml:space="preserve">te hayan relatado la </w:t>
      </w:r>
      <w:r w:rsidR="00B659BE" w:rsidRPr="00E51BAE">
        <w:t>historia de Santiago, sin hacer mucha mención</w:t>
      </w:r>
      <w:r w:rsidR="00285988" w:rsidRPr="00E51BAE">
        <w:t xml:space="preserve"> de los acontecimientos ocurridos en la zona en que vivías.</w:t>
      </w:r>
      <w:r w:rsidR="00B659BE" w:rsidRPr="00E51BAE">
        <w:t xml:space="preserve"> Pero </w:t>
      </w:r>
      <w:r w:rsidR="00285988" w:rsidRPr="00E51BAE">
        <w:t xml:space="preserve">lo cierto es que </w:t>
      </w:r>
      <w:r w:rsidR="00B659BE" w:rsidRPr="00E51BAE">
        <w:t xml:space="preserve">en </w:t>
      </w:r>
      <w:r w:rsidR="00285988" w:rsidRPr="00E51BAE">
        <w:t>Chile</w:t>
      </w:r>
      <w:r w:rsidR="00B659BE" w:rsidRPr="00E51BAE">
        <w:t xml:space="preserve"> hay muchas realidades distintas que no alcanzamos a </w:t>
      </w:r>
      <w:r w:rsidR="00192C22" w:rsidRPr="00E51BAE">
        <w:t>observar</w:t>
      </w:r>
      <w:r w:rsidR="00B659BE" w:rsidRPr="00E51BAE">
        <w:t>.</w:t>
      </w:r>
      <w:r w:rsidR="00285988" w:rsidRPr="00E51BAE">
        <w:t xml:space="preserve"> Si bien la región Metropolitana concentra un gran número de personas, la mayoría de los chilenos viven fuera de esta área.</w:t>
      </w:r>
      <w:r w:rsidR="009F16CE" w:rsidRPr="00E51BAE">
        <w:t xml:space="preserve"> ¿Te interesaría </w:t>
      </w:r>
      <w:r w:rsidR="00B33996">
        <w:t>ver</w:t>
      </w:r>
      <w:r w:rsidR="009F16CE" w:rsidRPr="00E51BAE">
        <w:t xml:space="preserve"> cómo viven las personas en una comuna </w:t>
      </w:r>
      <w:r w:rsidR="0093441C">
        <w:t>diferente</w:t>
      </w:r>
      <w:r w:rsidR="009F16CE" w:rsidRPr="00E51BAE">
        <w:t xml:space="preserve"> a lo que solemos </w:t>
      </w:r>
      <w:r w:rsidR="00B33996">
        <w:t>conocer</w:t>
      </w:r>
      <w:r w:rsidR="00FA5238" w:rsidRPr="00E51BAE">
        <w:t>?</w:t>
      </w:r>
    </w:p>
    <w:p w14:paraId="707F5F86" w14:textId="234DA908" w:rsidR="00192C22" w:rsidRPr="00E51BAE" w:rsidRDefault="00FB3C45" w:rsidP="00285DF4">
      <w:pPr>
        <w:jc w:val="both"/>
        <w:rPr>
          <w:b/>
          <w:bCs/>
        </w:rPr>
      </w:pPr>
      <w:r>
        <w:rPr>
          <w:b/>
          <w:bCs/>
        </w:rPr>
        <w:t>Su población</w:t>
      </w:r>
    </w:p>
    <w:p w14:paraId="1A146940" w14:textId="71298274" w:rsidR="0031792D" w:rsidRPr="00E51BAE" w:rsidRDefault="00192C22" w:rsidP="00285DF4">
      <w:pPr>
        <w:jc w:val="both"/>
      </w:pPr>
      <w:r w:rsidRPr="00E51BAE">
        <w:rPr>
          <w:lang w:val="es-MX"/>
        </w:rPr>
        <w:t xml:space="preserve">La comuna de </w:t>
      </w:r>
      <w:r w:rsidR="00462F58" w:rsidRPr="00E51BAE">
        <w:rPr>
          <w:lang w:val="es-MX"/>
        </w:rPr>
        <w:t xml:space="preserve">Placilla </w:t>
      </w:r>
      <w:r w:rsidR="007215F1" w:rsidRPr="00E51BAE">
        <w:rPr>
          <w:lang w:val="es-MX"/>
        </w:rPr>
        <w:t>está ubicada</w:t>
      </w:r>
      <w:r w:rsidR="00462F58" w:rsidRPr="00E51BAE">
        <w:rPr>
          <w:lang w:val="es-MX"/>
        </w:rPr>
        <w:t xml:space="preserve"> en la región de O’Higgins</w:t>
      </w:r>
      <w:r w:rsidR="007215F1" w:rsidRPr="00E51BAE">
        <w:rPr>
          <w:lang w:val="es-MX"/>
        </w:rPr>
        <w:t>, rodeándose</w:t>
      </w:r>
      <w:r w:rsidR="00462F58" w:rsidRPr="00E51BAE">
        <w:rPr>
          <w:lang w:val="es-MX"/>
        </w:rPr>
        <w:t xml:space="preserve"> </w:t>
      </w:r>
      <w:r w:rsidRPr="00E51BAE">
        <w:rPr>
          <w:lang w:val="es-MX"/>
        </w:rPr>
        <w:t>de l</w:t>
      </w:r>
      <w:r w:rsidR="00462F58" w:rsidRPr="00E51BAE">
        <w:rPr>
          <w:lang w:val="es-MX"/>
        </w:rPr>
        <w:t>as comunas de San Vicente, Chimbarongo, San Fernando y Nancagua</w:t>
      </w:r>
      <w:r w:rsidR="004F150D">
        <w:rPr>
          <w:lang w:val="es-MX"/>
        </w:rPr>
        <w:t xml:space="preserve"> y t</w:t>
      </w:r>
      <w:proofErr w:type="spellStart"/>
      <w:r w:rsidR="007215F1" w:rsidRPr="00E51BAE">
        <w:t>iene</w:t>
      </w:r>
      <w:proofErr w:type="spellEnd"/>
      <w:r w:rsidR="00285DF4" w:rsidRPr="00E51BAE">
        <w:t xml:space="preserve"> 62 habitantes por km2.</w:t>
      </w:r>
      <w:r w:rsidR="00EE1E1E" w:rsidRPr="00E51BAE">
        <w:t xml:space="preserve"> </w:t>
      </w:r>
      <w:r w:rsidR="00510CAF" w:rsidRPr="00E51BAE">
        <w:rPr>
          <w:lang w:val="es-MX"/>
        </w:rPr>
        <w:t xml:space="preserve">Con </w:t>
      </w:r>
      <w:r w:rsidR="004F150D">
        <w:rPr>
          <w:lang w:val="es-MX"/>
        </w:rPr>
        <w:t>9093 habitantes</w:t>
      </w:r>
      <w:r w:rsidR="00510CAF" w:rsidRPr="00E51BAE">
        <w:rPr>
          <w:lang w:val="es-MX"/>
        </w:rPr>
        <w:t xml:space="preserve"> en 2019, </w:t>
      </w:r>
      <w:r w:rsidR="00EE1E1E" w:rsidRPr="00E51BAE">
        <w:t>la</w:t>
      </w:r>
      <w:r w:rsidR="00285DF4" w:rsidRPr="00E51BAE">
        <w:t xml:space="preserve"> población urbana </w:t>
      </w:r>
      <w:r w:rsidR="00510CAF" w:rsidRPr="00E51BAE">
        <w:t>corresponde al 69.98%, mientras que</w:t>
      </w:r>
      <w:r w:rsidR="00285DF4" w:rsidRPr="00E51BAE">
        <w:t xml:space="preserve"> la</w:t>
      </w:r>
      <w:r w:rsidR="00510CAF" w:rsidRPr="00E51BAE">
        <w:t xml:space="preserve"> rural corresponde al</w:t>
      </w:r>
      <w:r w:rsidR="00285DF4" w:rsidRPr="00E51BAE">
        <w:t xml:space="preserve"> 26.12%. </w:t>
      </w:r>
      <w:r w:rsidR="00510CAF" w:rsidRPr="00E51BAE">
        <w:t>De todos lo</w:t>
      </w:r>
      <w:r w:rsidR="004F150D">
        <w:t>s pobladores</w:t>
      </w:r>
      <w:r w:rsidR="00510CAF" w:rsidRPr="00E51BAE">
        <w:t xml:space="preserve">, </w:t>
      </w:r>
      <w:r w:rsidR="00285DF4" w:rsidRPr="00E51BAE">
        <w:t xml:space="preserve">49.66% </w:t>
      </w:r>
      <w:r w:rsidRPr="00E51BAE">
        <w:t>son</w:t>
      </w:r>
      <w:r w:rsidR="00285DF4" w:rsidRPr="00E51BAE">
        <w:t xml:space="preserve"> mujer</w:t>
      </w:r>
      <w:r w:rsidRPr="00E51BAE">
        <w:t>es</w:t>
      </w:r>
      <w:r w:rsidR="00285DF4" w:rsidRPr="00E51BAE">
        <w:t xml:space="preserve"> y el</w:t>
      </w:r>
      <w:r w:rsidR="00E10794" w:rsidRPr="00E51BAE">
        <w:t xml:space="preserve"> restante</w:t>
      </w:r>
      <w:r w:rsidR="00285DF4" w:rsidRPr="00E51BAE">
        <w:t xml:space="preserve"> 50.34% </w:t>
      </w:r>
      <w:r w:rsidRPr="00E51BAE">
        <w:t>son</w:t>
      </w:r>
      <w:r w:rsidR="00285DF4" w:rsidRPr="00E51BAE">
        <w:t xml:space="preserve"> hombre</w:t>
      </w:r>
      <w:r w:rsidRPr="00E51BAE">
        <w:t>s</w:t>
      </w:r>
      <w:r w:rsidR="00285DF4" w:rsidRPr="00E51BAE">
        <w:t xml:space="preserve">. </w:t>
      </w:r>
      <w:r w:rsidR="0031792D" w:rsidRPr="00E51BAE">
        <w:t>Entre el 2002 y el 2019, la mortalidad de la población ha aumentado en un 142.67%, mientras que a natalidad ha disminuido en un 23.04% entre los años 2001 y 2019.</w:t>
      </w:r>
    </w:p>
    <w:p w14:paraId="075A0F73" w14:textId="2E136CE1" w:rsidR="005018CA" w:rsidRPr="00E51BAE" w:rsidRDefault="0031792D" w:rsidP="005018CA">
      <w:pPr>
        <w:jc w:val="both"/>
      </w:pPr>
      <w:r w:rsidRPr="00E51BAE">
        <w:t xml:space="preserve">Entre </w:t>
      </w:r>
      <w:r w:rsidR="004F150D">
        <w:t xml:space="preserve">el </w:t>
      </w:r>
      <w:r w:rsidRPr="00E51BAE">
        <w:t>2006 y el 2017, el porcentaje de personas en calidad de pobreza ha aumentado en un 44.4%</w:t>
      </w:r>
      <w:r w:rsidR="003E2AA3">
        <w:t xml:space="preserve"> y las personas en</w:t>
      </w:r>
      <w:r w:rsidRPr="00E51BAE">
        <w:t xml:space="preserve"> calidad de pobreza extrema aument</w:t>
      </w:r>
      <w:r w:rsidR="003E2AA3">
        <w:t>aron</w:t>
      </w:r>
      <w:r w:rsidRPr="00E51BAE">
        <w:t xml:space="preserve"> en un 150%. </w:t>
      </w:r>
      <w:r w:rsidR="004F150D">
        <w:t>Junto a esto, s</w:t>
      </w:r>
      <w:r w:rsidR="005018CA" w:rsidRPr="00E51BAE">
        <w:t>egún la encuesta CASEN, durante el 2015 fueron 14 las personas pertenecientes a pueblos indígenas en calidad de pobreza (sólo mapuches). En el 2011</w:t>
      </w:r>
      <w:r w:rsidR="004F150D">
        <w:t>,</w:t>
      </w:r>
      <w:r w:rsidR="005018CA" w:rsidRPr="00E51BAE">
        <w:t xml:space="preserve"> 13 personas del pueblo mapuche </w:t>
      </w:r>
      <w:r w:rsidR="004F150D">
        <w:t>v</w:t>
      </w:r>
      <w:r w:rsidR="005018CA" w:rsidRPr="00E51BAE">
        <w:t>ivieron en calidad de pobreza extrema</w:t>
      </w:r>
      <w:bookmarkStart w:id="0" w:name="_Ref68035646"/>
      <w:r w:rsidR="004F150D" w:rsidRPr="00E51BAE">
        <w:rPr>
          <w:rStyle w:val="Refdenotaalpie"/>
        </w:rPr>
        <w:footnoteReference w:id="1"/>
      </w:r>
      <w:bookmarkEnd w:id="0"/>
      <w:r w:rsidR="005018CA" w:rsidRPr="00E51BAE">
        <w:t>. No hay información para los otros años.</w:t>
      </w:r>
    </w:p>
    <w:p w14:paraId="3411DE39" w14:textId="0B9297E5" w:rsidR="00BA35B5" w:rsidRPr="00E51BAE" w:rsidRDefault="00BA35B5" w:rsidP="00BA35B5">
      <w:r w:rsidRPr="00E51BAE">
        <w:t>De las personas que leen y escriben (2017), las mujeres (52.31%) poseen un ingreso promedio de $195.230 y los hombres (47.69%) de $335.185. Al observar las personas del pueblo mapuche, las mujeres (28% de los mapuches que leen y escriben) tienen un ingreso promedio de $275.833 y los hombres de $364.977</w:t>
      </w:r>
      <w:r w:rsidR="00AC1B8E">
        <w:fldChar w:fldCharType="begin"/>
      </w:r>
      <w:r w:rsidR="00AC1B8E">
        <w:instrText xml:space="preserve"> NOTEREF _Ref68035646 \f \h </w:instrText>
      </w:r>
      <w:r w:rsidR="00AC1B8E">
        <w:fldChar w:fldCharType="separate"/>
      </w:r>
      <w:r w:rsidR="00AC1B8E" w:rsidRPr="00AC1B8E">
        <w:rPr>
          <w:rStyle w:val="Refdenotaalpie"/>
        </w:rPr>
        <w:t>1</w:t>
      </w:r>
      <w:r w:rsidR="00AC1B8E">
        <w:fldChar w:fldCharType="end"/>
      </w:r>
      <w:r w:rsidRPr="00E51BAE">
        <w:t>. Para comparar, el ingreso promedio bruto del mismo año fue de $554.493, $636.981 para hombres y $450.287 para mujeres.</w:t>
      </w:r>
      <w:r w:rsidRPr="00E51BAE">
        <w:rPr>
          <w:rStyle w:val="Refdenotaalpie"/>
        </w:rPr>
        <w:footnoteReference w:id="2"/>
      </w:r>
    </w:p>
    <w:p w14:paraId="0C0663FD" w14:textId="03A4B074" w:rsidR="005018CA" w:rsidRPr="00E51BAE" w:rsidRDefault="005018CA" w:rsidP="00285DF4">
      <w:pPr>
        <w:jc w:val="both"/>
        <w:rPr>
          <w:b/>
          <w:bCs/>
        </w:rPr>
      </w:pPr>
      <w:r w:rsidRPr="00E51BAE">
        <w:rPr>
          <w:b/>
          <w:bCs/>
        </w:rPr>
        <w:t>Establecimientos e infraestructura</w:t>
      </w:r>
    </w:p>
    <w:p w14:paraId="07DB016D" w14:textId="02CABB73" w:rsidR="005018CA" w:rsidRPr="00E51BAE" w:rsidRDefault="00927945" w:rsidP="005018CA">
      <w:pPr>
        <w:jc w:val="both"/>
        <w:rPr>
          <w:lang w:val="es-MX"/>
        </w:rPr>
      </w:pPr>
      <w:r w:rsidRPr="00E51BAE">
        <w:rPr>
          <w:lang w:val="es-MX"/>
        </w:rPr>
        <w:t>El único instrumento de planificación con el que cuenta es el plan regional de desarrollo urbano, publicado el 2012</w:t>
      </w:r>
      <w:r w:rsidRPr="00E51BAE">
        <w:rPr>
          <w:rStyle w:val="Refdenotaalpie"/>
          <w:lang w:val="es-MX"/>
        </w:rPr>
        <w:footnoteReference w:id="3"/>
      </w:r>
      <w:r w:rsidRPr="00E51BAE">
        <w:rPr>
          <w:lang w:val="es-MX"/>
        </w:rPr>
        <w:t>.</w:t>
      </w:r>
      <w:r w:rsidR="009C0FDB" w:rsidRPr="00E51BAE">
        <w:rPr>
          <w:lang w:val="es-MX"/>
        </w:rPr>
        <w:t xml:space="preserve"> </w:t>
      </w:r>
      <w:r w:rsidR="005018CA" w:rsidRPr="00E51BAE">
        <w:t xml:space="preserve">La superficie total de </w:t>
      </w:r>
      <w:r w:rsidR="009C0FDB" w:rsidRPr="00E51BAE">
        <w:t>p</w:t>
      </w:r>
      <w:r w:rsidR="005018CA" w:rsidRPr="00E51BAE">
        <w:t xml:space="preserve">lazas </w:t>
      </w:r>
      <w:r w:rsidR="009C0FDB" w:rsidRPr="00E51BAE">
        <w:t>e</w:t>
      </w:r>
      <w:r w:rsidR="005018CA" w:rsidRPr="00E51BAE">
        <w:t xml:space="preserve">xistentes en la </w:t>
      </w:r>
      <w:r w:rsidR="009C0FDB" w:rsidRPr="00E51BAE">
        <w:t>comuna</w:t>
      </w:r>
      <w:r w:rsidR="005018CA" w:rsidRPr="00E51BAE">
        <w:t xml:space="preserve"> </w:t>
      </w:r>
      <w:r w:rsidR="009C0FDB" w:rsidRPr="00E51BAE">
        <w:t>en el</w:t>
      </w:r>
      <w:r w:rsidR="005018CA" w:rsidRPr="00E51BAE">
        <w:t xml:space="preserve"> 2010 </w:t>
      </w:r>
      <w:r w:rsidR="009C0FDB" w:rsidRPr="00E51BAE">
        <w:t>fue</w:t>
      </w:r>
      <w:r w:rsidR="005018CA" w:rsidRPr="00E51BAE">
        <w:t xml:space="preserve"> de 24.000 m2</w:t>
      </w:r>
      <w:r w:rsidR="001E42F0" w:rsidRPr="00E51BAE">
        <w:fldChar w:fldCharType="begin"/>
      </w:r>
      <w:r w:rsidR="001E42F0" w:rsidRPr="00E51BAE">
        <w:instrText xml:space="preserve"> NOTEREF _Ref68035646 \f \h </w:instrText>
      </w:r>
      <w:r w:rsidR="00E51BAE">
        <w:instrText xml:space="preserve"> \* MERGEFORMAT </w:instrText>
      </w:r>
      <w:r w:rsidR="001E42F0" w:rsidRPr="00E51BAE">
        <w:fldChar w:fldCharType="separate"/>
      </w:r>
      <w:r w:rsidR="001E42F0" w:rsidRPr="00E51BAE">
        <w:rPr>
          <w:rStyle w:val="Refdenotaalpie"/>
        </w:rPr>
        <w:t>1</w:t>
      </w:r>
      <w:r w:rsidR="001E42F0" w:rsidRPr="00E51BAE">
        <w:fldChar w:fldCharType="end"/>
      </w:r>
      <w:r w:rsidR="005018CA" w:rsidRPr="00E51BAE">
        <w:t>.</w:t>
      </w:r>
    </w:p>
    <w:p w14:paraId="07EF7152" w14:textId="71F792C4" w:rsidR="005018CA" w:rsidRPr="00E51BAE" w:rsidRDefault="005018CA" w:rsidP="00285DF4">
      <w:pPr>
        <w:jc w:val="both"/>
      </w:pPr>
      <w:r w:rsidRPr="00E51BAE">
        <w:t>E</w:t>
      </w:r>
      <w:r w:rsidR="00BA35B5" w:rsidRPr="00E51BAE">
        <w:t>n el ámbito de la salu</w:t>
      </w:r>
      <w:r w:rsidR="009C0FDB" w:rsidRPr="00E51BAE">
        <w:t>d</w:t>
      </w:r>
      <w:r w:rsidR="00BA35B5" w:rsidRPr="00E51BAE">
        <w:t>,</w:t>
      </w:r>
      <w:r w:rsidRPr="00E51BAE">
        <w:t xml:space="preserve"> esta comuna solo </w:t>
      </w:r>
      <w:r w:rsidR="00BA35B5" w:rsidRPr="00E51BAE">
        <w:t>cuenta con</w:t>
      </w:r>
      <w:r w:rsidRPr="00E51BAE">
        <w:t xml:space="preserve"> un servicio de urgencia ambulatoria, una farmacia y 2 postas</w:t>
      </w:r>
      <w:r w:rsidR="00BA35B5" w:rsidRPr="00E51BAE">
        <w:rPr>
          <w:rStyle w:val="Refdenotaalpie"/>
        </w:rPr>
        <w:footnoteReference w:id="4"/>
      </w:r>
      <w:r w:rsidRPr="00E51BAE">
        <w:t>.</w:t>
      </w:r>
      <w:r w:rsidR="009C0FDB" w:rsidRPr="00E51BAE">
        <w:t xml:space="preserve"> </w:t>
      </w:r>
      <w:r w:rsidRPr="00E51BAE">
        <w:t>En educación, existen solo 7 establecimientos educacionales, siendo todos municipales. La máxima cantidad de docentes en aula es de 30</w:t>
      </w:r>
      <w:r w:rsidR="00BA35B5" w:rsidRPr="00E51BAE">
        <w:rPr>
          <w:rStyle w:val="Refdenotaalpie"/>
        </w:rPr>
        <w:footnoteReference w:id="5"/>
      </w:r>
      <w:r w:rsidRPr="00E51BAE">
        <w:t>.</w:t>
      </w:r>
    </w:p>
    <w:p w14:paraId="06B1AC72" w14:textId="77777777" w:rsidR="00AC1B8E" w:rsidRPr="00E51BAE" w:rsidRDefault="00AC1B8E" w:rsidP="00AC1B8E">
      <w:pPr>
        <w:jc w:val="both"/>
        <w:rPr>
          <w:b/>
          <w:bCs/>
        </w:rPr>
      </w:pPr>
      <w:r w:rsidRPr="00E51BAE">
        <w:rPr>
          <w:b/>
          <w:bCs/>
        </w:rPr>
        <w:lastRenderedPageBreak/>
        <w:t>Principales rubros</w:t>
      </w:r>
    </w:p>
    <w:p w14:paraId="69314364" w14:textId="29799626" w:rsidR="00AC1B8E" w:rsidRPr="00E51BAE" w:rsidRDefault="00AC1B8E" w:rsidP="00AC1B8E">
      <w:pPr>
        <w:jc w:val="both"/>
        <w:rPr>
          <w:lang w:val="es-MX"/>
        </w:rPr>
      </w:pPr>
      <w:r w:rsidRPr="00E51BAE">
        <w:rPr>
          <w:lang w:val="es-MX"/>
        </w:rPr>
        <w:t>La gran mayoría de las empresas se dedican al rubro de la agricultura, ganadería, silvicultura y pesca, principalmente a la primera actividad</w:t>
      </w:r>
      <w:r w:rsidR="0029460E">
        <w:rPr>
          <w:lang w:val="es-MX"/>
        </w:rPr>
        <w:t>, destinándose</w:t>
      </w:r>
      <w:r w:rsidRPr="00E51BAE">
        <w:rPr>
          <w:lang w:val="es-MX"/>
        </w:rPr>
        <w:t xml:space="preserve"> especialmente las áreas vitivinícolas y frutícolas según la municipalidad de la comuna</w:t>
      </w:r>
      <w:r w:rsidRPr="00E51BAE">
        <w:rPr>
          <w:rStyle w:val="Refdenotaalpie"/>
          <w:lang w:val="es-MX"/>
        </w:rPr>
        <w:footnoteReference w:id="6"/>
      </w:r>
      <w:r w:rsidRPr="00E51BAE">
        <w:rPr>
          <w:lang w:val="es-MX"/>
        </w:rPr>
        <w:t xml:space="preserve">. </w:t>
      </w:r>
      <w:r w:rsidR="0007478C" w:rsidRPr="00E51BAE">
        <w:rPr>
          <w:lang w:val="es-MX"/>
        </w:rPr>
        <w:t>La superficie (Ha) plantada acumulada para actividades de agricultura son 2528,6</w:t>
      </w:r>
      <w:r w:rsidR="0007478C" w:rsidRPr="00E51BAE">
        <w:rPr>
          <w:rStyle w:val="Refdenotaalpie"/>
          <w:lang w:val="es-MX"/>
        </w:rPr>
        <w:footnoteReference w:id="7"/>
      </w:r>
      <w:r w:rsidR="0007478C" w:rsidRPr="00E51BAE">
        <w:rPr>
          <w:lang w:val="es-MX"/>
        </w:rPr>
        <w:t xml:space="preserve">. </w:t>
      </w:r>
      <w:r w:rsidR="0007478C">
        <w:rPr>
          <w:lang w:val="es-MX"/>
        </w:rPr>
        <w:t xml:space="preserve">Para todo este rubro, se </w:t>
      </w:r>
      <w:r w:rsidR="0007478C" w:rsidRPr="00E51BAE">
        <w:rPr>
          <w:lang w:val="es-MX"/>
        </w:rPr>
        <w:t>generan ventas de 23.644.083 dólares al año.</w:t>
      </w:r>
      <w:r w:rsidR="0007478C">
        <w:rPr>
          <w:lang w:val="es-MX"/>
        </w:rPr>
        <w:t xml:space="preserve"> </w:t>
      </w:r>
    </w:p>
    <w:p w14:paraId="21F33317" w14:textId="7A9067CC" w:rsidR="00AC1B8E" w:rsidRPr="00E51BAE" w:rsidRDefault="00AC1B8E" w:rsidP="00AC1B8E">
      <w:pPr>
        <w:jc w:val="both"/>
        <w:rPr>
          <w:lang w:val="es-MX"/>
        </w:rPr>
      </w:pPr>
      <w:r w:rsidRPr="00E51BAE">
        <w:rPr>
          <w:lang w:val="es-MX"/>
        </w:rPr>
        <w:t>En segundo lugar, las empresas se dedican al comercio al por mayor y al por menor, reparación de vehículos automotores y motocicletas</w:t>
      </w:r>
      <w:r w:rsidR="0007478C">
        <w:rPr>
          <w:lang w:val="es-MX"/>
        </w:rPr>
        <w:t>, generando</w:t>
      </w:r>
      <w:r w:rsidRPr="00E51BAE">
        <w:rPr>
          <w:lang w:val="es-MX"/>
        </w:rPr>
        <w:t xml:space="preserve"> 20.618.982 dólares año</w:t>
      </w:r>
      <w:r w:rsidRPr="00E51BAE">
        <w:rPr>
          <w:rStyle w:val="Refdenotaalpie"/>
          <w:lang w:val="es-MX"/>
        </w:rPr>
        <w:footnoteReference w:id="8"/>
      </w:r>
      <w:r w:rsidRPr="00E51BAE">
        <w:rPr>
          <w:lang w:val="es-MX"/>
        </w:rPr>
        <w:t xml:space="preserve">. </w:t>
      </w:r>
    </w:p>
    <w:p w14:paraId="6C515188" w14:textId="4363FE9C" w:rsidR="00AC1B8E" w:rsidRPr="00AC1B8E" w:rsidRDefault="00AC1B8E" w:rsidP="00285DF4">
      <w:pPr>
        <w:jc w:val="both"/>
        <w:rPr>
          <w:lang w:val="es-MX"/>
        </w:rPr>
      </w:pPr>
      <w:r w:rsidRPr="00E51BAE">
        <w:rPr>
          <w:lang w:val="es-MX"/>
        </w:rPr>
        <w:t>El Índice de Complejidad Económica (ECI) es de -0.37, lo que ind</w:t>
      </w:r>
      <w:r w:rsidR="0007478C">
        <w:rPr>
          <w:lang w:val="es-MX"/>
        </w:rPr>
        <w:t>ic</w:t>
      </w:r>
      <w:r w:rsidRPr="00E51BAE">
        <w:rPr>
          <w:lang w:val="es-MX"/>
        </w:rPr>
        <w:t>aría que la comuna no tendría la capacidad de desarrollar actividades complejas</w:t>
      </w:r>
      <w:r w:rsidRPr="00E51BAE">
        <w:rPr>
          <w:rStyle w:val="Refdenotaalpie"/>
          <w:lang w:val="es-MX"/>
        </w:rPr>
        <w:footnoteReference w:id="9"/>
      </w:r>
      <w:r w:rsidRPr="00E51BAE">
        <w:rPr>
          <w:lang w:val="es-MX"/>
        </w:rPr>
        <w:t>.</w:t>
      </w:r>
    </w:p>
    <w:p w14:paraId="77725379" w14:textId="7E49B27D" w:rsidR="000A1705" w:rsidRPr="00E51BAE" w:rsidRDefault="000A1705" w:rsidP="00285DF4">
      <w:pPr>
        <w:jc w:val="both"/>
        <w:rPr>
          <w:b/>
          <w:bCs/>
          <w:lang w:val="es-MX"/>
        </w:rPr>
      </w:pPr>
      <w:r w:rsidRPr="00E51BAE">
        <w:rPr>
          <w:b/>
          <w:bCs/>
        </w:rPr>
        <w:t>Clima</w:t>
      </w:r>
      <w:r w:rsidR="002D797F" w:rsidRPr="00E51BAE">
        <w:rPr>
          <w:b/>
          <w:bCs/>
        </w:rPr>
        <w:t xml:space="preserve"> de la zona</w:t>
      </w:r>
    </w:p>
    <w:p w14:paraId="51A2079C" w14:textId="41BB5014" w:rsidR="00285DF4" w:rsidRPr="00E51BAE" w:rsidRDefault="00285DF4" w:rsidP="00285DF4">
      <w:pPr>
        <w:jc w:val="both"/>
      </w:pPr>
      <w:r w:rsidRPr="00E51BAE">
        <w:t>Durante el 2018, la precipitación media anual fue de 452 mm y la temperatura media anual fue de 20.8°C</w:t>
      </w:r>
      <w:r w:rsidR="002D797F" w:rsidRPr="00E51BAE">
        <w:rPr>
          <w:rStyle w:val="Refdenotaalpie"/>
        </w:rPr>
        <w:footnoteReference w:id="10"/>
      </w:r>
      <w:r w:rsidRPr="00E51BAE">
        <w:t>.</w:t>
      </w:r>
      <w:r w:rsidR="00EE1E1E" w:rsidRPr="00E51BAE">
        <w:t xml:space="preserve"> El </w:t>
      </w:r>
      <w:r w:rsidR="002D797F" w:rsidRPr="00E51BAE">
        <w:t>Í</w:t>
      </w:r>
      <w:r w:rsidR="00EE1E1E" w:rsidRPr="00E51BAE">
        <w:t>ndice de Precipitación Estandarizado</w:t>
      </w:r>
      <w:r w:rsidR="002D797F" w:rsidRPr="00E51BAE">
        <w:t xml:space="preserve"> (IPE)</w:t>
      </w:r>
      <w:r w:rsidR="000A1705" w:rsidRPr="00E51BAE">
        <w:t xml:space="preserve"> para febrero de</w:t>
      </w:r>
      <w:r w:rsidR="007831D7">
        <w:t>l</w:t>
      </w:r>
      <w:r w:rsidR="000A1705" w:rsidRPr="00E51BAE">
        <w:t xml:space="preserve"> 2021 indica que la zona se encuentra moderadamente seca e</w:t>
      </w:r>
      <w:r w:rsidR="00510CAF" w:rsidRPr="00E51BAE">
        <w:t>n</w:t>
      </w:r>
      <w:r w:rsidR="000A1705" w:rsidRPr="00E51BAE">
        <w:t xml:space="preserve"> comparación al promedio de precipitación de los últimos 2 años</w:t>
      </w:r>
      <w:r w:rsidR="000A1705" w:rsidRPr="00E51BAE">
        <w:rPr>
          <w:rStyle w:val="Refdenotaalpie"/>
        </w:rPr>
        <w:footnoteReference w:id="11"/>
      </w:r>
      <w:r w:rsidR="000A1705" w:rsidRPr="00E51BAE">
        <w:t>.</w:t>
      </w:r>
    </w:p>
    <w:p w14:paraId="16FC29B5" w14:textId="1B42BABD" w:rsidR="00E33B37" w:rsidRPr="00E51BAE" w:rsidRDefault="00E33B37" w:rsidP="00285DF4">
      <w:pPr>
        <w:jc w:val="both"/>
      </w:pPr>
      <w:r w:rsidRPr="00E51BAE">
        <w:t>En relación a los incendios, durante el 2010-2020 se han visto afectadas 24 hectáreas en 13 incendios. La principal causa de incendios fue el tránsito de personas vehículos o aeronaves, seguida de quema de desechos y actividades extinción incendios forestales, estructurales u otros</w:t>
      </w:r>
      <w:r w:rsidRPr="00E51BAE">
        <w:rPr>
          <w:rStyle w:val="Refdenotaalpie"/>
        </w:rPr>
        <w:footnoteReference w:id="12"/>
      </w:r>
      <w:r w:rsidRPr="00E51BAE">
        <w:t>.</w:t>
      </w:r>
    </w:p>
    <w:p w14:paraId="6932C710" w14:textId="1317DD2E" w:rsidR="00E33B37" w:rsidRPr="00E51BAE" w:rsidRDefault="00E33B37" w:rsidP="00285DF4">
      <w:pPr>
        <w:jc w:val="both"/>
        <w:rPr>
          <w:b/>
          <w:bCs/>
          <w:lang w:val="es-MX"/>
        </w:rPr>
      </w:pPr>
      <w:r w:rsidRPr="00E51BAE">
        <w:rPr>
          <w:b/>
          <w:bCs/>
          <w:lang w:val="es-MX"/>
        </w:rPr>
        <w:t>Delincuencia</w:t>
      </w:r>
    </w:p>
    <w:p w14:paraId="46132F91" w14:textId="1052E5E2" w:rsidR="005018CA" w:rsidRPr="00E51BAE" w:rsidRDefault="006B2F20" w:rsidP="00285DF4">
      <w:pPr>
        <w:jc w:val="both"/>
      </w:pPr>
      <w:r w:rsidRPr="00E51BAE">
        <w:t>En Placilla</w:t>
      </w:r>
      <w:r w:rsidR="001E42F0" w:rsidRPr="00E51BAE">
        <w:t>,</w:t>
      </w:r>
      <w:r w:rsidRPr="00E51BAE">
        <w:t xml:space="preserve"> durante el 2019</w:t>
      </w:r>
      <w:r w:rsidR="001E42F0" w:rsidRPr="00E51BAE">
        <w:t>,</w:t>
      </w:r>
      <w:r w:rsidRPr="00E51BAE">
        <w:t xml:space="preserve"> ocurrieron 147 </w:t>
      </w:r>
      <w:r w:rsidR="001E42F0" w:rsidRPr="00E51BAE">
        <w:t>D</w:t>
      </w:r>
      <w:r w:rsidRPr="00E51BAE">
        <w:t xml:space="preserve">elitos de </w:t>
      </w:r>
      <w:r w:rsidR="001E42F0" w:rsidRPr="00E51BAE">
        <w:t>M</w:t>
      </w:r>
      <w:r w:rsidRPr="00E51BAE">
        <w:t xml:space="preserve">ayor </w:t>
      </w:r>
      <w:r w:rsidR="001E42F0" w:rsidRPr="00E51BAE">
        <w:t>C</w:t>
      </w:r>
      <w:r w:rsidRPr="00E51BAE">
        <w:t xml:space="preserve">onnotación </w:t>
      </w:r>
      <w:r w:rsidR="001E42F0" w:rsidRPr="00E51BAE">
        <w:t>S</w:t>
      </w:r>
      <w:r w:rsidRPr="00E51BAE">
        <w:t>ocial</w:t>
      </w:r>
      <w:r w:rsidR="001E42F0" w:rsidRPr="00E51BAE">
        <w:t xml:space="preserve"> (DMCS)</w:t>
      </w:r>
      <w:r w:rsidR="00F42B61" w:rsidRPr="00E51BAE">
        <w:t xml:space="preserve"> (0.03% de todos los delitos en Chile, 0.57% </w:t>
      </w:r>
      <w:r w:rsidR="001E42F0" w:rsidRPr="00E51BAE">
        <w:t>de</w:t>
      </w:r>
      <w:r w:rsidR="00F42B61" w:rsidRPr="00E51BAE">
        <w:t xml:space="preserve"> la región)</w:t>
      </w:r>
      <w:r w:rsidRPr="00E51BAE">
        <w:t>, lo que equivale a 0.4 delitos por día.</w:t>
      </w:r>
      <w:r w:rsidR="00F42B61" w:rsidRPr="00E51BAE">
        <w:t xml:space="preserve"> De las 345 comunas, Placilla se ubica en el puesto 243° en cuanto a cantidad de delitos por día. </w:t>
      </w:r>
      <w:r w:rsidRPr="00E51BAE">
        <w:t>La tasa por 100 mil habitantes fue de 1617 delitos y, del 2018 al 2019, la frecuencia de los delitos aumentó en un 20.2%. Los DMCS más comunes son las lesiones, robo lugar habitado, hurtos y robo de accesorio de vehículo (39, 32, 31 y 26 delitos respectivamente para el mismo año). No se registró ningún homicidio durante el año 2019</w:t>
      </w:r>
      <w:r w:rsidR="00E33B37" w:rsidRPr="00E51BAE">
        <w:rPr>
          <w:rStyle w:val="Refdenotaalpie"/>
        </w:rPr>
        <w:footnoteReference w:id="13"/>
      </w:r>
      <w:r w:rsidRPr="00E51BAE">
        <w:t>. También</w:t>
      </w:r>
      <w:r w:rsidR="007831D7">
        <w:t>, al día de hoy,</w:t>
      </w:r>
      <w:r w:rsidRPr="00E51BAE">
        <w:t xml:space="preserve"> se han registrado 2 femicidios, tipificados como violación con homicidio</w:t>
      </w:r>
      <w:r w:rsidR="00E33B37" w:rsidRPr="00E51BAE">
        <w:rPr>
          <w:rStyle w:val="Refdenotaalpie"/>
        </w:rPr>
        <w:footnoteReference w:id="14"/>
      </w:r>
      <w:r w:rsidRPr="00E51BAE">
        <w:t>.</w:t>
      </w:r>
    </w:p>
    <w:p w14:paraId="5C3F1618" w14:textId="77777777" w:rsidR="000E502E" w:rsidRPr="00E51BAE" w:rsidRDefault="005018CA" w:rsidP="00285DF4">
      <w:pPr>
        <w:jc w:val="both"/>
        <w:rPr>
          <w:b/>
          <w:bCs/>
        </w:rPr>
      </w:pPr>
      <w:r w:rsidRPr="00E51BAE">
        <w:rPr>
          <w:b/>
          <w:bCs/>
        </w:rPr>
        <w:t>Ingresos municipales</w:t>
      </w:r>
      <w:r w:rsidR="006B2F20" w:rsidRPr="00E51BAE">
        <w:rPr>
          <w:b/>
          <w:bCs/>
        </w:rPr>
        <w:t xml:space="preserve"> </w:t>
      </w:r>
    </w:p>
    <w:p w14:paraId="5BBED484" w14:textId="33B955C2" w:rsidR="00991577" w:rsidRDefault="004A2F16" w:rsidP="00285DF4">
      <w:pPr>
        <w:jc w:val="both"/>
      </w:pPr>
      <w:r>
        <w:lastRenderedPageBreak/>
        <w:t xml:space="preserve">En el año 2019, </w:t>
      </w:r>
      <w:r w:rsidR="00991577" w:rsidRPr="00E51BAE">
        <w:t xml:space="preserve">los </w:t>
      </w:r>
      <w:r>
        <w:t>I</w:t>
      </w:r>
      <w:r w:rsidR="00991577" w:rsidRPr="00E51BAE">
        <w:t xml:space="preserve">ngresos </w:t>
      </w:r>
      <w:r>
        <w:t>P</w:t>
      </w:r>
      <w:r w:rsidR="00991577" w:rsidRPr="00E51BAE">
        <w:t xml:space="preserve">ropios </w:t>
      </w:r>
      <w:r>
        <w:t>P</w:t>
      </w:r>
      <w:r w:rsidR="00991577" w:rsidRPr="00E51BAE">
        <w:t>ermanentes</w:t>
      </w:r>
      <w:r>
        <w:t xml:space="preserve"> </w:t>
      </w:r>
      <w:r>
        <w:t>(</w:t>
      </w:r>
      <w:r>
        <w:t>IPP)</w:t>
      </w:r>
      <w:r w:rsidRPr="00E51BAE">
        <w:t xml:space="preserve"> </w:t>
      </w:r>
      <w:r>
        <w:t>en miles de pesos fueron $</w:t>
      </w:r>
      <w:r w:rsidRPr="004A2F16">
        <w:t>615</w:t>
      </w:r>
      <w:r>
        <w:t>.</w:t>
      </w:r>
      <w:r w:rsidRPr="004A2F16">
        <w:t>587</w:t>
      </w:r>
      <w:r>
        <w:t>, los que provienen principalmente de las patentes municipales, impuestos territoriales y permisos de circulación</w:t>
      </w:r>
      <w:r w:rsidR="007831D7" w:rsidRPr="00E51BAE">
        <w:rPr>
          <w:rStyle w:val="Refdenotaalpie"/>
        </w:rPr>
        <w:footnoteReference w:id="15"/>
      </w:r>
      <w:r w:rsidR="001A51D7" w:rsidRPr="00E51BAE">
        <w:t>.</w:t>
      </w:r>
      <w:r>
        <w:t xml:space="preserve"> Para aterrizar estos números, la municipalidad de Placilla recibe </w:t>
      </w:r>
      <w:r w:rsidRPr="004A2F16">
        <w:t>Ingresos Propios Permanentes per Cápita (IPPP)</w:t>
      </w:r>
      <w:r>
        <w:t xml:space="preserve"> 7 veces menores a los recibidos por la municipalidad de Las Condes, pero 2.4 </w:t>
      </w:r>
      <w:r w:rsidR="00A86230">
        <w:t xml:space="preserve">veces </w:t>
      </w:r>
      <w:r>
        <w:t>mayores que los de la municipalidad de Puente Alto.</w:t>
      </w:r>
    </w:p>
    <w:p w14:paraId="55BC13BF" w14:textId="7C8AB5A6" w:rsidR="000E502E" w:rsidRPr="00E51BAE" w:rsidRDefault="00B50B95" w:rsidP="00285DF4">
      <w:pPr>
        <w:jc w:val="both"/>
        <w:rPr>
          <w:b/>
          <w:bCs/>
        </w:rPr>
      </w:pPr>
      <w:r w:rsidRPr="00E51BAE">
        <w:rPr>
          <w:b/>
          <w:bCs/>
        </w:rPr>
        <w:t>En resumen</w:t>
      </w:r>
    </w:p>
    <w:p w14:paraId="0CA3B267" w14:textId="071F4882" w:rsidR="00886EC7" w:rsidRDefault="000E502E" w:rsidP="00285DF4">
      <w:pPr>
        <w:jc w:val="both"/>
      </w:pPr>
      <w:r w:rsidRPr="00E51BAE">
        <w:t xml:space="preserve">Como se ve, Placilla tiene características que la </w:t>
      </w:r>
      <w:r w:rsidR="00E957AB">
        <w:t>separan</w:t>
      </w:r>
      <w:r w:rsidRPr="00E51BAE">
        <w:t xml:space="preserve"> </w:t>
      </w:r>
      <w:r w:rsidR="00D749FF">
        <w:t>de las principales urbes</w:t>
      </w:r>
      <w:r w:rsidRPr="00E51BAE">
        <w:t xml:space="preserve"> </w:t>
      </w:r>
      <w:r w:rsidR="00D749FF">
        <w:t>del país,</w:t>
      </w:r>
      <w:r w:rsidR="00EA47AA" w:rsidRPr="00E51BAE">
        <w:t xml:space="preserve"> </w:t>
      </w:r>
      <w:r w:rsidR="00D749FF">
        <w:t xml:space="preserve">pero, </w:t>
      </w:r>
      <w:r w:rsidR="00E957AB">
        <w:t>aún con estas diferencias</w:t>
      </w:r>
      <w:r w:rsidR="00D749FF">
        <w:t>, sigue compartiendo otras problemáticas que afectan a todo el territorio chileno.</w:t>
      </w:r>
      <w:r w:rsidR="00B50B95" w:rsidRPr="00E51BAE">
        <w:t xml:space="preserve"> Con una población menor a los 10.000 habitantes, la zona vive principalmente de la agricultura, la natalidad baja mientras que la mortalidad sube</w:t>
      </w:r>
      <w:r w:rsidR="00E957AB">
        <w:t xml:space="preserve"> y</w:t>
      </w:r>
      <w:r w:rsidR="00B50B95" w:rsidRPr="00E51BAE">
        <w:t xml:space="preserve"> hay un delito cada 2 días</w:t>
      </w:r>
      <w:r w:rsidR="00D749FF">
        <w:t xml:space="preserve"> (a diferencia de</w:t>
      </w:r>
      <w:r w:rsidR="00B50B95" w:rsidRPr="00E51BAE">
        <w:t xml:space="preserve"> Santiago </w:t>
      </w:r>
      <w:r w:rsidR="00D749FF">
        <w:t xml:space="preserve">donde </w:t>
      </w:r>
      <w:r w:rsidR="00B50B95" w:rsidRPr="00E51BAE">
        <w:t>hay 86 delitos por día)</w:t>
      </w:r>
      <w:r w:rsidR="00D749FF">
        <w:t>. E</w:t>
      </w:r>
      <w:r w:rsidR="00D65228">
        <w:t xml:space="preserve">l </w:t>
      </w:r>
      <w:r w:rsidR="00D65228" w:rsidRPr="004A2F16">
        <w:t>IPPP</w:t>
      </w:r>
      <w:r w:rsidR="00D65228">
        <w:t xml:space="preserve"> es casi 2 veces menor al promedio nacional</w:t>
      </w:r>
      <w:r w:rsidR="00B50B95" w:rsidRPr="00E51BAE">
        <w:t xml:space="preserve"> y los ingresos</w:t>
      </w:r>
      <w:r w:rsidR="00D749FF">
        <w:t xml:space="preserve"> promedio</w:t>
      </w:r>
      <w:r w:rsidR="00D65228">
        <w:t xml:space="preserve"> de las personas</w:t>
      </w:r>
      <w:r w:rsidR="00B50B95" w:rsidRPr="00E51BAE">
        <w:t xml:space="preserve"> son menore</w:t>
      </w:r>
      <w:r w:rsidR="00BC228A">
        <w:t>s en comparación al resto de los chilenos</w:t>
      </w:r>
      <w:r w:rsidR="00B50B95" w:rsidRPr="00E51BAE">
        <w:t xml:space="preserve">, </w:t>
      </w:r>
      <w:r w:rsidR="00D65228">
        <w:t>especialmente para las mujeres</w:t>
      </w:r>
      <w:r w:rsidR="00B50B95" w:rsidRPr="00E51BAE">
        <w:t>.</w:t>
      </w:r>
      <w:r w:rsidRPr="00E51BAE">
        <w:t xml:space="preserve"> ¿Conocías estos datos?</w:t>
      </w:r>
      <w:r w:rsidR="00B50B95" w:rsidRPr="00E51BAE">
        <w:t xml:space="preserve"> </w:t>
      </w:r>
      <w:r w:rsidR="006E5A9C">
        <w:t>¿Qué resca</w:t>
      </w:r>
      <w:r w:rsidR="00BC228A">
        <w:t>ta</w:t>
      </w:r>
      <w:r w:rsidR="00BA3C8B">
        <w:t>s</w:t>
      </w:r>
      <w:r w:rsidR="006E5A9C">
        <w:t xml:space="preserve"> y que </w:t>
      </w:r>
      <w:r w:rsidR="00E957AB">
        <w:t>modificarías</w:t>
      </w:r>
      <w:r w:rsidR="006E5A9C">
        <w:t xml:space="preserve"> </w:t>
      </w:r>
      <w:r w:rsidR="00BA3C8B">
        <w:t>de</w:t>
      </w:r>
      <w:r w:rsidR="006E5A9C">
        <w:t xml:space="preserve"> esta comuna? </w:t>
      </w:r>
      <w:r w:rsidRPr="00E51BAE">
        <w:t>Te invitamos a seguir informándote</w:t>
      </w:r>
      <w:r w:rsidR="00B50B95" w:rsidRPr="00E51BAE">
        <w:t xml:space="preserve"> de este y otros temas</w:t>
      </w:r>
      <w:r w:rsidRPr="00E51BAE">
        <w:t xml:space="preserve"> en nuestra página.</w:t>
      </w:r>
    </w:p>
    <w:p w14:paraId="2DB9DAD6" w14:textId="74163CB3" w:rsidR="00DD1BAA" w:rsidRDefault="00DD1BAA" w:rsidP="003A0403"/>
    <w:p w14:paraId="325077CB" w14:textId="72D195F9" w:rsidR="00DD1BAA" w:rsidRDefault="00DD1BAA" w:rsidP="003A0403"/>
    <w:p w14:paraId="165D6A5C" w14:textId="74B14619" w:rsidR="00DD1BAA" w:rsidRPr="003A0403" w:rsidRDefault="00DD1BAA" w:rsidP="003A0403"/>
    <w:p w14:paraId="71B393BB" w14:textId="77777777" w:rsidR="00462F58" w:rsidRPr="00462F58" w:rsidRDefault="00462F58">
      <w:pPr>
        <w:rPr>
          <w:lang w:val="es-MX"/>
        </w:rPr>
      </w:pPr>
    </w:p>
    <w:sectPr w:rsidR="00462F58" w:rsidRPr="00462F5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8040D" w14:textId="77777777" w:rsidR="00266252" w:rsidRDefault="00266252" w:rsidP="000A1705">
      <w:pPr>
        <w:spacing w:after="0" w:line="240" w:lineRule="auto"/>
      </w:pPr>
      <w:r>
        <w:separator/>
      </w:r>
    </w:p>
  </w:endnote>
  <w:endnote w:type="continuationSeparator" w:id="0">
    <w:p w14:paraId="0094E355" w14:textId="77777777" w:rsidR="00266252" w:rsidRDefault="00266252" w:rsidP="000A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C94C3" w14:textId="1710B719" w:rsidR="000A1705" w:rsidRDefault="000A1705">
    <w:pPr>
      <w:pStyle w:val="Piedepgina"/>
    </w:pPr>
  </w:p>
  <w:p w14:paraId="637E0819" w14:textId="77777777" w:rsidR="000A1705" w:rsidRDefault="000A17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73793" w14:textId="77777777" w:rsidR="00266252" w:rsidRDefault="00266252" w:rsidP="000A1705">
      <w:pPr>
        <w:spacing w:after="0" w:line="240" w:lineRule="auto"/>
      </w:pPr>
      <w:r>
        <w:separator/>
      </w:r>
    </w:p>
  </w:footnote>
  <w:footnote w:type="continuationSeparator" w:id="0">
    <w:p w14:paraId="15AB7E42" w14:textId="77777777" w:rsidR="00266252" w:rsidRDefault="00266252" w:rsidP="000A1705">
      <w:pPr>
        <w:spacing w:after="0" w:line="240" w:lineRule="auto"/>
      </w:pPr>
      <w:r>
        <w:continuationSeparator/>
      </w:r>
    </w:p>
  </w:footnote>
  <w:footnote w:id="1">
    <w:p w14:paraId="566E2BA0" w14:textId="77777777" w:rsidR="004F150D" w:rsidRPr="002D797F" w:rsidRDefault="004F150D" w:rsidP="004F150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2D797F">
        <w:t>Encuesta CASEN, Ministerio de Desarrollo Social y Familia (MINDES)</w:t>
      </w:r>
    </w:p>
  </w:footnote>
  <w:footnote w:id="2">
    <w:p w14:paraId="5095F218" w14:textId="77777777" w:rsidR="00BA35B5" w:rsidRPr="00BA35B5" w:rsidRDefault="00BA35B5" w:rsidP="00BA35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BA35B5">
        <w:t>Encuesta Suplementaria de Ingresos (ESI), INE</w:t>
      </w:r>
    </w:p>
  </w:footnote>
  <w:footnote w:id="3">
    <w:p w14:paraId="7F12E8BC" w14:textId="397AEC42" w:rsidR="00927945" w:rsidRPr="00927945" w:rsidRDefault="0092794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927945">
        <w:t>Ministerio de Vivienda y Urbanismo (MINVU)</w:t>
      </w:r>
    </w:p>
  </w:footnote>
  <w:footnote w:id="4">
    <w:p w14:paraId="0880B27C" w14:textId="694F46BC" w:rsidR="00BA35B5" w:rsidRPr="00BA35B5" w:rsidRDefault="00BA35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BA35B5">
        <w:t>Departamento de Estadísticas e Información de Salud (DEIS) y Ministerio de Salud (MINSAL)</w:t>
      </w:r>
    </w:p>
  </w:footnote>
  <w:footnote w:id="5">
    <w:p w14:paraId="25DA9B0A" w14:textId="2ADEE9DA" w:rsidR="00BA35B5" w:rsidRPr="00BA35B5" w:rsidRDefault="00BA35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BA35B5">
        <w:t>Ministerio de Educación (MINEDUC) y Agencia de Calidad de la Educación</w:t>
      </w:r>
    </w:p>
  </w:footnote>
  <w:footnote w:id="6">
    <w:p w14:paraId="17EB7000" w14:textId="77777777" w:rsidR="00AC1B8E" w:rsidRPr="002D797F" w:rsidRDefault="00AC1B8E" w:rsidP="00AC1B8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8550E6">
          <w:rPr>
            <w:rStyle w:val="Hipervnculo"/>
          </w:rPr>
          <w:t>https://site.muniplacilla.cl/comuna/aspectos-generales</w:t>
        </w:r>
      </w:hyperlink>
      <w:r>
        <w:t xml:space="preserve"> </w:t>
      </w:r>
    </w:p>
  </w:footnote>
  <w:footnote w:id="7">
    <w:p w14:paraId="64A9C4BF" w14:textId="77777777" w:rsidR="0007478C" w:rsidRPr="001E42F0" w:rsidRDefault="0007478C" w:rsidP="0007478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1E42F0">
        <w:t>Instituto Nacional de Estadísticas (INE) y Oficina de Estudios y Políticas Agrarias (ODEPA)</w:t>
      </w:r>
    </w:p>
  </w:footnote>
  <w:footnote w:id="8">
    <w:p w14:paraId="7D8AF1F3" w14:textId="77777777" w:rsidR="00AC1B8E" w:rsidRPr="001E42F0" w:rsidRDefault="00AC1B8E" w:rsidP="00AC1B8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1E42F0">
        <w:t>Servicio de Impuestos Internos (SII)</w:t>
      </w:r>
    </w:p>
  </w:footnote>
  <w:footnote w:id="9">
    <w:p w14:paraId="5670FF6C" w14:textId="77777777" w:rsidR="00AC1B8E" w:rsidRPr="002D797F" w:rsidRDefault="00AC1B8E" w:rsidP="00AC1B8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anchor="evolucion" w:history="1">
        <w:r w:rsidRPr="008550E6">
          <w:rPr>
            <w:rStyle w:val="Hipervnculo"/>
          </w:rPr>
          <w:t>https://adalytics.cl/geo/6/63/6308#evolucion</w:t>
        </w:r>
      </w:hyperlink>
      <w:r>
        <w:t xml:space="preserve"> </w:t>
      </w:r>
    </w:p>
  </w:footnote>
  <w:footnote w:id="10">
    <w:p w14:paraId="614A3647" w14:textId="77253FC6" w:rsidR="002D797F" w:rsidRPr="002D797F" w:rsidRDefault="002D797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2D797F">
        <w:t>Administración Nacional de Aeronáutica y el Espacio (NASA) y Oficina Nacional de Administración Oceánica y Atmosférica (NOAA)</w:t>
      </w:r>
    </w:p>
  </w:footnote>
  <w:footnote w:id="11">
    <w:p w14:paraId="034B9B36" w14:textId="11DC9E89" w:rsidR="000A1705" w:rsidRPr="000A1705" w:rsidRDefault="000A170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3" w:anchor="tabs-1" w:history="1">
        <w:r w:rsidRPr="008550E6">
          <w:rPr>
            <w:rStyle w:val="Hipervnculo"/>
          </w:rPr>
          <w:t>https://www.climatedatalibrary.cl/maproom/Monitoring/Meteorological/SPI.html?bbox=bb%3A-72.5%3A-35%3A-69.5%3A-33.85%3Abb&amp;var=SPI48&amp;region=bb%3A-72.5%3A-35%3A-69.5%3A-33.85%3Abb#tabs-1</w:t>
        </w:r>
      </w:hyperlink>
      <w:r>
        <w:t xml:space="preserve"> </w:t>
      </w:r>
    </w:p>
  </w:footnote>
  <w:footnote w:id="12">
    <w:p w14:paraId="6A02962F" w14:textId="3EB5B876" w:rsidR="00E33B37" w:rsidRPr="00E33B37" w:rsidRDefault="00E33B3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="00BA35B5">
        <w:t>Sistema de Información Digital para Control de Operaciones (SIDCO) y Corporación Nacional Forestal (CONAF)</w:t>
      </w:r>
    </w:p>
  </w:footnote>
  <w:footnote w:id="13">
    <w:p w14:paraId="5C22D804" w14:textId="309CB371" w:rsidR="00E33B37" w:rsidRPr="00E33B37" w:rsidRDefault="00E33B3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E33B37">
        <w:t>Fundación Paz Ciudadana y Centro de Estudios y Análisis del Delito (CEAD)</w:t>
      </w:r>
    </w:p>
  </w:footnote>
  <w:footnote w:id="14">
    <w:p w14:paraId="44F7DC81" w14:textId="1B4B5FC3" w:rsidR="00E33B37" w:rsidRPr="00E33B37" w:rsidRDefault="00E33B3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E33B37">
        <w:t>Ministerio de la Mujer y la Equidad de Género y Red Chilena Contra la Violencia Hacia las Mujeres</w:t>
      </w:r>
    </w:p>
  </w:footnote>
  <w:footnote w:id="15">
    <w:p w14:paraId="25A65D7C" w14:textId="77777777" w:rsidR="007831D7" w:rsidRPr="001E42F0" w:rsidRDefault="007831D7" w:rsidP="007831D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1E42F0">
        <w:t>Sistema Nacional de Información Municipal (SINIM)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58"/>
    <w:rsid w:val="0007478C"/>
    <w:rsid w:val="00086EFE"/>
    <w:rsid w:val="000A1705"/>
    <w:rsid w:val="000E502E"/>
    <w:rsid w:val="00192C22"/>
    <w:rsid w:val="001A51D7"/>
    <w:rsid w:val="001E42F0"/>
    <w:rsid w:val="00266252"/>
    <w:rsid w:val="00285988"/>
    <w:rsid w:val="00285DF4"/>
    <w:rsid w:val="00292FCD"/>
    <w:rsid w:val="0029460E"/>
    <w:rsid w:val="002D797F"/>
    <w:rsid w:val="0031792D"/>
    <w:rsid w:val="003A0403"/>
    <w:rsid w:val="003E2AA3"/>
    <w:rsid w:val="00462F58"/>
    <w:rsid w:val="004A2F16"/>
    <w:rsid w:val="004B1A08"/>
    <w:rsid w:val="004F150D"/>
    <w:rsid w:val="005018CA"/>
    <w:rsid w:val="00510CAF"/>
    <w:rsid w:val="006659B4"/>
    <w:rsid w:val="00695228"/>
    <w:rsid w:val="006B2F20"/>
    <w:rsid w:val="006E0814"/>
    <w:rsid w:val="006E5A9C"/>
    <w:rsid w:val="007019B9"/>
    <w:rsid w:val="007215F1"/>
    <w:rsid w:val="007831D7"/>
    <w:rsid w:val="007C7DD2"/>
    <w:rsid w:val="00886EC7"/>
    <w:rsid w:val="00927945"/>
    <w:rsid w:val="0093441C"/>
    <w:rsid w:val="00991577"/>
    <w:rsid w:val="009C0FDB"/>
    <w:rsid w:val="009F16CE"/>
    <w:rsid w:val="00A309AA"/>
    <w:rsid w:val="00A86230"/>
    <w:rsid w:val="00AC1B8E"/>
    <w:rsid w:val="00B33996"/>
    <w:rsid w:val="00B42A5A"/>
    <w:rsid w:val="00B50B95"/>
    <w:rsid w:val="00B659BE"/>
    <w:rsid w:val="00B7523A"/>
    <w:rsid w:val="00BA35B5"/>
    <w:rsid w:val="00BA3C8B"/>
    <w:rsid w:val="00BB55CD"/>
    <w:rsid w:val="00BC228A"/>
    <w:rsid w:val="00D55D79"/>
    <w:rsid w:val="00D65228"/>
    <w:rsid w:val="00D749FF"/>
    <w:rsid w:val="00D85712"/>
    <w:rsid w:val="00DD1BAA"/>
    <w:rsid w:val="00E10794"/>
    <w:rsid w:val="00E33B37"/>
    <w:rsid w:val="00E51BAE"/>
    <w:rsid w:val="00E85EA3"/>
    <w:rsid w:val="00E957AB"/>
    <w:rsid w:val="00EA47AA"/>
    <w:rsid w:val="00EE1E1E"/>
    <w:rsid w:val="00F42B61"/>
    <w:rsid w:val="00F7445D"/>
    <w:rsid w:val="00F9250B"/>
    <w:rsid w:val="00FA5238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BDFE"/>
  <w15:chartTrackingRefBased/>
  <w15:docId w15:val="{2774405D-1DA9-443B-BEE9-F339F63F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1A0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1E1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705"/>
  </w:style>
  <w:style w:type="paragraph" w:styleId="Piedepgina">
    <w:name w:val="footer"/>
    <w:basedOn w:val="Normal"/>
    <w:link w:val="PiedepginaCar"/>
    <w:uiPriority w:val="99"/>
    <w:unhideWhenUsed/>
    <w:rsid w:val="000A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0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A170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A170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A170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170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170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0A170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A1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limatedatalibrary.cl/maproom/Monitoring/Meteorological/SPI.html?bbox=bb%3A-72.5%3A-35%3A-69.5%3A-33.85%3Abb&amp;var=SPI48&amp;region=bb%3A-72.5%3A-35%3A-69.5%3A-33.85%3Abb" TargetMode="External"/><Relationship Id="rId2" Type="http://schemas.openxmlformats.org/officeDocument/2006/relationships/hyperlink" Target="https://adalytics.cl/geo/6/63/6308" TargetMode="External"/><Relationship Id="rId1" Type="http://schemas.openxmlformats.org/officeDocument/2006/relationships/hyperlink" Target="https://site.muniplacilla.cl/comuna/aspectos-gener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2F785-6BAF-44A3-9846-7BB56425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Paula Rojas</cp:lastModifiedBy>
  <cp:revision>35</cp:revision>
  <dcterms:created xsi:type="dcterms:W3CDTF">2021-03-23T20:55:00Z</dcterms:created>
  <dcterms:modified xsi:type="dcterms:W3CDTF">2021-03-31T12:57:00Z</dcterms:modified>
</cp:coreProperties>
</file>