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39AF" w:rsidRPr="003139AF" w:rsidRDefault="003139AF">
      <w:pPr>
        <w:rPr>
          <w:sz w:val="20"/>
          <w:szCs w:val="20"/>
        </w:rPr>
      </w:pPr>
      <w:r w:rsidRPr="003139AF">
        <w:rPr>
          <w:sz w:val="20"/>
          <w:szCs w:val="20"/>
        </w:rPr>
        <w:t>Análisis de las respuestas sobre una tabla de contingencia levantada de la Casen2017.</w:t>
      </w:r>
    </w:p>
    <w:p w:rsidR="003139AF" w:rsidRPr="003139AF" w:rsidRDefault="00313552">
      <w:pPr>
        <w:rPr>
          <w:sz w:val="20"/>
          <w:szCs w:val="20"/>
        </w:rPr>
      </w:pPr>
      <w:r w:rsidRPr="003139AF">
        <w:rPr>
          <w:noProof/>
          <w:sz w:val="20"/>
          <w:szCs w:val="20"/>
          <w:lang w:eastAsia="es-CL"/>
        </w:rPr>
        <w:drawing>
          <wp:inline distT="0" distB="0" distL="0" distR="0" wp14:anchorId="031EC32C" wp14:editId="5CA4BF48">
            <wp:extent cx="3741748" cy="34462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66916" cy="346942"/>
                    </a:xfrm>
                    <a:prstGeom prst="rect">
                      <a:avLst/>
                    </a:prstGeom>
                  </pic:spPr>
                </pic:pic>
              </a:graphicData>
            </a:graphic>
          </wp:inline>
        </w:drawing>
      </w:r>
    </w:p>
    <w:p w:rsidR="00F63848" w:rsidRPr="003139AF" w:rsidRDefault="00313552" w:rsidP="003139AF">
      <w:pPr>
        <w:jc w:val="center"/>
        <w:rPr>
          <w:sz w:val="20"/>
          <w:szCs w:val="20"/>
        </w:rPr>
      </w:pPr>
      <w:r w:rsidRPr="003139AF">
        <w:rPr>
          <w:noProof/>
          <w:sz w:val="20"/>
          <w:szCs w:val="20"/>
          <w:lang w:eastAsia="es-CL"/>
        </w:rPr>
        <w:drawing>
          <wp:inline distT="0" distB="0" distL="0" distR="0">
            <wp:extent cx="3057350" cy="147407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065803" cy="1478155"/>
                    </a:xfrm>
                    <a:prstGeom prst="rect">
                      <a:avLst/>
                    </a:prstGeom>
                  </pic:spPr>
                </pic:pic>
              </a:graphicData>
            </a:graphic>
          </wp:inline>
        </w:drawing>
      </w:r>
    </w:p>
    <w:p w:rsidR="00F63848" w:rsidRPr="003139AF" w:rsidRDefault="00F63848" w:rsidP="00F63848">
      <w:pPr>
        <w:rPr>
          <w:sz w:val="20"/>
          <w:szCs w:val="20"/>
        </w:rPr>
      </w:pPr>
      <w:r w:rsidRPr="003139AF">
        <w:rPr>
          <w:sz w:val="20"/>
          <w:szCs w:val="20"/>
        </w:rPr>
        <w:t>1 Debemos primero analiza</w:t>
      </w:r>
      <w:r w:rsidR="003139AF" w:rsidRPr="003139AF">
        <w:rPr>
          <w:sz w:val="20"/>
          <w:szCs w:val="20"/>
        </w:rPr>
        <w:t>r las frecuencias de respuesta:</w:t>
      </w:r>
    </w:p>
    <w:p w:rsidR="00F63848" w:rsidRPr="003139AF" w:rsidRDefault="00EF62FF" w:rsidP="00EF62FF">
      <w:pPr>
        <w:jc w:val="center"/>
        <w:rPr>
          <w:sz w:val="20"/>
          <w:szCs w:val="20"/>
        </w:rPr>
      </w:pPr>
      <w:r w:rsidRPr="003139AF">
        <w:rPr>
          <w:noProof/>
          <w:sz w:val="20"/>
          <w:szCs w:val="20"/>
          <w:lang w:eastAsia="es-CL"/>
        </w:rPr>
        <w:drawing>
          <wp:inline distT="0" distB="0" distL="0" distR="0" wp14:anchorId="25A85D95" wp14:editId="0A66D5CE">
            <wp:extent cx="4619625" cy="27527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9625" cy="2752725"/>
                    </a:xfrm>
                    <a:prstGeom prst="rect">
                      <a:avLst/>
                    </a:prstGeom>
                  </pic:spPr>
                </pic:pic>
              </a:graphicData>
            </a:graphic>
          </wp:inline>
        </w:drawing>
      </w:r>
    </w:p>
    <w:p w:rsidR="0024739E" w:rsidRPr="003139AF" w:rsidRDefault="0024739E" w:rsidP="00F63848">
      <w:pPr>
        <w:rPr>
          <w:sz w:val="20"/>
          <w:szCs w:val="20"/>
        </w:rPr>
      </w:pPr>
      <w:r w:rsidRPr="003139AF">
        <w:rPr>
          <w:sz w:val="20"/>
          <w:szCs w:val="20"/>
        </w:rPr>
        <w:t xml:space="preserve">Para la población que se declara </w:t>
      </w:r>
      <w:proofErr w:type="gramStart"/>
      <w:r w:rsidRPr="003139AF">
        <w:rPr>
          <w:sz w:val="20"/>
          <w:szCs w:val="20"/>
        </w:rPr>
        <w:t>Aimara</w:t>
      </w:r>
      <w:proofErr w:type="gramEnd"/>
      <w:r w:rsidRPr="003139AF">
        <w:rPr>
          <w:sz w:val="20"/>
          <w:szCs w:val="20"/>
        </w:rPr>
        <w:t xml:space="preserve"> en las 5 comunas tomadas de la Casen:</w:t>
      </w:r>
    </w:p>
    <w:p w:rsidR="0024739E" w:rsidRDefault="00EF62FF" w:rsidP="00F63848">
      <w:pPr>
        <w:rPr>
          <w:sz w:val="20"/>
          <w:szCs w:val="20"/>
        </w:rPr>
      </w:pPr>
      <w:r w:rsidRPr="003139AF">
        <w:rPr>
          <w:sz w:val="20"/>
          <w:szCs w:val="20"/>
        </w:rPr>
        <w:t xml:space="preserve">Entre los que dicen que </w:t>
      </w:r>
      <w:r w:rsidRPr="003139AF">
        <w:rPr>
          <w:color w:val="000000" w:themeColor="text1"/>
          <w:sz w:val="20"/>
          <w:szCs w:val="20"/>
        </w:rPr>
        <w:t xml:space="preserve">Nunca o pocas veces </w:t>
      </w:r>
      <w:r w:rsidRPr="003139AF">
        <w:rPr>
          <w:sz w:val="20"/>
          <w:szCs w:val="20"/>
        </w:rPr>
        <w:t>(62,67) y los que dicen Muchas veces o siempre (</w:t>
      </w:r>
      <w:r w:rsidR="0024739E" w:rsidRPr="003139AF">
        <w:rPr>
          <w:sz w:val="20"/>
          <w:szCs w:val="20"/>
        </w:rPr>
        <w:t>37,32</w:t>
      </w:r>
      <w:r w:rsidRPr="003139AF">
        <w:rPr>
          <w:sz w:val="20"/>
          <w:szCs w:val="20"/>
        </w:rPr>
        <w:t>)</w:t>
      </w:r>
      <w:r w:rsidR="0024739E" w:rsidRPr="003139AF">
        <w:rPr>
          <w:sz w:val="20"/>
          <w:szCs w:val="20"/>
        </w:rPr>
        <w:t xml:space="preserve"> hay una relación casi de dos a uno. Esto quiere decir que el fenómeno de ver a gente en la calle consumiendo es un problema que afecta a solo 1 de 3 personas. Para los dos tercios restantes en un problema menor o inexistente.</w:t>
      </w:r>
    </w:p>
    <w:p w:rsidR="00A54A99" w:rsidRPr="003139AF" w:rsidRDefault="00A54A99" w:rsidP="00F63848">
      <w:pPr>
        <w:rPr>
          <w:sz w:val="20"/>
          <w:szCs w:val="20"/>
        </w:rPr>
      </w:pPr>
      <w:proofErr w:type="gramStart"/>
      <w:r>
        <w:rPr>
          <w:sz w:val="20"/>
          <w:szCs w:val="20"/>
        </w:rPr>
        <w:t>Se discrimina por situación de pobreza?</w:t>
      </w:r>
      <w:proofErr w:type="gramEnd"/>
    </w:p>
    <w:p w:rsidR="0024739E" w:rsidRPr="003139AF" w:rsidRDefault="003139AF" w:rsidP="00F63848">
      <w:pPr>
        <w:rPr>
          <w:sz w:val="20"/>
          <w:szCs w:val="20"/>
        </w:rPr>
      </w:pPr>
      <w:r w:rsidRPr="003139AF">
        <w:rPr>
          <w:sz w:val="20"/>
          <w:szCs w:val="20"/>
        </w:rPr>
        <w:t xml:space="preserve">Sin </w:t>
      </w:r>
      <w:proofErr w:type="gramStart"/>
      <w:r w:rsidRPr="003139AF">
        <w:rPr>
          <w:sz w:val="20"/>
          <w:szCs w:val="20"/>
        </w:rPr>
        <w:t>embargo</w:t>
      </w:r>
      <w:proofErr w:type="gramEnd"/>
      <w:r w:rsidRPr="003139AF">
        <w:rPr>
          <w:sz w:val="20"/>
          <w:szCs w:val="20"/>
        </w:rPr>
        <w:t xml:space="preserve"> la pobreza no marca una diferencia a </w:t>
      </w:r>
      <w:r w:rsidRPr="003139AF">
        <w:rPr>
          <w:b/>
          <w:color w:val="FF0000"/>
          <w:sz w:val="20"/>
          <w:szCs w:val="20"/>
        </w:rPr>
        <w:t>simple vista</w:t>
      </w:r>
      <w:r w:rsidRPr="003139AF">
        <w:rPr>
          <w:color w:val="FF0000"/>
          <w:sz w:val="20"/>
          <w:szCs w:val="20"/>
        </w:rPr>
        <w:t xml:space="preserve"> </w:t>
      </w:r>
      <w:r w:rsidRPr="003139AF">
        <w:rPr>
          <w:sz w:val="20"/>
          <w:szCs w:val="20"/>
        </w:rPr>
        <w:t>en estas percepciones pues solo propagan la tendencia general.</w:t>
      </w:r>
    </w:p>
    <w:p w:rsidR="00313552" w:rsidRPr="003139AF" w:rsidRDefault="00F63848" w:rsidP="00F63848">
      <w:pPr>
        <w:rPr>
          <w:sz w:val="20"/>
          <w:szCs w:val="20"/>
        </w:rPr>
      </w:pPr>
      <w:r w:rsidRPr="003139AF">
        <w:rPr>
          <w:sz w:val="20"/>
          <w:szCs w:val="20"/>
        </w:rPr>
        <w:t xml:space="preserve">1 Los </w:t>
      </w:r>
      <w:proofErr w:type="gramStart"/>
      <w:r w:rsidRPr="003139AF">
        <w:rPr>
          <w:sz w:val="20"/>
          <w:szCs w:val="20"/>
        </w:rPr>
        <w:t>Aimara</w:t>
      </w:r>
      <w:proofErr w:type="gramEnd"/>
      <w:r w:rsidRPr="003139AF">
        <w:rPr>
          <w:sz w:val="20"/>
          <w:szCs w:val="20"/>
        </w:rPr>
        <w:t xml:space="preserve"> pobres que nunca han visto consumir (38.6) son la mitad de los Aimara no pobres que nunca han visto consumir (61.4). </w:t>
      </w:r>
    </w:p>
    <w:p w:rsidR="00313552" w:rsidRPr="003139AF" w:rsidRDefault="00F63848">
      <w:pPr>
        <w:rPr>
          <w:sz w:val="20"/>
          <w:szCs w:val="20"/>
        </w:rPr>
      </w:pPr>
      <w:r w:rsidRPr="003139AF">
        <w:rPr>
          <w:sz w:val="20"/>
          <w:szCs w:val="20"/>
        </w:rPr>
        <w:t xml:space="preserve">2 Los </w:t>
      </w:r>
      <w:proofErr w:type="gramStart"/>
      <w:r w:rsidRPr="003139AF">
        <w:rPr>
          <w:sz w:val="20"/>
          <w:szCs w:val="20"/>
        </w:rPr>
        <w:t>Aimara</w:t>
      </w:r>
      <w:proofErr w:type="gramEnd"/>
      <w:r w:rsidRPr="003139AF">
        <w:rPr>
          <w:sz w:val="20"/>
          <w:szCs w:val="20"/>
        </w:rPr>
        <w:t xml:space="preserve"> pobres que siempre han visto consumir (23.5) son un tercio de los Aimara no pobres que siempre han visto consumir (76.5). </w:t>
      </w:r>
    </w:p>
    <w:p w:rsidR="003139AF" w:rsidRDefault="003139AF">
      <w:pPr>
        <w:rPr>
          <w:sz w:val="20"/>
          <w:szCs w:val="20"/>
        </w:rPr>
      </w:pPr>
      <w:r w:rsidRPr="003139AF">
        <w:rPr>
          <w:sz w:val="20"/>
          <w:szCs w:val="20"/>
        </w:rPr>
        <w:t>Debemos aplicar un estadístico para poder afirmar que</w:t>
      </w:r>
      <w:r>
        <w:rPr>
          <w:sz w:val="20"/>
          <w:szCs w:val="20"/>
        </w:rPr>
        <w:t xml:space="preserve"> el ser o no pobre influencia</w:t>
      </w:r>
      <w:r w:rsidRPr="003139AF">
        <w:rPr>
          <w:sz w:val="20"/>
          <w:szCs w:val="20"/>
        </w:rPr>
        <w:t xml:space="preserve"> ésta percepción.</w:t>
      </w:r>
    </w:p>
    <w:p w:rsidR="00EE173B" w:rsidRPr="00EE173B" w:rsidRDefault="00EE173B" w:rsidP="00EE173B">
      <w:pPr>
        <w:rPr>
          <w:color w:val="FF0000"/>
          <w:sz w:val="20"/>
          <w:szCs w:val="20"/>
          <w:lang w:val="es-ES"/>
        </w:rPr>
      </w:pPr>
      <w:r w:rsidRPr="00EE173B">
        <w:rPr>
          <w:color w:val="FF0000"/>
          <w:sz w:val="20"/>
          <w:szCs w:val="20"/>
          <w:lang w:val="es-ES"/>
        </w:rPr>
        <w:lastRenderedPageBreak/>
        <w:t xml:space="preserve">Para analizar estadísticamente datos ordinales, se deben utilizar pruebas no paramétricas. </w:t>
      </w:r>
    </w:p>
    <w:p w:rsidR="00390206" w:rsidRPr="00C44372" w:rsidRDefault="00C44372">
      <w:pPr>
        <w:rPr>
          <w:sz w:val="20"/>
          <w:szCs w:val="20"/>
        </w:rPr>
      </w:pPr>
      <w:r>
        <w:rPr>
          <w:sz w:val="20"/>
          <w:szCs w:val="20"/>
        </w:rPr>
        <w:t>El estadístico apropiado para analizar escalas Likert es la U de Mann-Whitney</w:t>
      </w:r>
    </w:p>
    <w:p w:rsidR="00390206" w:rsidRPr="00EE173B" w:rsidRDefault="00EE173B" w:rsidP="00EE173B">
      <w:pPr>
        <w:rPr>
          <w:sz w:val="20"/>
          <w:szCs w:val="20"/>
        </w:rPr>
      </w:pPr>
      <w:r w:rsidRPr="00EE173B">
        <w:rPr>
          <w:b/>
          <w:bCs/>
          <w:sz w:val="20"/>
          <w:szCs w:val="20"/>
        </w:rPr>
        <w:t>La regla del</w:t>
      </w:r>
      <w:r w:rsidR="00390206" w:rsidRPr="00EE173B">
        <w:rPr>
          <w:b/>
          <w:bCs/>
          <w:sz w:val="20"/>
          <w:szCs w:val="20"/>
        </w:rPr>
        <w:t xml:space="preserve"> N=30 </w:t>
      </w:r>
    </w:p>
    <w:p w:rsidR="00EE173B" w:rsidRDefault="00EE173B">
      <w:pPr>
        <w:rPr>
          <w:sz w:val="20"/>
          <w:szCs w:val="20"/>
          <w:lang w:val="es-ES"/>
        </w:rPr>
      </w:pPr>
      <w:bookmarkStart w:id="0" w:name="_GoBack"/>
      <w:bookmarkEnd w:id="0"/>
      <w:r w:rsidRPr="00EE173B">
        <w:rPr>
          <w:sz w:val="20"/>
          <w:szCs w:val="20"/>
          <w:lang w:val="es-ES"/>
        </w:rPr>
        <w:t xml:space="preserve">Las escalas Likert son una forma común de capturar datos sobre la opinión de los encuestados en las encuestas. Se trata de elementos en los que el encuestado elige una opción entre una serie de valores. Por ejemplo: uno a cinco o uno a siete, 'nunca' a 'siempre' o 'muy en desacuerdo' a 'totalmente de acuerdo' con puntos intermedios. </w:t>
      </w:r>
    </w:p>
    <w:p w:rsidR="00EE173B" w:rsidRDefault="00EE173B">
      <w:pPr>
        <w:rPr>
          <w:sz w:val="20"/>
          <w:szCs w:val="20"/>
          <w:lang w:val="es-ES"/>
        </w:rPr>
      </w:pPr>
      <w:r w:rsidRPr="00EE173B">
        <w:rPr>
          <w:sz w:val="20"/>
          <w:szCs w:val="20"/>
          <w:lang w:val="es-ES"/>
        </w:rPr>
        <w:t xml:space="preserve">Técnicamente, los datos de la escala Likert son ordinales. Esto significa que las opciones de respuesta tienen un orden significativo, pero los números en sí mismos no son significativos. Por ejemplo, considere una escala del uno al cinco con las siguientes opciones: Totalmente en desacuerdo, en desacuerdo, neutral, de acuerdo y totalmente de acuerdo. Alguien que elige "de acuerdo" (puntuación cuatro) no está de acuerdo el doble que alguien que elige "en desacuerdo" (puntuación dos). Entonces los números no son significativos, solo el orden. </w:t>
      </w:r>
    </w:p>
    <w:p w:rsidR="00390206" w:rsidRPr="003139AF" w:rsidRDefault="00EE173B">
      <w:pPr>
        <w:rPr>
          <w:sz w:val="20"/>
          <w:szCs w:val="20"/>
        </w:rPr>
      </w:pPr>
      <w:r w:rsidRPr="00EE173B">
        <w:rPr>
          <w:sz w:val="20"/>
          <w:szCs w:val="20"/>
          <w:lang w:val="es-ES"/>
        </w:rPr>
        <w:t xml:space="preserve">Las pruebas como la prueba U de Mann-Whitney o la prueba de rangos con signo de </w:t>
      </w:r>
      <w:proofErr w:type="spellStart"/>
      <w:r w:rsidRPr="00EE173B">
        <w:rPr>
          <w:sz w:val="20"/>
          <w:szCs w:val="20"/>
          <w:lang w:val="es-ES"/>
        </w:rPr>
        <w:t>Wicoxon</w:t>
      </w:r>
      <w:proofErr w:type="spellEnd"/>
      <w:r w:rsidRPr="00EE173B">
        <w:rPr>
          <w:sz w:val="20"/>
          <w:szCs w:val="20"/>
          <w:lang w:val="es-ES"/>
        </w:rPr>
        <w:t xml:space="preserve"> se pueden utilizar con datos ordinales. Sin embargo, es común ver datos ordinales analizados mediante pruebas paramétricas, como la prueba t o un ANOVA. A veces esto es apropiado y otras no. Entonces, ¿cuándo se pueden usar las pruebas paramétricas, que generalmente son más sensibles y más poderosas? Solo cuando los datos ordinales cumplen todos los supuestos de la prueba paramétrica. Estos son: 1. La distribución </w:t>
      </w:r>
      <w:proofErr w:type="spellStart"/>
      <w:r w:rsidRPr="00EE173B">
        <w:rPr>
          <w:sz w:val="20"/>
          <w:szCs w:val="20"/>
          <w:lang w:val="es-ES"/>
        </w:rPr>
        <w:t>muestral</w:t>
      </w:r>
      <w:proofErr w:type="spellEnd"/>
      <w:r w:rsidRPr="00EE173B">
        <w:rPr>
          <w:sz w:val="20"/>
          <w:szCs w:val="20"/>
          <w:lang w:val="es-ES"/>
        </w:rPr>
        <w:t xml:space="preserve"> (no necesariamente los datos en sí) se distribuye normalmente. Esto será cierto si: 1. El tamaño de la muestra (n) es superior a 30; o 2. n &lt;30 y los datos parecen estar distribuidos normalmente en la inspección. 2. Hay al menos 5 niveles en la escala ordinal. 3. No hay puntajes extremos, y es esencialmente imposible tener puntajes extremos en una escala Likert ya que las opciones son limitadas. 4. La varianza de las dos muestras (o más) que se comparan es aproximadamente igual. Esto no es un problema si n&gt; 30.</w:t>
      </w:r>
    </w:p>
    <w:sectPr w:rsidR="00390206" w:rsidRPr="003139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884B96"/>
    <w:multiLevelType w:val="multilevel"/>
    <w:tmpl w:val="DA28AA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552"/>
    <w:rsid w:val="00166CBB"/>
    <w:rsid w:val="0024739E"/>
    <w:rsid w:val="00313552"/>
    <w:rsid w:val="003139AF"/>
    <w:rsid w:val="00390206"/>
    <w:rsid w:val="00A54A99"/>
    <w:rsid w:val="00B52002"/>
    <w:rsid w:val="00C44372"/>
    <w:rsid w:val="00EE173B"/>
    <w:rsid w:val="00EF62FF"/>
    <w:rsid w:val="00F6384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BC463"/>
  <w15:chartTrackingRefBased/>
  <w15:docId w15:val="{890F3E75-604B-4EB5-9DF5-FD50280A5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848"/>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902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1571653">
      <w:bodyDiv w:val="1"/>
      <w:marLeft w:val="0"/>
      <w:marRight w:val="0"/>
      <w:marTop w:val="0"/>
      <w:marBottom w:val="0"/>
      <w:divBdr>
        <w:top w:val="none" w:sz="0" w:space="0" w:color="auto"/>
        <w:left w:val="none" w:sz="0" w:space="0" w:color="auto"/>
        <w:bottom w:val="none" w:sz="0" w:space="0" w:color="auto"/>
        <w:right w:val="none" w:sz="0" w:space="0" w:color="auto"/>
      </w:divBdr>
      <w:divsChild>
        <w:div w:id="238909790">
          <w:marLeft w:val="0"/>
          <w:marRight w:val="0"/>
          <w:marTop w:val="0"/>
          <w:marBottom w:val="0"/>
          <w:divBdr>
            <w:top w:val="none" w:sz="0" w:space="0" w:color="auto"/>
            <w:left w:val="none" w:sz="0" w:space="0" w:color="auto"/>
            <w:bottom w:val="none" w:sz="0" w:space="0" w:color="auto"/>
            <w:right w:val="none" w:sz="0" w:space="0" w:color="auto"/>
          </w:divBdr>
          <w:divsChild>
            <w:div w:id="1248810387">
              <w:marLeft w:val="0"/>
              <w:marRight w:val="0"/>
              <w:marTop w:val="0"/>
              <w:marBottom w:val="0"/>
              <w:divBdr>
                <w:top w:val="none" w:sz="0" w:space="0" w:color="auto"/>
                <w:left w:val="none" w:sz="0" w:space="0" w:color="auto"/>
                <w:bottom w:val="none" w:sz="0" w:space="0" w:color="auto"/>
                <w:right w:val="none" w:sz="0" w:space="0" w:color="auto"/>
              </w:divBdr>
              <w:divsChild>
                <w:div w:id="146096616">
                  <w:marLeft w:val="0"/>
                  <w:marRight w:val="0"/>
                  <w:marTop w:val="0"/>
                  <w:marBottom w:val="0"/>
                  <w:divBdr>
                    <w:top w:val="none" w:sz="0" w:space="0" w:color="auto"/>
                    <w:left w:val="none" w:sz="0" w:space="0" w:color="auto"/>
                    <w:bottom w:val="none" w:sz="0" w:space="0" w:color="auto"/>
                    <w:right w:val="none" w:sz="0" w:space="0" w:color="auto"/>
                  </w:divBdr>
                  <w:divsChild>
                    <w:div w:id="367608944">
                      <w:marLeft w:val="0"/>
                      <w:marRight w:val="0"/>
                      <w:marTop w:val="0"/>
                      <w:marBottom w:val="0"/>
                      <w:divBdr>
                        <w:top w:val="none" w:sz="0" w:space="0" w:color="auto"/>
                        <w:left w:val="none" w:sz="0" w:space="0" w:color="auto"/>
                        <w:bottom w:val="none" w:sz="0" w:space="0" w:color="auto"/>
                        <w:right w:val="none" w:sz="0" w:space="0" w:color="auto"/>
                      </w:divBdr>
                      <w:divsChild>
                        <w:div w:id="582690365">
                          <w:marLeft w:val="0"/>
                          <w:marRight w:val="0"/>
                          <w:marTop w:val="0"/>
                          <w:marBottom w:val="0"/>
                          <w:divBdr>
                            <w:top w:val="none" w:sz="0" w:space="0" w:color="auto"/>
                            <w:left w:val="none" w:sz="0" w:space="0" w:color="auto"/>
                            <w:bottom w:val="none" w:sz="0" w:space="0" w:color="auto"/>
                            <w:right w:val="none" w:sz="0" w:space="0" w:color="auto"/>
                          </w:divBdr>
                          <w:divsChild>
                            <w:div w:id="1067528843">
                              <w:marLeft w:val="0"/>
                              <w:marRight w:val="0"/>
                              <w:marTop w:val="0"/>
                              <w:marBottom w:val="0"/>
                              <w:divBdr>
                                <w:top w:val="none" w:sz="0" w:space="0" w:color="auto"/>
                                <w:left w:val="none" w:sz="0" w:space="0" w:color="auto"/>
                                <w:bottom w:val="none" w:sz="0" w:space="0" w:color="auto"/>
                                <w:right w:val="none" w:sz="0" w:space="0" w:color="auto"/>
                              </w:divBdr>
                              <w:divsChild>
                                <w:div w:id="566721389">
                                  <w:marLeft w:val="0"/>
                                  <w:marRight w:val="0"/>
                                  <w:marTop w:val="0"/>
                                  <w:marBottom w:val="0"/>
                                  <w:divBdr>
                                    <w:top w:val="none" w:sz="0" w:space="0" w:color="auto"/>
                                    <w:left w:val="none" w:sz="0" w:space="0" w:color="auto"/>
                                    <w:bottom w:val="none" w:sz="0" w:space="0" w:color="auto"/>
                                    <w:right w:val="none" w:sz="0" w:space="0" w:color="auto"/>
                                  </w:divBdr>
                                  <w:divsChild>
                                    <w:div w:id="1445226791">
                                      <w:marLeft w:val="0"/>
                                      <w:marRight w:val="0"/>
                                      <w:marTop w:val="0"/>
                                      <w:marBottom w:val="0"/>
                                      <w:divBdr>
                                        <w:top w:val="none" w:sz="0" w:space="0" w:color="auto"/>
                                        <w:left w:val="none" w:sz="0" w:space="0" w:color="auto"/>
                                        <w:bottom w:val="none" w:sz="0" w:space="0" w:color="auto"/>
                                        <w:right w:val="none" w:sz="0" w:space="0" w:color="auto"/>
                                      </w:divBdr>
                                      <w:divsChild>
                                        <w:div w:id="404381375">
                                          <w:marLeft w:val="0"/>
                                          <w:marRight w:val="0"/>
                                          <w:marTop w:val="0"/>
                                          <w:marBottom w:val="0"/>
                                          <w:divBdr>
                                            <w:top w:val="none" w:sz="0" w:space="0" w:color="auto"/>
                                            <w:left w:val="none" w:sz="0" w:space="0" w:color="auto"/>
                                            <w:bottom w:val="none" w:sz="0" w:space="0" w:color="auto"/>
                                            <w:right w:val="none" w:sz="0" w:space="0" w:color="auto"/>
                                          </w:divBdr>
                                        </w:div>
                                        <w:div w:id="148172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6425149">
                  <w:marLeft w:val="0"/>
                  <w:marRight w:val="0"/>
                  <w:marTop w:val="0"/>
                  <w:marBottom w:val="0"/>
                  <w:divBdr>
                    <w:top w:val="none" w:sz="0" w:space="0" w:color="auto"/>
                    <w:left w:val="none" w:sz="0" w:space="0" w:color="auto"/>
                    <w:bottom w:val="none" w:sz="0" w:space="0" w:color="auto"/>
                    <w:right w:val="none" w:sz="0" w:space="0" w:color="auto"/>
                  </w:divBdr>
                  <w:divsChild>
                    <w:div w:id="968978842">
                      <w:marLeft w:val="0"/>
                      <w:marRight w:val="0"/>
                      <w:marTop w:val="0"/>
                      <w:marBottom w:val="0"/>
                      <w:divBdr>
                        <w:top w:val="none" w:sz="0" w:space="0" w:color="auto"/>
                        <w:left w:val="none" w:sz="0" w:space="0" w:color="auto"/>
                        <w:bottom w:val="none" w:sz="0" w:space="0" w:color="auto"/>
                        <w:right w:val="none" w:sz="0" w:space="0" w:color="auto"/>
                      </w:divBdr>
                      <w:divsChild>
                        <w:div w:id="1906530475">
                          <w:marLeft w:val="0"/>
                          <w:marRight w:val="0"/>
                          <w:marTop w:val="0"/>
                          <w:marBottom w:val="0"/>
                          <w:divBdr>
                            <w:top w:val="none" w:sz="0" w:space="0" w:color="auto"/>
                            <w:left w:val="none" w:sz="0" w:space="0" w:color="auto"/>
                            <w:bottom w:val="none" w:sz="0" w:space="0" w:color="auto"/>
                            <w:right w:val="none" w:sz="0" w:space="0" w:color="auto"/>
                          </w:divBdr>
                          <w:divsChild>
                            <w:div w:id="1943491199">
                              <w:marLeft w:val="0"/>
                              <w:marRight w:val="0"/>
                              <w:marTop w:val="0"/>
                              <w:marBottom w:val="0"/>
                              <w:divBdr>
                                <w:top w:val="none" w:sz="0" w:space="0" w:color="auto"/>
                                <w:left w:val="none" w:sz="0" w:space="0" w:color="auto"/>
                                <w:bottom w:val="none" w:sz="0" w:space="0" w:color="auto"/>
                                <w:right w:val="none" w:sz="0" w:space="0" w:color="auto"/>
                              </w:divBdr>
                              <w:divsChild>
                                <w:div w:id="1694764970">
                                  <w:marLeft w:val="0"/>
                                  <w:marRight w:val="0"/>
                                  <w:marTop w:val="0"/>
                                  <w:marBottom w:val="0"/>
                                  <w:divBdr>
                                    <w:top w:val="none" w:sz="0" w:space="0" w:color="auto"/>
                                    <w:left w:val="none" w:sz="0" w:space="0" w:color="auto"/>
                                    <w:bottom w:val="none" w:sz="0" w:space="0" w:color="auto"/>
                                    <w:right w:val="none" w:sz="0" w:space="0" w:color="auto"/>
                                  </w:divBdr>
                                  <w:divsChild>
                                    <w:div w:id="1850869763">
                                      <w:marLeft w:val="0"/>
                                      <w:marRight w:val="0"/>
                                      <w:marTop w:val="0"/>
                                      <w:marBottom w:val="0"/>
                                      <w:divBdr>
                                        <w:top w:val="none" w:sz="0" w:space="0" w:color="auto"/>
                                        <w:left w:val="none" w:sz="0" w:space="0" w:color="auto"/>
                                        <w:bottom w:val="none" w:sz="0" w:space="0" w:color="auto"/>
                                        <w:right w:val="none" w:sz="0" w:space="0" w:color="auto"/>
                                      </w:divBdr>
                                      <w:divsChild>
                                        <w:div w:id="205909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0205728">
          <w:marLeft w:val="0"/>
          <w:marRight w:val="0"/>
          <w:marTop w:val="0"/>
          <w:marBottom w:val="0"/>
          <w:divBdr>
            <w:top w:val="none" w:sz="0" w:space="0" w:color="auto"/>
            <w:left w:val="none" w:sz="0" w:space="0" w:color="auto"/>
            <w:bottom w:val="none" w:sz="0" w:space="0" w:color="auto"/>
            <w:right w:val="none" w:sz="0" w:space="0" w:color="auto"/>
          </w:divBdr>
          <w:divsChild>
            <w:div w:id="1869222395">
              <w:marLeft w:val="0"/>
              <w:marRight w:val="0"/>
              <w:marTop w:val="0"/>
              <w:marBottom w:val="0"/>
              <w:divBdr>
                <w:top w:val="none" w:sz="0" w:space="0" w:color="auto"/>
                <w:left w:val="none" w:sz="0" w:space="0" w:color="auto"/>
                <w:bottom w:val="none" w:sz="0" w:space="0" w:color="auto"/>
                <w:right w:val="none" w:sz="0" w:space="0" w:color="auto"/>
              </w:divBdr>
              <w:divsChild>
                <w:div w:id="1495487293">
                  <w:marLeft w:val="0"/>
                  <w:marRight w:val="0"/>
                  <w:marTop w:val="0"/>
                  <w:marBottom w:val="0"/>
                  <w:divBdr>
                    <w:top w:val="none" w:sz="0" w:space="0" w:color="auto"/>
                    <w:left w:val="none" w:sz="0" w:space="0" w:color="auto"/>
                    <w:bottom w:val="none" w:sz="0" w:space="0" w:color="auto"/>
                    <w:right w:val="none" w:sz="0" w:space="0" w:color="auto"/>
                  </w:divBdr>
                  <w:divsChild>
                    <w:div w:id="2032678287">
                      <w:marLeft w:val="0"/>
                      <w:marRight w:val="0"/>
                      <w:marTop w:val="0"/>
                      <w:marBottom w:val="0"/>
                      <w:divBdr>
                        <w:top w:val="none" w:sz="0" w:space="0" w:color="auto"/>
                        <w:left w:val="none" w:sz="0" w:space="0" w:color="auto"/>
                        <w:bottom w:val="none" w:sz="0" w:space="0" w:color="auto"/>
                        <w:right w:val="none" w:sz="0" w:space="0" w:color="auto"/>
                      </w:divBdr>
                      <w:divsChild>
                        <w:div w:id="729697831">
                          <w:marLeft w:val="0"/>
                          <w:marRight w:val="0"/>
                          <w:marTop w:val="0"/>
                          <w:marBottom w:val="0"/>
                          <w:divBdr>
                            <w:top w:val="none" w:sz="0" w:space="0" w:color="auto"/>
                            <w:left w:val="none" w:sz="0" w:space="0" w:color="auto"/>
                            <w:bottom w:val="none" w:sz="0" w:space="0" w:color="auto"/>
                            <w:right w:val="none" w:sz="0" w:space="0" w:color="auto"/>
                          </w:divBdr>
                        </w:div>
                        <w:div w:id="12283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490</Words>
  <Characters>2700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5</cp:revision>
  <dcterms:created xsi:type="dcterms:W3CDTF">2020-11-11T21:18:00Z</dcterms:created>
  <dcterms:modified xsi:type="dcterms:W3CDTF">2020-11-11T23:10:00Z</dcterms:modified>
</cp:coreProperties>
</file>