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pPr>
        <w:spacing w:after="0" w:before="0" w:line="240" w:lineRule="auto"/>
        <w:ind w:left="0" w:right="0" w:firstLine="0"/>
        <w:jc w:val="right"/>
      </w:pPr>
      <w:r>
        <w:rPr>
          <w:rFonts w:ascii="Verdana" w:cs="Verdana" w:eastAsia="Verdana" w:hAnsi="Verdana"/>
          <w:b w:val="1"/>
          <w:bCs w:val="1"/>
          <w:color w:val="002060"/>
          <w:sz w:val="24"/>
          <w:szCs w:val="24"/>
        </w:rPr>
        <w:t xml:space="preserve">29, agosto, 2026</w:t>
      </w:r>
    </w:p>
    <w:p>
      <w:pPr>
        <w:rPr>
          <w:u w:val="single"/>
        </w:rPr>
      </w:pPr>
      <w:r>
        <w:rPr>
          <w:rtl w:val="0"/>
        </w:rPr>
      </w:r>
    </w:p>
    <w:p>
      <w:pPr>
        <w:shd w:fill="ffffff" w:val="clear"/>
        <w:spacing w:after="225" w:before="0" w:line="240" w:lineRule="auto"/>
        <w:ind w:left="0" w:right="-142" w:firstLine="0"/>
        <w:jc w:val="center"/>
      </w:pPr>
      <w:r>
        <w:rPr>
          <w:rFonts w:ascii="Open Sans" w:cs="Open Sans" w:eastAsia="Open Sans" w:hAnsi="Open Sans"/>
          <w:b w:val="1"/>
          <w:bCs w:val="1"/>
          <w:color w:val="002060"/>
          <w:sz w:val="48"/>
          <w:szCs w:val="48"/>
        </w:rPr>
        <w:t xml:space="preserve">Visor del Catastro: hallazgos y propuesta de homologación</w:t>
      </w:r>
    </w:p>
    <w:p>
      <w:pPr>
        <w:rPr>
          <w:u w:val="single"/>
        </w:rPr>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Contexto:</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La Unidad de Información y Análisis realizó una revisión técnica del visor público del Catastro de Usos de la Tierra y Recursos Vegetacionales, publicado por la Gerencia de Fiscalización Forestal y Evaluación Ambiental en https://sud-austral.github.io/coipo_vista_catastro/. La revisión se ejecutó en dos pasadas, el 27 y el 29 de agosto de 2026, la segunda tras un rediseño de la interfaz.</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El presente informe consolida los hallazgos identificados, expone la causa raíz del más grave y describe la propuesta de corrección contenida en el libro «homologacion_catastro.xlsx», que se acompaña como anexo. Cada hallazgo indica de forma expresa si el libro lo resuelve, lo resuelve parcialmente o no lo aborda.</w:t>
      </w:r>
    </w:p>
    <w:p>
      <w:pPr>
        <w:rPr>
          <w:u w:val="single"/>
        </w:rPr>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Alcance y método:</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La revisión consistió en navegación e inspección del cliente sobre el visor publicado. Las dieciséis regiones se recorrieron una a una con el selector de ámbito, esperando la estabilización de las cifras antes de leerlas, y contrastando cada resultado contra el archivo «datos/manifest.json» que el propio visor publica (hash de datos 6f0274c867af, esquema 3, 1.827.933 polígonos).</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El análisis de vocabularios se realizó sobre los archivos «especies.xlsx» y «valores_unicos.xlsx» proporcionados por la Unidad, que contienen los valores distintos de cada variable categórica del Catastro.</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Limitaciones del alcance. </w:t>
      </w:r>
      <w:r>
        <w:rPr>
          <w:rFonts w:ascii="Open Sans" w:cs="Open Sans" w:eastAsia="Open Sans" w:hAnsi="Open Sans"/>
          <w:b w:val="0"/>
          <w:bCs w:val="0"/>
          <w:color w:val="002060"/>
          <w:sz w:val="21"/>
          <w:szCs w:val="21"/>
        </w:rPr>
        <w:t xml:space="preserve">No se tuvo acceso al repositorio de código fuente ni al proceso ETL, y no se ejecutaron descargas de archivos. Las conclusiones sobre el comportamiento interno de la aplicación se obtuvieron por inspección del código publicado en el navegador.</w:t>
      </w:r>
    </w:p>
    <w:p>
      <w:pPr>
        <w:rPr>
          <w:u w:val="single"/>
        </w:rPr>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Resumen de hallazgos:</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Se identificaron nueve hallazgos vigentes: uno crítico, dos altos, tres medios y tres menores. Un décimo hallazgo consignado inicialmente fue retirado tras verificación, y se deja registrado como tal en lugar de suprimirse. El rediseño de la interfaz introducido entre ambas revisiones no corrigió ninguno: el paquete de JavaScript cambió, pero el conjunto de datos publicado es idéntico.</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Las tablas auxiliares de homologación resuelven por completo dos hallazgos, resuelven parcialmente tres y no abordan cinco. Esta distinción es deliberada y se detalla más adelante: el problema de vocabulario, el de dato faltante y el de código de la aplicación son tres problemas distintos y requieren tres intervenciones distintas.</w:t>
      </w:r>
    </w:p>
    <w:p>
      <w:pPr>
        <w:rPr>
          <w:u w:val="single"/>
        </w:rPr>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Hallazgo crítico — H1. El ámbito «Los Ríos» entrega cifras nacionales:</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Al seleccionar la Región de Los Ríos, el visor mueve la cámara del mapa y cambia el rótulo del ámbito, pero no acota los datos. El panel de indicadores muestra 75.661.200,39 hectáreas y 1.827.933 polígonos —el total nacional— rotulados como «Los Ríos», cuando corresponde mostrar 1.835.307,15 hectáreas y 79.727 polígonos. La capa de puntos del mapa tampoco se recorta a la región.</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Es la única de las dieciséis regiones donde ocurre. Las otras catorce coinciden exactamente con el manifiesto, incluidas Aysén con 344.808 polígonos y Magallanes con 286.529. El tamaño no es la causa: Los Ríos tiene 79.727.</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Agravante introducido por el rediseño. </w:t>
      </w:r>
      <w:r>
        <w:rPr>
          <w:rFonts w:ascii="Open Sans" w:cs="Open Sans" w:eastAsia="Open Sans" w:hAnsi="Open Sans"/>
          <w:b w:val="0"/>
          <w:bCs w:val="0"/>
          <w:color w:val="002060"/>
          <w:sz w:val="21"/>
          <w:szCs w:val="21"/>
        </w:rPr>
        <w:t xml:space="preserve">El nuevo selector de territorio muestra la superficie de cada región y declara «Los Ríos · Catastro 2024 · 1,8 M ha». Al seleccionarlo, el panel responde 75,7 M ha. La aplicación se contradice en dos pantallas contiguas, y la contradicción ya es visible para cualquier usuario. Además se incorporó un «Reporte del ámbito (PDF)» que, de heredar el mismo defecto, produciría un documento con identidad institucional y cifras nacionales rotuladas como regionales.</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Síntoma adicional verificado el 29 de agosto. </w:t>
      </w:r>
      <w:r>
        <w:rPr>
          <w:rFonts w:ascii="Open Sans" w:cs="Open Sans" w:eastAsia="Open Sans" w:hAnsi="Open Sans"/>
          <w:b w:val="0"/>
          <w:bCs w:val="0"/>
          <w:color w:val="002060"/>
          <w:sz w:val="21"/>
          <w:szCs w:val="21"/>
        </w:rPr>
        <w:t xml:space="preserve">El selector de Territorio no tiene un solo nivel, sino tres: Región, Provincia y Comuna. Al seleccionar cualquier región despliega sus provincias y sus comunas, cada una con su número de polígonos y su superficie —Los Lagos ofrece 4 provincias y 30 comunas; Biobío, 3 y 33; La Araucanía, 2 y 32—. Al seleccionar Los Ríos, las secciones Provincia y Comuna desaparecen y el panel se queda únicamente en Región. En consecuencia, no sólo las cifras salen nacionales: todo el desglose territorial de la región es inaccesible. No es posible consultar Valdivia, Panguipulli ni ninguna de sus doce comunas, ni descargar sus polígonos acotados, porque para el visor esas comunas no existen.</w:t>
      </w:r>
    </w:p>
    <w:p>
      <w:pPr>
        <w:rPr>
          <w:u w:val="single"/>
        </w:rPr>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Causa raíz de H1 y H4:</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El binario de puntos no contiene una columna de región. Sus columnas son uso, subuso, estructura, tipo forestal, subtipo forestal, cobertura, altura, especie, SNASPE y comuna. En consecuencia, los tres niveles del ámbito territorial —región, provincia y comuna— se derivan de la columna comuna: seleccionar una región se traduce internamente en reunir el conjunto de comunas cuya región corresponde a la seleccionada, y filtrar por ese conjunto.</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Ninguna de las 331 comunas del conjunto publicado pertenece a la Región de Los Ríos: no existe ninguna con código de región 14, y ningún código de comuna comienza con 14. Las doce comunas de la región —Valdivia, Panguipulli, La Unión, Río Bueno y las demás— no están. Sus 79.727 polígonos traen el valor centinela de «sin dato» en la columna comuna.</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El conjunto de comunas resultante queda vacío, y el código sólo aplica el recorte cuando ese conjunto no está vacío. Como es exactamente el mismo valor que se obtiene cuando no hay región seleccionada, la aplicación no puede distinguir «no elegí región» de «elegí una región que no calza con nada», y en ambos casos entrega el conjunto completo.</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La cifra ya estaba publicada. </w:t>
      </w:r>
      <w:r>
        <w:rPr>
          <w:rFonts w:ascii="Open Sans" w:cs="Open Sans" w:eastAsia="Open Sans" w:hAnsi="Open Sans"/>
          <w:b w:val="0"/>
          <w:bCs w:val="0"/>
          <w:color w:val="002060"/>
          <w:sz w:val="21"/>
          <w:szCs w:val="21"/>
        </w:rPr>
        <w:t xml:space="preserve">La sección de Procedencia de la Metodología del propio visor declara «Filas sin dato en alguna dimensión: comuna 79.731». Esa cifra corresponde exactamente a los 79.727 polígonos de Los Ríos más los 4 polígonos de Magallanes del hallazgo H4. El visor venía informando cuántos registros se le escapan; no se había vinculado ese dato con el selector de región.</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El rótulo y el encuadre del mapa siguen indicando «Los Ríos» porque provienen de otra fuente: el registro de la región en el manifiesto, con su nombre y su recuadro geográfico, que sí está correctamente poblado. De ahí que el error resulte convincente para el usuario.</w:t>
      </w:r>
    </w:p>
    <w:p>
      <w:pPr>
        <w:rPr>
          <w:u w:val="single"/>
        </w:rPr>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Hallazgo medio — H4. Cuatro polígonos sin representación regional:</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Magallanes es la única región cuyo total no calza con el manifiesto: el visor muestra 286.525 polígonos y 13.342.282,50 hectáreas, frente a 286.529 y 13.469.451,39 declarados. La diferencia de 4 polígonos y 127.168,89 hectáreas corresponde exactamente a cuatro de los cinco polígonos de la clase «Áreas no Reconocidas», que carecen de comuna y por tanto no pueden pertenecer a ningún ámbito regional. Comparte causa raíz con H1 y se corrige con la misma intervención.</w:t>
      </w:r>
    </w:p>
    <w:p>
      <w:pPr>
        <w:rPr>
          <w:u w:val="single"/>
        </w:rPr>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Hallazgos altos — H2 y H3. Vocabularios partidos por variantes de escritura:</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Las etiquetas del SNASPE y de los subtipos forestales se deducen del texto de la capa de origen y no de un código, de modo que cualquier variante de escritura genera una clase nueva. Es la única falla del visor que las tablas auxiliares corrigen íntegramente.</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H2. Cuatro unidades del SNASPE aparecen partidas en dos entradas del filtro. </w:t>
      </w:r>
      <w:r>
        <w:rPr>
          <w:rFonts w:ascii="Open Sans" w:cs="Open Sans" w:eastAsia="Open Sans" w:hAnsi="Open Sans"/>
          <w:b w:val="0"/>
          <w:bCs w:val="0"/>
          <w:color w:val="002060"/>
          <w:sz w:val="21"/>
          <w:szCs w:val="21"/>
        </w:rPr>
        <w:t xml:space="preserve">El Parque Nacional Bernardo O&amp;#x2019;Higgins figura como «Parque Nacional Bernardo Ohiggins» con 2.849.820,93 ha y como «Parque Nacional Bernardo OHiggins» con 962.126,98 ha: la unidad real suma 3.811.947,91 ha en 85.684 polígonos. La Reserva Nacional Ñuble aparece como «Reserva Nacional Nuble» y como «Nuble», y suma 74.437,97 ha en 2.634 polígonos. Lo mismo ocurre con el Parque Nacional Pan de Azúcar y el Parque Nacional Nahuelbuta. Quien consulte una de estas unidades obtiene, en el mejor de los casos, poco más de la mitad de su superficie.</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H3. Cuatro subtipos forestales están duplicados por variantes de escritura. </w:t>
      </w:r>
      <w:r>
        <w:rPr>
          <w:rFonts w:ascii="Open Sans" w:cs="Open Sans" w:eastAsia="Open Sans" w:hAnsi="Open Sans"/>
          <w:b w:val="0"/>
          <w:bCs w:val="0"/>
          <w:color w:val="002060"/>
          <w:sz w:val="21"/>
          <w:szCs w:val="21"/>
        </w:rPr>
        <w:t xml:space="preserve">«Roble-Raulí-Coihue» y «Roble - Raulí - Coihue»; «Roble - Hualo» y «Roble-Hualo»; «Coihue - Raulí - Tepa» y «Coihue-Rauli-Tepa»; «Peumo - Quillay - Litre» y «Peumo quillay litre». En total 75.918,86 hectáreas figuran bajo la variante minoritaria. Los dos miembros de cada par comparten el mismo código de tipo forestal, lo que permite fusionarlos sin necesidad de criterio experto.</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Advertencia sobre lo que no debe fusionarse. </w:t>
      </w:r>
      <w:r>
        <w:rPr>
          <w:rFonts w:ascii="Open Sans" w:cs="Open Sans" w:eastAsia="Open Sans" w:hAnsi="Open Sans"/>
          <w:b w:val="0"/>
          <w:bCs w:val="0"/>
          <w:color w:val="002060"/>
          <w:sz w:val="21"/>
          <w:szCs w:val="21"/>
        </w:rPr>
        <w:t xml:space="preserve">El Parque Nacional Villarrica y la Reserva Nacional Villarrica son dos unidades distintas del Sistema que comparten topónimo, y deben permanecer separadas. Es la razón por la cual el nombre canónico propuesto incluye siempre la categoría.</w:t>
      </w:r>
    </w:p>
    <w:p>
      <w:pPr>
        <w:rPr>
          <w:u w:val="single"/>
        </w:rPr>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Hallazgos medios — H5, H6 y H7:</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H5. Defectos de codificación y ortografía en el vocabulario publicado. </w:t>
      </w:r>
      <w:r>
        <w:rPr>
          <w:rFonts w:ascii="Open Sans" w:cs="Open Sans" w:eastAsia="Open Sans" w:hAnsi="Open Sans"/>
          <w:b w:val="0"/>
          <w:bCs w:val="0"/>
          <w:color w:val="002060"/>
          <w:sz w:val="21"/>
          <w:szCs w:val="21"/>
        </w:rPr>
        <w:t xml:space="preserve">La especie Oxychloë haumaniana se publica con un carácter de reemplazo en su etiqueta, nombre científico y género. El código de especie de Descurainia stricta llegó como secuencia de doble codificación. Una unidad del SNASPE presenta el error de tipeo «Monumentro Nacional Lahuen Ñadi», con categoría equivocada en el rótulo. Diecinueve unidades del SNASPE y once comunas perdieron tildes, eñes o diéresis: Nonguén, Pingüino de Humboldt, Ñuble, Copiapó, Ollagüe, Traiguén, Purén, Futaleufú, entre otras.</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H6. La Metodología afirma en términos absolutos algo que la propia página contradice. </w:t>
      </w:r>
      <w:r>
        <w:rPr>
          <w:rFonts w:ascii="Open Sans" w:cs="Open Sans" w:eastAsia="Open Sans" w:hAnsi="Open Sans"/>
          <w:b w:val="0"/>
          <w:bCs w:val="0"/>
          <w:color w:val="002060"/>
          <w:sz w:val="21"/>
          <w:szCs w:val="21"/>
        </w:rPr>
        <w:t xml:space="preserve">La sección «Cómo se contrastan estas cifras» sostiene que «todas las etiquetas y todos los agregados salen del código oficial, nunca del texto de la capa». La sección de Subtipos declara lo contrario para esa dimensión, y el manifiesto reconoce cinco vocabularios derivados del dato —alturas, subtipos forestales, especies, SNASPE y comunas— más uno mixto, mientras el texto menciona tres. La declaración al pie de cada filtro sí es correcta; el problema se limita a la frase absoluta del modal, que es la que un lector externo citaría.</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H7. Inconsistencias de forma y de conteo. </w:t>
      </w:r>
      <w:r>
        <w:rPr>
          <w:rFonts w:ascii="Open Sans" w:cs="Open Sans" w:eastAsia="Open Sans" w:hAnsi="Open Sans"/>
          <w:b w:val="0"/>
          <w:bCs w:val="0"/>
          <w:color w:val="002060"/>
          <w:sz w:val="21"/>
          <w:szCs w:val="21"/>
        </w:rPr>
        <w:t xml:space="preserve">El modal declara «39 subtipos distintos» mientras el manifiesto y la interfaz indican 37, y los reales son 33. Las clases de altura usan punto decimal —«0 - 0.5», «0.5 - 1»— frente a la coma decimal del resto del visor. La Procedencia consigna «040200 (1 filas)». Adicionalmente, 208 grupos de códigos de especie difieren únicamente en mayúsculas y designan especies distintas, circunstancia que el visor no declara.</w:t>
      </w:r>
    </w:p>
    <w:p>
      <w:pPr>
        <w:rPr>
          <w:u w:val="single"/>
        </w:rPr>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Hallazgos menores — H8 y H10:</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H8. Nota interna previa a la publicación visible en una URL pública. </w:t>
      </w:r>
      <w:r>
        <w:rPr>
          <w:rFonts w:ascii="Open Sans" w:cs="Open Sans" w:eastAsia="Open Sans" w:hAnsi="Open Sans"/>
          <w:b w:val="0"/>
          <w:bCs w:val="0"/>
          <w:color w:val="002060"/>
          <w:sz w:val="21"/>
          <w:szCs w:val="21"/>
        </w:rPr>
        <w:t xml:space="preserve">La Metodología advierte: «El texto legal de estas definiciones está resumido para leerse aquí. Antes de publicar, CONAF debe validar la redacción contra el texto oficial de la Ley 20.283 y su reglamento». La advertencia es correcta y la validación debe realizarse; lo que corresponde revisar es que hoy se lee como una tarea pendiente en un sitio ya en línea e indexable.</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H10. El panel conserva las cifras del ámbito anterior mientras recalcula. </w:t>
      </w:r>
      <w:r>
        <w:rPr>
          <w:rFonts w:ascii="Open Sans" w:cs="Open Sans" w:eastAsia="Open Sans" w:hAnsi="Open Sans"/>
          <w:b w:val="0"/>
          <w:bCs w:val="0"/>
          <w:color w:val="002060"/>
          <w:sz w:val="21"/>
          <w:szCs w:val="21"/>
        </w:rPr>
        <w:t xml:space="preserve">Al cambiar de región, el panel de indicadores tarda varios segundos en recalcular y durante ese lapso mantiene visibles las cifras del ámbito previo, ya con el rótulo de la región nueva. Se detectó durante la propia medición, que debió repetirse esperando la estabilización de los valores.</w:t>
      </w:r>
    </w:p>
    <w:p>
      <w:pPr>
        <w:rPr>
          <w:u w:val="single"/>
        </w:rPr>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Hallazgo retirado — H9:</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En la revisión del 29 de agosto se consignó que la sección Descargar ofrecía filtrar por comuna sin que existiera tal filtro. La afirmación es incorrecta y el error fue de método: se revisó la sección Filtros —que contiene los nueve selectores de uso, subclase, estructura, tipo forestal, subtipo, cobertura, altura, especie y SNASPE—, no se encontró Comuna entre ellos y se dio el punto por cerrado. El ámbito territorial no reside en esa sección, sino en el selector Territorio, con estructura jerárquica de región, provincia y comuna. La instrucción de la sección Descargar es correcta y puede seguirse.</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El hallazgo se retira. La verificación, no obstante, permitió detectar que Los Ríos es la única región sin provincias ni comunas en el selector, hallazgo que se incorporó a H1 por corresponder a la misma causa raíz.</w:t>
      </w:r>
    </w:p>
    <w:p>
      <w:pPr>
        <w:rPr>
          <w:u w:val="single"/>
        </w:rPr>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Hallazgos del análisis de vocabularios:</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El cruce de los archivos de valores distintos con el manifiesto publicado aportó cuatro hallazgos adicionales, no visibles desde la interfaz.</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El código de especie del raulí se pierde al exportar. </w:t>
      </w:r>
      <w:r>
        <w:rPr>
          <w:rFonts w:ascii="Open Sans" w:cs="Open Sans" w:eastAsia="Open Sans" w:hAnsi="Open Sans"/>
          <w:b w:val="0"/>
          <w:bCs w:val="0"/>
          <w:color w:val="002060"/>
          <w:sz w:val="21"/>
          <w:szCs w:val="21"/>
        </w:rPr>
        <w:t xml:space="preserve">El código de Nothofagus alpina es literalmente «NA». Las bibliotecas pandas y R interpretan esa cadena como valor nulo y la eliminan al leer, que es como llegó vacía en el archivo de origen. Es el único caso en todo el vocabulario del Catastro, y afecta a 3.654 polígonos con 89.994,21 hectáreas de una especie comercial del tipo forestal Roble-Raulí-Coihue. Dado que el código es la única clave válida de unión para especies, un registro sin código no se une a nada.</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El código de especie distingue mayúsculas, y esa distinción es significativa. </w:t>
      </w:r>
      <w:r>
        <w:rPr>
          <w:rFonts w:ascii="Open Sans" w:cs="Open Sans" w:eastAsia="Open Sans" w:hAnsi="Open Sans"/>
          <w:b w:val="0"/>
          <w:bCs w:val="0"/>
          <w:color w:val="002060"/>
          <w:sz w:val="21"/>
          <w:szCs w:val="21"/>
        </w:rPr>
        <w:t xml:space="preserve">Se verificó contra los nombres científicos: «AB» corresponde a Abies sp., «Ab» a Adesmia boronioides y «ab» a Calceolaria biflora. De los 207 grupos que difieren sólo en mayúsculas, 206 designan especies genuinamente distintas. Cualquier proceso que aplique una conversión a mayúsculas sobre esa columna fusionaría silenciosamente especies diferentes.</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La etiqueta de especie no es clave de unión. </w:t>
      </w:r>
      <w:r>
        <w:rPr>
          <w:rFonts w:ascii="Open Sans" w:cs="Open Sans" w:eastAsia="Open Sans" w:hAnsi="Open Sans"/>
          <w:b w:val="0"/>
          <w:bCs w:val="0"/>
          <w:color w:val="002060"/>
          <w:sz w:val="21"/>
          <w:szCs w:val="21"/>
        </w:rPr>
        <w:t xml:space="preserve">Cincuenta y tres nombres comunes designan más de una especie: «álamo» corresponde a tres especies del género Populus, y otro tanto ocurre con «aromo» y «arvejilla». Adicionalmente, siete etiquetas que difieren sólo en mayúsculas corresponden a especies distintas: «Llareta» es Azorella compacta y «llareta» es Azorella madreporica.</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Dos epítetos mal escritos. </w:t>
      </w:r>
      <w:r>
        <w:rPr>
          <w:rFonts w:ascii="Open Sans" w:cs="Open Sans" w:eastAsia="Open Sans" w:hAnsi="Open Sans"/>
          <w:b w:val="0"/>
          <w:bCs w:val="0"/>
          <w:color w:val="002060"/>
          <w:sz w:val="21"/>
          <w:szCs w:val="21"/>
        </w:rPr>
        <w:t xml:space="preserve">Se publica «Pinus silvestris» en lugar de Pinus sylvestris, y conviven «Agrostis capilaris» y «Agrostis capillaris», que son la misma especie bajo dos códigos distintos.</w:t>
      </w:r>
    </w:p>
    <w:p>
      <w:pPr>
        <w:rPr>
          <w:u w:val="single"/>
        </w:rPr>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Propuesta de corrección: libro de homologación:</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Se acompaña el libro «homologacion_catastro.xlsx», con diecisiete hojas. Doce contienen tablas de equivalencia —una por variable categórica—, dos documentan la clasificación de especies, y tres registran advertencias, casos pendientes e instrucciones de uso. La estructura de cada tabla es valor de origen, valor canónico, acción, confianza y nota, y se une a la base mediante una unión por la izquierda sobre el campo de texto correspondiente. Se incluyen a propósito las filas sin cambio, de modo que la unión nunca deje nulos y la tabla sirva además como catálogo cerrado de valores admitidos.</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Hoja 08 — Unidad del SNASPE. Resuelve H2 en su totalidad. </w:t>
      </w:r>
      <w:r>
        <w:rPr>
          <w:rFonts w:ascii="Open Sans" w:cs="Open Sans" w:eastAsia="Open Sans" w:hAnsi="Open Sans"/>
          <w:b w:val="0"/>
          <w:bCs w:val="0"/>
          <w:color w:val="002060"/>
          <w:sz w:val="21"/>
          <w:szCs w:val="21"/>
        </w:rPr>
        <w:t xml:space="preserve">Fusiona las cuatro unidades partidas, antepone la categoría a los dieciséis rótulos que no la traen y corrige diecinueve defectos ortográficos. Las 94 entradas actuales pasan a 90 unidades reales.</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Hoja 05 — Subtipo forestal. Resuelve H3 en su totalidad. </w:t>
      </w:r>
      <w:r>
        <w:rPr>
          <w:rFonts w:ascii="Open Sans" w:cs="Open Sans" w:eastAsia="Open Sans" w:hAnsi="Open Sans"/>
          <w:b w:val="0"/>
          <w:bCs w:val="0"/>
          <w:color w:val="002060"/>
          <w:sz w:val="21"/>
          <w:szCs w:val="21"/>
        </w:rPr>
        <w:t xml:space="preserve">Fusiona los cuatro pares. El nombre canónico adopta la grafía oficial del tipo forestal cuando el nombre coincide, criterio verificable contra el vocabulario de la Ley 20.283. Los 37 subtipos declarados pasan a 33 reales.</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Hojas 09 y 10 — Comuna y provincia. Resuelven parcialmente H5. </w:t>
      </w:r>
      <w:r>
        <w:rPr>
          <w:rFonts w:ascii="Open Sans" w:cs="Open Sans" w:eastAsia="Open Sans" w:hAnsi="Open Sans"/>
          <w:b w:val="0"/>
          <w:bCs w:val="0"/>
          <w:color w:val="002060"/>
          <w:sz w:val="21"/>
          <w:szCs w:val="21"/>
        </w:rPr>
        <w:t xml:space="preserve">Corrigen veinte comunas y seis provincias con tildes, eñes o diéresis perdidas. Siete comunas adicionales cuya grafía difiere del nombre oficial vigente por algo más que un acento se marcan para decisión, no se corrigen de oficio.</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Hoja 07 — Altura del dosel. Resuelve la parte de formato de H7. </w:t>
      </w:r>
      <w:r>
        <w:rPr>
          <w:rFonts w:ascii="Open Sans" w:cs="Open Sans" w:eastAsia="Open Sans" w:hAnsi="Open Sans"/>
          <w:b w:val="0"/>
          <w:bCs w:val="0"/>
          <w:color w:val="002060"/>
          <w:sz w:val="21"/>
          <w:szCs w:val="21"/>
        </w:rPr>
        <w:t xml:space="preserve">Homologa el separador decimal a coma, consistente con el resto del visor.</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Hoja 12 — Especie. Resuelve la parte de rótulos de H5. </w:t>
      </w:r>
      <w:r>
        <w:rPr>
          <w:rFonts w:ascii="Open Sans" w:cs="Open Sans" w:eastAsia="Open Sans" w:hAnsi="Open Sans"/>
          <w:b w:val="0"/>
          <w:bCs w:val="0"/>
          <w:color w:val="002060"/>
          <w:sz w:val="21"/>
          <w:szCs w:val="21"/>
        </w:rPr>
        <w:t xml:space="preserve">Corrige los caracteres corrompidos y los dos epítetos mal escritos, y repone el código «NA» del raulí con la advertencia operativa correspondiente.</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Hojas 15 y 16 — Clasificación de especies. </w:t>
      </w:r>
      <w:r>
        <w:rPr>
          <w:rFonts w:ascii="Open Sans" w:cs="Open Sans" w:eastAsia="Open Sans" w:hAnsi="Open Sans"/>
          <w:b w:val="0"/>
          <w:bCs w:val="0"/>
          <w:color w:val="002060"/>
          <w:sz w:val="21"/>
          <w:szCs w:val="21"/>
        </w:rPr>
        <w:t xml:space="preserve">Incorporan los ejes de filtro solicitados sobre las 989 especies: grupo botánico —720 latifoliadas, 225 monocotiledóneas, 21 coníferas, 13 helechos, 6 briófitas y 4 gimnospermas no coníferas—, hábito en once categorías, condición arbórea, y origen con 832 nativas y 151 exóticas. Se agregan además cinco especies con decreto de Monumento Natural y veintiuna exóticas con comportamiento invasor. La clasificación se construye a nivel de género en la hoja 16, que es la que corresponde mantener cuando aparezcan géneros nuevos.</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Hoja 13 — Casos que no deben fusionarse. </w:t>
      </w:r>
      <w:r>
        <w:rPr>
          <w:rFonts w:ascii="Open Sans" w:cs="Open Sans" w:eastAsia="Open Sans" w:hAnsi="Open Sans"/>
          <w:b w:val="0"/>
          <w:bCs w:val="0"/>
          <w:color w:val="002060"/>
          <w:sz w:val="21"/>
          <w:szCs w:val="21"/>
        </w:rPr>
        <w:t xml:space="preserve">Documenta seis situaciones que una normalización automática destruiría, entre ellas los códigos de especie sensibles a mayúsculas y los rangos de altura «menor que 2» y «mayor que 2», que un plegado de símbolos colapsaría en el mismo valor.</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Hoja 14 — Casos que requieren decisión. </w:t>
      </w:r>
      <w:r>
        <w:rPr>
          <w:rFonts w:ascii="Open Sans" w:cs="Open Sans" w:eastAsia="Open Sans" w:hAnsi="Open Sans"/>
          <w:b w:val="0"/>
          <w:bCs w:val="0"/>
          <w:color w:val="002060"/>
          <w:sz w:val="21"/>
          <w:szCs w:val="21"/>
        </w:rPr>
        <w:t xml:space="preserve">Catorce situaciones donde no corresponde que la homologación resuelva por sí sola: pares de códigos que designan la misma especie, grafías oficiales en disputa y la ausencia de Los Ríos.</w:t>
      </w:r>
    </w:p>
    <w:p>
      <w:pPr>
        <w:rPr>
          <w:u w:val="single"/>
        </w:rPr>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Lo que las tablas auxiliares no resuelven:</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De los nueve hallazgos vigentes, el libro cierra dos por completo —H2 y H3—, aborda parcialmente dos —H5 en los rótulos pero no en las claves, y H7 únicamente en el formato— y no interviene en cinco. El catálogo normalizado de comunas de la hoja 09 sirve además al filtro de comuna que el visor ya posee.</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H1 y H4 no se corrigen con ninguna tabla de equivalencias. </w:t>
      </w:r>
      <w:r>
        <w:rPr>
          <w:rFonts w:ascii="Open Sans" w:cs="Open Sans" w:eastAsia="Open Sans" w:hAnsi="Open Sans"/>
          <w:b w:val="0"/>
          <w:bCs w:val="0"/>
          <w:color w:val="002060"/>
          <w:sz w:val="21"/>
          <w:szCs w:val="21"/>
        </w:rPr>
        <w:t xml:space="preserve">Una tabla traduce valores que existen; no puede crear un atributo ausente. La comuna de los 79.727 polígonos de Los Ríos debe recuperarse en el proceso ETL desde la capa de origen. Alternativa más robusta: incorporar una columna de región al binario, dado que el ETL ya conoce la región de cada polígono —el manifiesto declara correctamente los 79.727 pese a no disponer de ninguna comuna—.</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El código de la aplicación requiere una corrección propia. </w:t>
      </w:r>
      <w:r>
        <w:rPr>
          <w:rFonts w:ascii="Open Sans" w:cs="Open Sans" w:eastAsia="Open Sans" w:hAnsi="Open Sans"/>
          <w:b w:val="0"/>
          <w:bCs w:val="0"/>
          <w:color w:val="002060"/>
          <w:sz w:val="21"/>
          <w:szCs w:val="21"/>
        </w:rPr>
        <w:t xml:space="preserve">Aun corregido el dato, persiste la necesidad de distinguir «no hay ámbito seleccionado» de «hay ámbito seleccionado y no calza con ningún registro». Hoy ambas situaciones producen un conjunto vacío y se tratan igual. Esta corrección es la que evita que un futuro vacío en los datos vuelva a presentarse como cifra nacional bajo rótulo regional.</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H6, H8 y H10 corresponden a texto y comportamiento de la aplicación. </w:t>
      </w:r>
      <w:r>
        <w:rPr>
          <w:rFonts w:ascii="Open Sans" w:cs="Open Sans" w:eastAsia="Open Sans" w:hAnsi="Open Sans"/>
          <w:b w:val="0"/>
          <w:bCs w:val="0"/>
          <w:color w:val="002060"/>
          <w:sz w:val="21"/>
          <w:szCs w:val="21"/>
        </w:rPr>
        <w:t xml:space="preserve">Quedan fuera del alcance del libro.</w:t>
      </w:r>
    </w:p>
    <w:p>
      <w:pPr>
        <w:rPr>
          <w:u w:val="single"/>
        </w:rPr>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Advertencia sobre la secuencia de aplicación:</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La aplicación de las tablas modifica cifras publicadas: las unidades del SNASPE pasan de 94 a 90 y los subtipos forestales de 37 a 33. Si esa corrección se despliega sin actualizar los textos, el visor quedará declarando «39 subtipos distintos» sobre una tabla de 33, y la Metodología seguirá afirmando que las etiquetas provienen del código oficial cuando pasarán a provenir de una tabla de homologación.</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En consecuencia, H6 y H7 dejan de ser cosméticos y pasan a formar parte del mismo despliegue. Cabe señalar que la corrección mejora la posición del documento: la afirmación absoluta actual es indefendible, mientras que una redacción que remita a una tabla de homologación publicada es verificable por terceros.</w:t>
      </w:r>
    </w:p>
    <w:p>
      <w:pPr>
        <w:rPr>
          <w:u w:val="single"/>
        </w:rPr>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Advertencia sobre el estado de conservación:</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La hoja 15 incorpora una columna de estado de conservación, poblada únicamente en trece especies emblemáticas y a modo de punto de partida. Debe validarse contra el listado vigente del Reglamento de Clasificación de Especies antes de cualquier uso, y su ausencia se declara con el texto «Sin dato - no verificado en RCE», que no debe interpretarse como ausencia de amenaza.</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Corresponde además una decisión institucional: el Catastro no registra estado de conservación, y la Metodología del visor declara expresamente que «este visor no puede decir si una especie está amenazada y no lo insinúa en ninguna parte». Si esta columna llega a la base y el visor la expone, esa declaración deja de ser exacta. Procede resolver si la información permanece sólo en la base o si se modifica también el texto publicado, evitando que ambas cosas ocurran de forma inadvertida.</w:t>
      </w:r>
    </w:p>
    <w:p>
      <w:pPr>
        <w:rPr>
          <w:u w:val="single"/>
        </w:rPr>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Secuencia de trabajo recomendada:</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1. Recuperar el atributo de comuna de la capa de Los Ríos en el proceso ETL. Cierra H1 y H4 simultáneamente y devuelve a la región el desglose por provincia y comuna del que hoy carece. Mientras no se resuelva, el visor no debiera difundirse.</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2. Incorporar en la aplicación la distinción entre ámbito no seleccionado y ámbito seleccionado sin coincidencias.</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3. Verificar el comportamiento de las descargas en formato CSV y GeoJSON, y del nuevo reporte en PDF, bajo un ámbito regional. No se ejecutaron descargas durante la revisión; siendo el PDF el formato de mayor circulación institucional, corresponde comprobarlo antes de la difusión.</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4. Aplicar las tablas de homologación de las hojas 05, 07, 08, 09, 10 y 12, junto con la actualización de los textos afectados de la Metodología.</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5. Resolver los catorce casos consignados en la hoja 14, e incorporar la clasificación de especies de las hojas 15 y 16 como dimensiones de filtro.</w:t>
      </w:r>
    </w:p>
    <w:p>
      <w:pPr>
        <w:rPr>
          <w:u w:val="single"/>
        </w:rPr>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Anexo — Archivo adjunto:</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homologacion_catastro.xlsx. Diecisiete hojas. La hoja 00 contiene las instrucciones de uso, el vocabulario controlado de valores ausentes y las advertencias de lectura, entre ellas la necesidad de desactivar la interpretación automática de nulos para preservar el código «NA» del raulí. Ninguna celda del libro queda vacía: la ausencia se declara mediante cuatro textos que distinguen si el atributo no corresponde, no pudo determinarse o no fue verificado.</w:t>
      </w:r>
    </w:p>
    <w:sectPr>
      <w:headerReference r:id="rId7" w:type="default"/>
      <w:footerReference r:id="rId8" w:type="default"/>
      <w:pgSz w:h="15840" w:w="12240" w:orient="portrait"/>
      <w:pgMar w:gutter="0" w:bottom="1418" w:top="1418"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ambria"/>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332855" cy="450215"/>
          <wp:effectExtent b="0" l="0" r="0" t="0"/>
          <wp:docPr descr="C:\Users\alejandro.lara\AppData\Local\Microsoft\Windows\INetCache\Content.Word\footer.jpg" id="6" name="image2.jpg"/>
          <a:graphic>
            <a:graphicData uri="http://schemas.openxmlformats.org/drawingml/2006/picture">
              <pic:pic>
                <pic:nvPicPr>
                  <pic:cNvPr descr="C:\Users\alejandro.lara\AppData\Local\Microsoft\Windows\INetCache\Content.Word\footer.jpg" id="0" name="image2.jpg"/>
                  <pic:cNvPicPr preferRelativeResize="0"/>
                </pic:nvPicPr>
                <pic:blipFill>
                  <a:blip r:embed="rId1"/>
                  <a:srcRect b="0" l="0" r="0" t="0"/>
                  <a:stretch>
                    <a:fillRect/>
                  </a:stretch>
                </pic:blipFill>
                <pic:spPr>
                  <a:xfrm>
                    <a:off x="0" y="0"/>
                    <a:ext cx="6332855" cy="45021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714490" cy="938785"/>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714490" cy="93878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9C13D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C13DC"/>
  </w:style>
  <w:style w:type="paragraph" w:styleId="Piedepgina">
    <w:name w:val="footer"/>
    <w:basedOn w:val="Normal"/>
    <w:link w:val="PiedepginaCar"/>
    <w:uiPriority w:val="99"/>
    <w:unhideWhenUsed w:val="1"/>
    <w:rsid w:val="009C13D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C13DC"/>
  </w:style>
  <w:style w:type="paragraph" w:styleId="Textodeglobo">
    <w:name w:val="Balloon Text"/>
    <w:basedOn w:val="Normal"/>
    <w:link w:val="TextodegloboCar"/>
    <w:uiPriority w:val="99"/>
    <w:semiHidden w:val="1"/>
    <w:unhideWhenUsed w:val="1"/>
    <w:rsid w:val="009C13D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C13DC"/>
    <w:rPr>
      <w:rFonts w:ascii="Tahoma" w:cs="Tahoma" w:hAnsi="Tahoma"/>
      <w:sz w:val="16"/>
      <w:szCs w:val="16"/>
    </w:rPr>
  </w:style>
  <w:style w:type="paragraph" w:styleId="NormalWeb">
    <w:name w:val="Normal (Web)"/>
    <w:basedOn w:val="Normal"/>
    <w:uiPriority w:val="99"/>
    <w:unhideWhenUsed w:val="1"/>
    <w:rsid w:val="00352A99"/>
    <w:pPr>
      <w:spacing w:after="100" w:afterAutospacing="1" w:before="100" w:beforeAutospacing="1" w:line="240" w:lineRule="auto"/>
    </w:pPr>
    <w:rPr>
      <w:rFonts w:ascii="Times New Roman" w:cs="Times New Roman" w:eastAsia="Times New Roman" w:hAnsi="Times New Roman"/>
      <w:sz w:val="24"/>
      <w:szCs w:val="24"/>
      <w:lang w:eastAsia="es-MX"/>
    </w:rPr>
  </w:style>
  <w:style w:type="paragraph" w:styleId="Standard" w:customStyle="1">
    <w:name w:val="Standard"/>
    <w:rsid w:val="00352A99"/>
    <w:pPr>
      <w:suppressAutoHyphens w:val="1"/>
      <w:autoSpaceDN w:val="0"/>
      <w:spacing w:after="0" w:line="240" w:lineRule="auto"/>
      <w:textAlignment w:val="baseline"/>
    </w:pPr>
    <w:rPr>
      <w:rFonts w:ascii="Cambria, 'Times New Roman'" w:cs="Times New Roman" w:eastAsia="Cambria, 'Times New Roman'" w:hAnsi="Cambria, 'Times New Roman'"/>
      <w:kern w:val="3"/>
      <w:sz w:val="24"/>
      <w:szCs w:val="24"/>
      <w:lang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IMeyCdzTc7lKTjuPyFH9wI26lg==">CgMxLjAyDmguNnphczEwYW01Z21pMg1oLmZpaHMzNjlzNjhpOAByITFMeHpYWTdibk1GZEt1NXhpVGZidWZzelQzbnFaeXBoUw==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2024-11-28T12:19:00Z</dcterms:created>
  <dc:creator>Alejandro Lara</dc:creator>
</cp:coreProperties>
</file>