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19806B" w14:textId="77777777" w:rsidR="00FB367C" w:rsidRDefault="00FB367C" w:rsidP="00FB367C">
      <w:pPr>
        <w:pStyle w:val="Ttulo1"/>
        <w:numPr>
          <w:ilvl w:val="0"/>
          <w:numId w:val="1"/>
        </w:numPr>
        <w:ind w:left="432" w:hanging="432"/>
      </w:pPr>
      <w:bookmarkStart w:id="0" w:name="_Toc45502885"/>
      <w:r>
        <w:t>Sistema de Información de Salvaguardas (SIS)</w:t>
      </w:r>
      <w:bookmarkEnd w:id="0"/>
    </w:p>
    <w:p w14:paraId="66148B48" w14:textId="77777777" w:rsidR="00FB367C" w:rsidRPr="009A0E76" w:rsidRDefault="00FB367C" w:rsidP="00FB367C">
      <w:pPr>
        <w:pStyle w:val="Ttulo1"/>
        <w:numPr>
          <w:ilvl w:val="1"/>
          <w:numId w:val="1"/>
        </w:numPr>
        <w:rPr>
          <w:sz w:val="28"/>
          <w:szCs w:val="28"/>
        </w:rPr>
      </w:pPr>
      <w:r w:rsidRPr="009A0E76">
        <w:rPr>
          <w:sz w:val="28"/>
          <w:szCs w:val="28"/>
        </w:rPr>
        <w:t>Captura de datos e información</w:t>
      </w:r>
    </w:p>
    <w:p w14:paraId="3D30350E" w14:textId="77777777" w:rsidR="00FB367C" w:rsidRPr="002E491B" w:rsidRDefault="00FB367C" w:rsidP="00FB367C">
      <w:pPr>
        <w:rPr>
          <w:rFonts w:cstheme="minorHAnsi"/>
          <w:color w:val="000000" w:themeColor="text1"/>
          <w:highlight w:val="yellow"/>
          <w:lang w:val="es-CL" w:eastAsia="es-ES"/>
        </w:rPr>
      </w:pPr>
      <w:r>
        <w:rPr>
          <w:rFonts w:cstheme="minorHAnsi"/>
          <w:color w:val="000000" w:themeColor="text1"/>
          <w:highlight w:val="yellow"/>
          <w:lang w:val="es-CL" w:eastAsia="es-ES"/>
        </w:rPr>
        <w:t>S</w:t>
      </w:r>
      <w:r w:rsidRPr="002E491B">
        <w:rPr>
          <w:rFonts w:cstheme="minorHAnsi"/>
          <w:color w:val="000000" w:themeColor="text1"/>
          <w:highlight w:val="yellow"/>
          <w:lang w:val="es-CL" w:eastAsia="es-ES"/>
        </w:rPr>
        <w:t xml:space="preserve">e formularon </w:t>
      </w:r>
      <w:r>
        <w:rPr>
          <w:rFonts w:cstheme="minorHAnsi"/>
          <w:color w:val="000000" w:themeColor="text1"/>
          <w:highlight w:val="yellow"/>
          <w:lang w:val="es-CL" w:eastAsia="es-ES"/>
        </w:rPr>
        <w:t>planillas</w:t>
      </w:r>
      <w:r w:rsidRPr="002E491B">
        <w:rPr>
          <w:rFonts w:cstheme="minorHAnsi"/>
          <w:color w:val="000000" w:themeColor="text1"/>
          <w:highlight w:val="yellow"/>
          <w:lang w:val="es-CL" w:eastAsia="es-ES"/>
        </w:rPr>
        <w:t xml:space="preserve"> Excel con toda</w:t>
      </w:r>
      <w:r>
        <w:rPr>
          <w:rFonts w:cstheme="minorHAnsi"/>
          <w:color w:val="000000" w:themeColor="text1"/>
          <w:highlight w:val="yellow"/>
          <w:lang w:val="es-CL" w:eastAsia="es-ES"/>
        </w:rPr>
        <w:t xml:space="preserve"> la</w:t>
      </w:r>
      <w:r w:rsidRPr="002E491B">
        <w:rPr>
          <w:rFonts w:cstheme="minorHAnsi"/>
          <w:color w:val="000000" w:themeColor="text1"/>
          <w:highlight w:val="yellow"/>
          <w:lang w:val="es-CL" w:eastAsia="es-ES"/>
        </w:rPr>
        <w:t xml:space="preserve"> información por indicador. Cada información tiene un responsable institucional o de proyecto que coloca la información en el formato en Excel. Se deja disponible las celdas en donde se tiene que colocar la información.</w:t>
      </w:r>
    </w:p>
    <w:p w14:paraId="7D702323" w14:textId="77777777" w:rsidR="00FB367C" w:rsidRPr="002E491B" w:rsidRDefault="00FB367C" w:rsidP="00FB367C">
      <w:pPr>
        <w:rPr>
          <w:rFonts w:cstheme="minorHAnsi"/>
          <w:color w:val="000000" w:themeColor="text1"/>
          <w:highlight w:val="yellow"/>
          <w:lang w:val="es-CL" w:eastAsia="es-ES"/>
        </w:rPr>
      </w:pPr>
      <w:r w:rsidRPr="002E491B">
        <w:rPr>
          <w:rFonts w:cstheme="minorHAnsi"/>
          <w:color w:val="000000" w:themeColor="text1"/>
          <w:highlight w:val="yellow"/>
          <w:lang w:val="es-CL" w:eastAsia="es-ES"/>
        </w:rPr>
        <w:t>Estos formatos en Excel se encuentran en un mecanismo virtual, por ejemplo drive, a fin de que las instituciones o proyectos involucrados puedan observar la información que se va integrando al sistema.</w:t>
      </w:r>
    </w:p>
    <w:p w14:paraId="5200F9BD" w14:textId="77777777" w:rsidR="00FB367C" w:rsidRDefault="00FB367C" w:rsidP="00FB367C">
      <w:pPr>
        <w:rPr>
          <w:rFonts w:cstheme="minorHAnsi"/>
          <w:color w:val="000000" w:themeColor="text1"/>
          <w:lang w:val="es-CL" w:eastAsia="es-ES"/>
        </w:rPr>
      </w:pPr>
      <w:r w:rsidRPr="002E491B">
        <w:rPr>
          <w:rFonts w:cstheme="minorHAnsi"/>
          <w:color w:val="000000" w:themeColor="text1"/>
          <w:highlight w:val="yellow"/>
          <w:lang w:val="es-CL" w:eastAsia="es-ES"/>
        </w:rPr>
        <w:t>Cabe destacar que, los formatos en Excel se encuentran vinculados a la plataforma del SIS, al estar los formatos en un almacenador de información digital, las instituciones encargadas del MRV-SNICC, podrán ir actualizando la información generadas en los formatos en Excel al SIS.</w:t>
      </w:r>
    </w:p>
    <w:p w14:paraId="0A79A39A" w14:textId="77777777" w:rsidR="00FB367C" w:rsidRDefault="00FB367C" w:rsidP="00FB367C">
      <w:pPr>
        <w:rPr>
          <w:rFonts w:cstheme="minorHAnsi"/>
          <w:color w:val="000000" w:themeColor="text1"/>
          <w:highlight w:val="yellow"/>
          <w:lang w:val="es-CL" w:eastAsia="es-ES"/>
        </w:rPr>
      </w:pPr>
      <w:r>
        <w:rPr>
          <w:rFonts w:cstheme="minorHAnsi"/>
          <w:color w:val="000000" w:themeColor="text1"/>
          <w:highlight w:val="yellow"/>
          <w:lang w:val="es-CL" w:eastAsia="es-ES"/>
        </w:rPr>
        <w:t>Los formatos se encuentran en el siguiente link:</w:t>
      </w:r>
    </w:p>
    <w:p w14:paraId="7785F98C" w14:textId="77777777" w:rsidR="00FB367C" w:rsidRPr="00E31DE4" w:rsidRDefault="00FB367C" w:rsidP="00FB367C">
      <w:pPr>
        <w:rPr>
          <w:rFonts w:cstheme="minorHAnsi"/>
          <w:strike/>
          <w:color w:val="000000" w:themeColor="text1"/>
          <w:highlight w:val="yellow"/>
          <w:lang w:val="es-CL" w:eastAsia="es-ES"/>
        </w:rPr>
      </w:pPr>
      <w:r w:rsidRPr="00E31DE4">
        <w:rPr>
          <w:rFonts w:cstheme="minorHAnsi"/>
          <w:strike/>
          <w:color w:val="000000" w:themeColor="text1"/>
          <w:highlight w:val="yellow"/>
          <w:lang w:val="es-CL" w:eastAsia="es-ES"/>
        </w:rPr>
        <w:t>Para el ingreso de la información, se contarán con formatos preestablecidos en la siguiente plataforma virtual:</w:t>
      </w:r>
    </w:p>
    <w:p w14:paraId="69C36F4F" w14:textId="77777777" w:rsidR="00FB367C" w:rsidRDefault="00FB367C" w:rsidP="00FB367C">
      <w:pPr>
        <w:rPr>
          <w:rStyle w:val="Hipervnculo"/>
          <w:highlight w:val="yellow"/>
          <w:lang w:val="es-CL"/>
        </w:rPr>
      </w:pPr>
      <w:hyperlink r:id="rId5" w:history="1">
        <w:r w:rsidRPr="00CB12FB">
          <w:rPr>
            <w:rStyle w:val="Hipervnculo"/>
            <w:highlight w:val="yellow"/>
            <w:lang w:val="es-CL"/>
          </w:rPr>
          <w:t>https://drive.google.com/drive/u/0/folders/1VZY_kNTGpSRYdfYoFRtufVOnNCR_xiNq</w:t>
        </w:r>
      </w:hyperlink>
    </w:p>
    <w:p w14:paraId="099228DB" w14:textId="77777777" w:rsidR="00FB367C" w:rsidRDefault="00FB367C" w:rsidP="00FB367C">
      <w:pPr>
        <w:rPr>
          <w:rStyle w:val="Hipervnculo"/>
          <w:lang w:val="es-CL"/>
        </w:rPr>
      </w:pPr>
      <w:r w:rsidRPr="00544161">
        <w:rPr>
          <w:rStyle w:val="Hipervnculo"/>
          <w:highlight w:val="yellow"/>
          <w:lang w:val="es-CL"/>
        </w:rPr>
        <w:t>Los formatos contienen la siguiente información</w:t>
      </w:r>
      <w:r>
        <w:rPr>
          <w:rStyle w:val="Hipervnculo"/>
          <w:highlight w:val="yellow"/>
          <w:lang w:val="es-CL"/>
        </w:rPr>
        <w:t>:</w:t>
      </w:r>
    </w:p>
    <w:p w14:paraId="47361666" w14:textId="77777777" w:rsidR="00FB367C" w:rsidRPr="002E491B" w:rsidRDefault="00FB367C" w:rsidP="00FB367C">
      <w:pPr>
        <w:rPr>
          <w:highlight w:val="yellow"/>
          <w:lang w:val="es-CL"/>
        </w:rPr>
      </w:pPr>
      <w:r w:rsidRPr="002E491B">
        <w:rPr>
          <w:b/>
          <w:bCs/>
          <w:highlight w:val="yellow"/>
          <w:lang w:val="es-ES"/>
        </w:rPr>
        <w:t>Meta:</w:t>
      </w:r>
      <w:r w:rsidRPr="002E491B">
        <w:rPr>
          <w:highlight w:val="yellow"/>
          <w:lang w:val="es-ES"/>
        </w:rPr>
        <w:t xml:space="preserve"> el objetivo que se quiere alcanzar cuantitativamente.</w:t>
      </w:r>
    </w:p>
    <w:p w14:paraId="010633C8" w14:textId="77777777" w:rsidR="00FB367C" w:rsidRPr="002E491B" w:rsidRDefault="00FB367C" w:rsidP="00FB367C">
      <w:pPr>
        <w:rPr>
          <w:highlight w:val="yellow"/>
          <w:lang w:val="es-ES"/>
        </w:rPr>
      </w:pPr>
      <w:r w:rsidRPr="002E491B">
        <w:rPr>
          <w:b/>
          <w:bCs/>
          <w:highlight w:val="yellow"/>
          <w:lang w:val="es-ES"/>
        </w:rPr>
        <w:t>Resultado:</w:t>
      </w:r>
      <w:r w:rsidRPr="002E491B">
        <w:rPr>
          <w:highlight w:val="yellow"/>
          <w:lang w:val="es-ES"/>
        </w:rPr>
        <w:t xml:space="preserve"> Vinculado al cumplimiento de la meta.</w:t>
      </w:r>
    </w:p>
    <w:p w14:paraId="65FD2245" w14:textId="77777777" w:rsidR="00FB367C" w:rsidRPr="002E491B" w:rsidRDefault="00FB367C" w:rsidP="00FB367C">
      <w:pPr>
        <w:rPr>
          <w:highlight w:val="yellow"/>
          <w:lang w:val="es-ES"/>
        </w:rPr>
      </w:pPr>
      <w:r w:rsidRPr="002E491B">
        <w:rPr>
          <w:b/>
          <w:bCs/>
          <w:highlight w:val="yellow"/>
          <w:lang w:val="es-ES"/>
        </w:rPr>
        <w:t>Estado del indicador:</w:t>
      </w:r>
      <w:r w:rsidRPr="002E491B">
        <w:rPr>
          <w:highlight w:val="yellow"/>
          <w:lang w:val="es-ES"/>
        </w:rPr>
        <w:t xml:space="preserve"> Da respuesta al estatus del indicador, teniendo 3 categorías</w:t>
      </w:r>
      <w:r w:rsidRPr="002E491B">
        <w:rPr>
          <w:b/>
          <w:bCs/>
          <w:highlight w:val="yellow"/>
          <w:lang w:val="es-ES"/>
        </w:rPr>
        <w:t>: logrado</w:t>
      </w:r>
      <w:r w:rsidRPr="002E491B">
        <w:rPr>
          <w:highlight w:val="yellow"/>
          <w:lang w:val="es-ES"/>
        </w:rPr>
        <w:t xml:space="preserve">, cuando se cumple con la meta establecida; </w:t>
      </w:r>
      <w:r w:rsidRPr="002E491B">
        <w:rPr>
          <w:b/>
          <w:bCs/>
          <w:highlight w:val="yellow"/>
          <w:lang w:val="es-ES"/>
        </w:rPr>
        <w:t>no logrado</w:t>
      </w:r>
      <w:r w:rsidRPr="002E491B">
        <w:rPr>
          <w:highlight w:val="yellow"/>
          <w:lang w:val="es-ES"/>
        </w:rPr>
        <w:t xml:space="preserve">, se refiere cuando no se cumple con la meta; </w:t>
      </w:r>
      <w:r w:rsidRPr="002E491B">
        <w:rPr>
          <w:b/>
          <w:bCs/>
          <w:highlight w:val="yellow"/>
          <w:lang w:val="es-ES"/>
        </w:rPr>
        <w:t>no evaluado</w:t>
      </w:r>
      <w:r w:rsidRPr="002E491B">
        <w:rPr>
          <w:highlight w:val="yellow"/>
          <w:lang w:val="es-ES"/>
        </w:rPr>
        <w:t>, indica que el indicador no tiene evaluación de su logro o no.</w:t>
      </w:r>
    </w:p>
    <w:p w14:paraId="3B18AE20" w14:textId="77777777" w:rsidR="00FB367C" w:rsidRPr="002E491B" w:rsidRDefault="00FB367C" w:rsidP="00FB367C">
      <w:pPr>
        <w:rPr>
          <w:highlight w:val="yellow"/>
          <w:lang w:val="es-ES"/>
        </w:rPr>
      </w:pPr>
      <w:r w:rsidRPr="002E491B">
        <w:rPr>
          <w:highlight w:val="yellow"/>
          <w:lang w:val="es-ES"/>
        </w:rPr>
        <w:t xml:space="preserve"> </w:t>
      </w:r>
    </w:p>
    <w:p w14:paraId="3CDCC6A2" w14:textId="77777777" w:rsidR="00FB367C" w:rsidRPr="002E491B" w:rsidRDefault="00FB367C" w:rsidP="00FB367C">
      <w:pPr>
        <w:rPr>
          <w:highlight w:val="yellow"/>
          <w:lang w:val="es-ES"/>
        </w:rPr>
      </w:pPr>
      <w:r w:rsidRPr="002E491B">
        <w:rPr>
          <w:b/>
          <w:bCs/>
          <w:highlight w:val="yellow"/>
          <w:lang w:val="es-ES"/>
        </w:rPr>
        <w:t>Análisis del indicador:</w:t>
      </w:r>
      <w:r w:rsidRPr="002E491B">
        <w:rPr>
          <w:highlight w:val="yellow"/>
          <w:lang w:val="es-ES"/>
        </w:rPr>
        <w:t xml:space="preserve"> Relato narrativo del estado del indicador, sus procedimientos, logros, lecciones aprendidas y cumplimiento de la actividad. </w:t>
      </w:r>
    </w:p>
    <w:p w14:paraId="7CBD19DA" w14:textId="77777777" w:rsidR="00FB367C" w:rsidRPr="002E491B" w:rsidRDefault="00FB367C" w:rsidP="00FB367C">
      <w:pPr>
        <w:rPr>
          <w:highlight w:val="yellow"/>
          <w:lang w:val="es-ES"/>
        </w:rPr>
      </w:pPr>
      <w:r w:rsidRPr="002E491B">
        <w:rPr>
          <w:b/>
          <w:bCs/>
          <w:highlight w:val="yellow"/>
          <w:lang w:val="es-ES"/>
        </w:rPr>
        <w:t>Responsable:</w:t>
      </w:r>
      <w:r w:rsidRPr="002E491B">
        <w:rPr>
          <w:highlight w:val="yellow"/>
          <w:lang w:val="es-ES"/>
        </w:rPr>
        <w:t xml:space="preserve"> Ente encargado del cumplimiento del indicador. </w:t>
      </w:r>
    </w:p>
    <w:p w14:paraId="7D95BAB3" w14:textId="77777777" w:rsidR="00FB367C" w:rsidRPr="002E491B" w:rsidRDefault="00FB367C" w:rsidP="00FB367C">
      <w:pPr>
        <w:rPr>
          <w:highlight w:val="yellow"/>
          <w:lang w:val="es-ES"/>
        </w:rPr>
      </w:pPr>
      <w:r w:rsidRPr="002E491B">
        <w:rPr>
          <w:b/>
          <w:bCs/>
          <w:highlight w:val="yellow"/>
          <w:lang w:val="es-ES"/>
        </w:rPr>
        <w:t>Variable base:</w:t>
      </w:r>
      <w:r w:rsidRPr="002E491B">
        <w:rPr>
          <w:highlight w:val="yellow"/>
          <w:lang w:val="es-ES"/>
        </w:rPr>
        <w:t xml:space="preserve"> Es el atributo base que puede variar, ejemplo, %, ha, área, entre otras.</w:t>
      </w:r>
    </w:p>
    <w:p w14:paraId="742864A1" w14:textId="77777777" w:rsidR="00FB367C" w:rsidRPr="002E491B" w:rsidRDefault="00FB367C" w:rsidP="00FB367C">
      <w:pPr>
        <w:rPr>
          <w:highlight w:val="yellow"/>
          <w:lang w:val="es-ES"/>
        </w:rPr>
      </w:pPr>
      <w:r w:rsidRPr="002E491B">
        <w:rPr>
          <w:b/>
          <w:bCs/>
          <w:highlight w:val="yellow"/>
          <w:lang w:val="es-ES"/>
        </w:rPr>
        <w:t>Valor base:</w:t>
      </w:r>
      <w:r w:rsidRPr="002E491B">
        <w:rPr>
          <w:highlight w:val="yellow"/>
          <w:lang w:val="es-ES"/>
        </w:rPr>
        <w:t xml:space="preserve"> línea base, lo que se tiene hasta ahora</w:t>
      </w:r>
    </w:p>
    <w:p w14:paraId="4CA95B37" w14:textId="77777777" w:rsidR="00FB367C" w:rsidRPr="002E491B" w:rsidRDefault="00FB367C" w:rsidP="00FB367C">
      <w:pPr>
        <w:rPr>
          <w:highlight w:val="yellow"/>
          <w:lang w:val="es-ES"/>
        </w:rPr>
      </w:pPr>
      <w:r w:rsidRPr="002E491B">
        <w:rPr>
          <w:b/>
          <w:bCs/>
          <w:highlight w:val="yellow"/>
          <w:lang w:val="es-ES"/>
        </w:rPr>
        <w:t>Variable específica:</w:t>
      </w:r>
      <w:r w:rsidRPr="002E491B">
        <w:rPr>
          <w:highlight w:val="yellow"/>
          <w:lang w:val="es-ES"/>
        </w:rPr>
        <w:t xml:space="preserve"> Se refiere a la actividad concreta del indicador, lo que define a la variable base, por ejemplo, capacitaciones a pueblos indígenas.</w:t>
      </w:r>
    </w:p>
    <w:p w14:paraId="181D2805" w14:textId="77777777" w:rsidR="00FB367C" w:rsidRPr="002E491B" w:rsidRDefault="00FB367C" w:rsidP="00FB367C">
      <w:pPr>
        <w:rPr>
          <w:highlight w:val="yellow"/>
          <w:lang w:val="es-ES"/>
        </w:rPr>
      </w:pPr>
      <w:r w:rsidRPr="002E491B">
        <w:rPr>
          <w:b/>
          <w:bCs/>
          <w:highlight w:val="yellow"/>
          <w:lang w:val="es-ES"/>
        </w:rPr>
        <w:t>Valor específico:</w:t>
      </w:r>
      <w:r w:rsidRPr="002E491B">
        <w:rPr>
          <w:highlight w:val="yellow"/>
          <w:lang w:val="es-ES"/>
        </w:rPr>
        <w:t xml:space="preserve"> es la medida, la medición que se están haciendo.</w:t>
      </w:r>
    </w:p>
    <w:p w14:paraId="319515E5" w14:textId="77777777" w:rsidR="00FB367C" w:rsidRDefault="00FB367C" w:rsidP="00FB367C">
      <w:pPr>
        <w:rPr>
          <w:lang w:val="es-ES"/>
        </w:rPr>
      </w:pPr>
      <w:r w:rsidRPr="002E491B">
        <w:rPr>
          <w:b/>
          <w:bCs/>
          <w:highlight w:val="yellow"/>
          <w:lang w:val="es-ES"/>
        </w:rPr>
        <w:t>Evaluación:</w:t>
      </w:r>
      <w:r w:rsidRPr="002E491B">
        <w:rPr>
          <w:highlight w:val="yellow"/>
          <w:lang w:val="es-ES"/>
        </w:rPr>
        <w:t xml:space="preserve"> sobrepasar o mantener la línea base y cumplir la meta (reducción o aumento, ejemplo incendios), también se puede contemplar la disminución de la meta, lo que podría alertar sobre el incumplimiento de la meta.</w:t>
      </w:r>
      <w:r>
        <w:rPr>
          <w:lang w:val="es-ES"/>
        </w:rPr>
        <w:t xml:space="preserve">  </w:t>
      </w:r>
    </w:p>
    <w:p w14:paraId="3F75B002" w14:textId="77777777" w:rsidR="00FB367C" w:rsidRPr="00CB12FB" w:rsidRDefault="00FB367C" w:rsidP="00FB367C">
      <w:pPr>
        <w:rPr>
          <w:highlight w:val="yellow"/>
          <w:lang w:val="es-CL"/>
        </w:rPr>
      </w:pPr>
    </w:p>
    <w:p w14:paraId="20EE10F3" w14:textId="77777777" w:rsidR="00FB367C" w:rsidRDefault="00FB367C" w:rsidP="00FB367C">
      <w:pPr>
        <w:rPr>
          <w:lang w:val="es-CL"/>
        </w:rPr>
      </w:pPr>
      <w:r w:rsidRPr="00CB12FB">
        <w:rPr>
          <w:highlight w:val="yellow"/>
          <w:lang w:val="es-CL"/>
        </w:rPr>
        <w:t>Igualmente, esta misma Plataforma, cuenta con una carpeta en donde se van compilando los verificadores de cumplimiento de los indicadores.</w:t>
      </w:r>
    </w:p>
    <w:p w14:paraId="680CF40C" w14:textId="0C50BF99" w:rsidR="00FB367C" w:rsidRDefault="00FB367C" w:rsidP="00FB367C">
      <w:pPr>
        <w:rPr>
          <w:lang w:val="es-CL"/>
        </w:rPr>
      </w:pPr>
      <w:r w:rsidRPr="00B84A6C">
        <w:rPr>
          <w:highlight w:val="yellow"/>
          <w:lang w:val="es-CL"/>
        </w:rPr>
        <w:t xml:space="preserve">Cabe destacar, que los formatos se encontrarán realizados por institución y/o proyectos. Estos formatos están vinculados a un indicador que responde a una salvaguarda e instrumento nacional, es decir la información se generará en doble vía, ya sea para su reporte a nivel internacional </w:t>
      </w:r>
      <w:r>
        <w:rPr>
          <w:highlight w:val="yellow"/>
          <w:lang w:val="es-CL"/>
        </w:rPr>
        <w:t>y</w:t>
      </w:r>
      <w:r w:rsidRPr="00B84A6C">
        <w:rPr>
          <w:highlight w:val="yellow"/>
          <w:lang w:val="es-CL"/>
        </w:rPr>
        <w:t xml:space="preserve"> para su seguimiento y monitoreo a nivel nacional. Un ejemplo</w:t>
      </w:r>
      <w:r>
        <w:rPr>
          <w:highlight w:val="yellow"/>
          <w:lang w:val="es-CL"/>
        </w:rPr>
        <w:t xml:space="preserve"> concreto que grafica lo anterior es,</w:t>
      </w:r>
      <w:r w:rsidRPr="00B84A6C">
        <w:rPr>
          <w:highlight w:val="yellow"/>
          <w:lang w:val="es-CL"/>
        </w:rPr>
        <w:t xml:space="preserve"> que los indicadores vinculados en materia de pueblos indígenas que se encuentren a cargo del INAB, al llenar esta institución la información, se tendrá el reporte tanto para la Ruta de Pueblos Indígenas como para las salvaguardas de Cancún, Banco Mundial y BID vinculadas a este ámbito.</w:t>
      </w:r>
      <w:r>
        <w:rPr>
          <w:lang w:val="es-CL"/>
        </w:rPr>
        <w:t xml:space="preserve"> </w:t>
      </w:r>
    </w:p>
    <w:p w14:paraId="742C034E" w14:textId="77777777" w:rsidR="00FB367C" w:rsidRDefault="00FB367C" w:rsidP="00FB367C">
      <w:pPr>
        <w:pStyle w:val="Ttulo1"/>
        <w:numPr>
          <w:ilvl w:val="0"/>
          <w:numId w:val="1"/>
        </w:numPr>
        <w:ind w:left="432" w:hanging="432"/>
      </w:pPr>
      <w:bookmarkStart w:id="1" w:name="_Toc45502888"/>
      <w:r>
        <w:t>Subsistema: Monitoreo de Beneficios No Carbono</w:t>
      </w:r>
      <w:bookmarkEnd w:id="1"/>
    </w:p>
    <w:p w14:paraId="28CA0C90" w14:textId="77777777" w:rsidR="00FB367C" w:rsidRPr="00CA3EE2" w:rsidRDefault="00FB367C" w:rsidP="00FB367C">
      <w:pPr>
        <w:pStyle w:val="Ttulo1"/>
        <w:numPr>
          <w:ilvl w:val="1"/>
          <w:numId w:val="1"/>
        </w:numPr>
        <w:rPr>
          <w:sz w:val="28"/>
          <w:szCs w:val="28"/>
        </w:rPr>
      </w:pPr>
      <w:bookmarkStart w:id="2" w:name="_Toc45502889"/>
      <w:r>
        <w:rPr>
          <w:sz w:val="28"/>
          <w:szCs w:val="28"/>
        </w:rPr>
        <w:t>Captura de datos para el Monitoreo de Beneficios No Carbono</w:t>
      </w:r>
      <w:bookmarkEnd w:id="2"/>
      <w:r>
        <w:rPr>
          <w:sz w:val="28"/>
          <w:szCs w:val="28"/>
        </w:rPr>
        <w:t xml:space="preserve"> </w:t>
      </w:r>
    </w:p>
    <w:p w14:paraId="6A50B099" w14:textId="77777777" w:rsidR="00FB367C" w:rsidRDefault="00FB367C" w:rsidP="00FB367C">
      <w:pPr>
        <w:spacing w:before="120" w:after="120"/>
        <w:rPr>
          <w:rFonts w:cstheme="minorHAnsi"/>
          <w:color w:val="000000" w:themeColor="text1"/>
          <w:lang w:val="es-ES_tradnl" w:eastAsia="es-ES"/>
        </w:rPr>
      </w:pPr>
      <w:r>
        <w:rPr>
          <w:rFonts w:cstheme="minorHAnsi"/>
          <w:color w:val="000000" w:themeColor="text1"/>
          <w:lang w:val="es-ES_tradnl" w:eastAsia="es-ES"/>
        </w:rPr>
        <w:t>La captura de datos necesarios para la construcción de los indicadores de monitoreo de beneficios no carbono se realiza mediante planillas de datos estandarizadas, las cuales son completadas por las instituciones del GCI de manera individual. La integración de estos datos está a cargo de la Unidad Integradora del MARN, para lo cual los formatos de integración son solo de uso interno.</w:t>
      </w:r>
    </w:p>
    <w:p w14:paraId="3493D7F1" w14:textId="77777777" w:rsidR="00FB367C" w:rsidRDefault="00FB367C" w:rsidP="00FB367C">
      <w:pPr>
        <w:spacing w:before="120" w:after="120"/>
        <w:rPr>
          <w:rFonts w:cstheme="minorHAnsi"/>
          <w:color w:val="000000" w:themeColor="text1"/>
          <w:lang w:val="es-ES_tradnl" w:eastAsia="es-ES"/>
        </w:rPr>
      </w:pPr>
      <w:r>
        <w:rPr>
          <w:rFonts w:cstheme="minorHAnsi"/>
          <w:color w:val="000000" w:themeColor="text1"/>
          <w:lang w:val="es-ES_tradnl" w:eastAsia="es-ES"/>
        </w:rPr>
        <w:t>En este contexto, existen dos vías para la agregación de la información:</w:t>
      </w:r>
    </w:p>
    <w:p w14:paraId="26D003C8" w14:textId="77777777" w:rsidR="00FB367C" w:rsidRDefault="00FB367C" w:rsidP="00FB367C">
      <w:pPr>
        <w:pStyle w:val="Prrafodelista"/>
        <w:numPr>
          <w:ilvl w:val="0"/>
          <w:numId w:val="2"/>
        </w:numPr>
        <w:spacing w:before="120" w:after="120"/>
        <w:rPr>
          <w:rFonts w:cstheme="minorHAnsi"/>
          <w:color w:val="000000" w:themeColor="text1"/>
          <w:lang w:val="es-ES_tradnl" w:eastAsia="es-ES"/>
        </w:rPr>
      </w:pPr>
      <w:r>
        <w:rPr>
          <w:rFonts w:cstheme="minorHAnsi"/>
          <w:color w:val="000000" w:themeColor="text1"/>
          <w:lang w:val="es-ES_tradnl" w:eastAsia="es-ES"/>
        </w:rPr>
        <w:t>L</w:t>
      </w:r>
      <w:r w:rsidRPr="00C70647">
        <w:rPr>
          <w:rFonts w:cstheme="minorHAnsi"/>
          <w:color w:val="000000" w:themeColor="text1"/>
          <w:lang w:val="es-ES_tradnl" w:eastAsia="es-ES"/>
        </w:rPr>
        <w:t xml:space="preserve">a primera consiste en </w:t>
      </w:r>
      <w:r>
        <w:rPr>
          <w:rFonts w:cstheme="minorHAnsi"/>
          <w:color w:val="000000" w:themeColor="text1"/>
          <w:lang w:val="es-ES_tradnl" w:eastAsia="es-ES"/>
        </w:rPr>
        <w:t>usar los formatos para la captura de datos generados por las instituciones del GCI individualmente y</w:t>
      </w:r>
      <w:r w:rsidRPr="00C70647">
        <w:rPr>
          <w:rFonts w:cstheme="minorHAnsi"/>
          <w:color w:val="000000" w:themeColor="text1"/>
          <w:lang w:val="es-ES_tradnl" w:eastAsia="es-ES"/>
        </w:rPr>
        <w:t xml:space="preserve"> consolida</w:t>
      </w:r>
      <w:r>
        <w:rPr>
          <w:rFonts w:cstheme="minorHAnsi"/>
          <w:color w:val="000000" w:themeColor="text1"/>
          <w:lang w:val="es-ES_tradnl" w:eastAsia="es-ES"/>
        </w:rPr>
        <w:t>r</w:t>
      </w:r>
      <w:r w:rsidRPr="00C70647">
        <w:rPr>
          <w:rFonts w:cstheme="minorHAnsi"/>
          <w:color w:val="000000" w:themeColor="text1"/>
          <w:lang w:val="es-ES_tradnl" w:eastAsia="es-ES"/>
        </w:rPr>
        <w:t xml:space="preserve"> </w:t>
      </w:r>
      <w:r>
        <w:rPr>
          <w:rFonts w:cstheme="minorHAnsi"/>
          <w:color w:val="000000" w:themeColor="text1"/>
          <w:lang w:val="es-ES_tradnl" w:eastAsia="es-ES"/>
        </w:rPr>
        <w:t>esta</w:t>
      </w:r>
      <w:r w:rsidRPr="00C70647">
        <w:rPr>
          <w:rFonts w:cstheme="minorHAnsi"/>
          <w:color w:val="000000" w:themeColor="text1"/>
          <w:lang w:val="es-ES_tradnl" w:eastAsia="es-ES"/>
        </w:rPr>
        <w:t xml:space="preserve"> información </w:t>
      </w:r>
      <w:r>
        <w:rPr>
          <w:rFonts w:cstheme="minorHAnsi"/>
          <w:color w:val="000000" w:themeColor="text1"/>
          <w:lang w:val="es-ES_tradnl" w:eastAsia="es-ES"/>
        </w:rPr>
        <w:t>en las hojas de integración manejadas por la Unidad Integradora del MARN.</w:t>
      </w:r>
    </w:p>
    <w:p w14:paraId="152DD139" w14:textId="77777777" w:rsidR="00FB367C" w:rsidRPr="00C70647" w:rsidRDefault="00FB367C" w:rsidP="00FB367C">
      <w:pPr>
        <w:pStyle w:val="Prrafodelista"/>
        <w:numPr>
          <w:ilvl w:val="0"/>
          <w:numId w:val="2"/>
        </w:numPr>
        <w:spacing w:before="120" w:after="120"/>
        <w:rPr>
          <w:rFonts w:cstheme="minorHAnsi"/>
          <w:color w:val="000000" w:themeColor="text1"/>
          <w:lang w:val="es-ES_tradnl" w:eastAsia="es-ES"/>
        </w:rPr>
      </w:pPr>
      <w:r>
        <w:rPr>
          <w:rFonts w:cstheme="minorHAnsi"/>
          <w:color w:val="000000" w:themeColor="text1"/>
          <w:lang w:val="es-ES_tradnl" w:eastAsia="es-ES"/>
        </w:rPr>
        <w:t>La segunda es u</w:t>
      </w:r>
      <w:r w:rsidRPr="00C70647">
        <w:rPr>
          <w:rFonts w:cstheme="minorHAnsi"/>
          <w:color w:val="000000" w:themeColor="text1"/>
          <w:lang w:val="es-ES_tradnl" w:eastAsia="es-ES"/>
        </w:rPr>
        <w:t xml:space="preserve">tilizar </w:t>
      </w:r>
      <w:r>
        <w:rPr>
          <w:rFonts w:cstheme="minorHAnsi"/>
          <w:color w:val="000000" w:themeColor="text1"/>
          <w:lang w:val="es-ES_tradnl" w:eastAsia="es-ES"/>
        </w:rPr>
        <w:t xml:space="preserve">una Máquina Virtual asociada a </w:t>
      </w:r>
      <w:r w:rsidRPr="00C70647">
        <w:rPr>
          <w:rFonts w:cstheme="minorHAnsi"/>
          <w:color w:val="000000" w:themeColor="text1"/>
          <w:lang w:val="es-ES_tradnl" w:eastAsia="es-ES"/>
        </w:rPr>
        <w:t xml:space="preserve">la plataforma </w:t>
      </w:r>
      <w:r>
        <w:rPr>
          <w:rFonts w:cstheme="minorHAnsi"/>
          <w:color w:val="000000" w:themeColor="text1"/>
          <w:lang w:val="es-ES_tradnl" w:eastAsia="es-ES"/>
        </w:rPr>
        <w:t>O</w:t>
      </w:r>
      <w:r w:rsidRPr="00C70647">
        <w:rPr>
          <w:rFonts w:cstheme="minorHAnsi"/>
          <w:color w:val="000000" w:themeColor="text1"/>
          <w:lang w:val="es-ES_tradnl" w:eastAsia="es-ES"/>
        </w:rPr>
        <w:t xml:space="preserve">ne </w:t>
      </w:r>
      <w:r>
        <w:rPr>
          <w:rFonts w:cstheme="minorHAnsi"/>
          <w:color w:val="000000" w:themeColor="text1"/>
          <w:lang w:val="es-ES_tradnl" w:eastAsia="es-ES"/>
        </w:rPr>
        <w:t>D</w:t>
      </w:r>
      <w:r w:rsidRPr="00C70647">
        <w:rPr>
          <w:rFonts w:cstheme="minorHAnsi"/>
          <w:color w:val="000000" w:themeColor="text1"/>
          <w:lang w:val="es-ES_tradnl" w:eastAsia="es-ES"/>
        </w:rPr>
        <w:t>rive que vincula todas las hojas de cálculo y se trabaja en línea permitiendo</w:t>
      </w:r>
      <w:r>
        <w:rPr>
          <w:rFonts w:cstheme="minorHAnsi"/>
          <w:color w:val="000000" w:themeColor="text1"/>
          <w:lang w:val="es-ES_tradnl" w:eastAsia="es-ES"/>
        </w:rPr>
        <w:t xml:space="preserve"> así</w:t>
      </w:r>
      <w:r w:rsidRPr="00C70647">
        <w:rPr>
          <w:rFonts w:cstheme="minorHAnsi"/>
          <w:color w:val="000000" w:themeColor="text1"/>
          <w:lang w:val="es-ES_tradnl" w:eastAsia="es-ES"/>
        </w:rPr>
        <w:t xml:space="preserve"> un</w:t>
      </w:r>
      <w:r>
        <w:rPr>
          <w:rFonts w:cstheme="minorHAnsi"/>
          <w:color w:val="000000" w:themeColor="text1"/>
          <w:lang w:val="es-ES_tradnl" w:eastAsia="es-ES"/>
        </w:rPr>
        <w:t>a</w:t>
      </w:r>
      <w:r w:rsidRPr="00C70647">
        <w:rPr>
          <w:rFonts w:cstheme="minorHAnsi"/>
          <w:color w:val="000000" w:themeColor="text1"/>
          <w:lang w:val="es-ES_tradnl" w:eastAsia="es-ES"/>
        </w:rPr>
        <w:t xml:space="preserve"> actualización automática de los indicadores.</w:t>
      </w:r>
    </w:p>
    <w:p w14:paraId="19C028B6" w14:textId="77777777" w:rsidR="00FB367C" w:rsidRDefault="00FB367C" w:rsidP="00FB367C">
      <w:pPr>
        <w:spacing w:before="120" w:after="120"/>
        <w:rPr>
          <w:rFonts w:cstheme="minorHAnsi"/>
          <w:color w:val="000000" w:themeColor="text1"/>
          <w:lang w:val="es-ES_tradnl" w:eastAsia="es-ES"/>
        </w:rPr>
      </w:pPr>
    </w:p>
    <w:p w14:paraId="7BE6A003" w14:textId="77777777" w:rsidR="00FB367C" w:rsidRPr="00AD02DE" w:rsidRDefault="00FB367C" w:rsidP="00FB367C">
      <w:pPr>
        <w:spacing w:before="120" w:after="120"/>
        <w:rPr>
          <w:rFonts w:cstheme="minorHAnsi"/>
          <w:b/>
          <w:bCs/>
          <w:color w:val="000000" w:themeColor="text1"/>
          <w:u w:val="single"/>
          <w:lang w:val="es-ES_tradnl" w:eastAsia="es-ES"/>
        </w:rPr>
      </w:pPr>
      <w:r>
        <w:rPr>
          <w:rFonts w:cstheme="minorHAnsi"/>
          <w:b/>
          <w:bCs/>
          <w:color w:val="000000" w:themeColor="text1"/>
          <w:u w:val="single"/>
          <w:lang w:val="es-ES_tradnl" w:eastAsia="es-ES"/>
        </w:rPr>
        <w:t>OPCIÓN 1: DESCARGA DE FORMATOS DE CAPTURA DE DATOS</w:t>
      </w:r>
    </w:p>
    <w:p w14:paraId="59958162" w14:textId="77777777" w:rsidR="00FB367C" w:rsidRDefault="00FB367C" w:rsidP="00FB367C">
      <w:pPr>
        <w:spacing w:before="120" w:after="120"/>
        <w:rPr>
          <w:rFonts w:cstheme="minorHAnsi"/>
          <w:color w:val="000000" w:themeColor="text1"/>
          <w:lang w:val="es-ES_tradnl" w:eastAsia="es-ES"/>
        </w:rPr>
      </w:pPr>
      <w:r>
        <w:rPr>
          <w:rFonts w:cstheme="minorHAnsi"/>
          <w:color w:val="000000" w:themeColor="text1"/>
          <w:lang w:val="es-ES_tradnl" w:eastAsia="es-ES"/>
        </w:rPr>
        <w:t>Para la primera opción, cada institución del GCI puede descargar su formato de captura de datos que se encuentran disponible en la página de Beneficios No Carbono dentro del MRV (</w:t>
      </w:r>
      <w:r>
        <w:rPr>
          <w:rFonts w:cstheme="minorHAnsi"/>
          <w:color w:val="000000" w:themeColor="text1"/>
          <w:lang w:val="es-ES_tradnl" w:eastAsia="es-ES"/>
        </w:rPr>
        <w:fldChar w:fldCharType="begin"/>
      </w:r>
      <w:r>
        <w:rPr>
          <w:rFonts w:cstheme="minorHAnsi"/>
          <w:color w:val="000000" w:themeColor="text1"/>
          <w:lang w:val="es-ES_tradnl" w:eastAsia="es-ES"/>
        </w:rPr>
        <w:instrText xml:space="preserve"> REF _Ref45358287 \h </w:instrText>
      </w:r>
      <w:r>
        <w:rPr>
          <w:rFonts w:cstheme="minorHAnsi"/>
          <w:color w:val="000000" w:themeColor="text1"/>
          <w:lang w:val="es-ES_tradnl" w:eastAsia="es-ES"/>
        </w:rPr>
      </w:r>
      <w:r>
        <w:rPr>
          <w:rFonts w:cstheme="minorHAnsi"/>
          <w:color w:val="000000" w:themeColor="text1"/>
          <w:lang w:val="es-ES_tradnl" w:eastAsia="es-ES"/>
        </w:rPr>
        <w:fldChar w:fldCharType="separate"/>
      </w:r>
      <w:r w:rsidRPr="00757DEA">
        <w:rPr>
          <w:lang w:val="es-CL"/>
        </w:rPr>
        <w:t xml:space="preserve">Figura </w:t>
      </w:r>
      <w:r w:rsidRPr="00757DEA">
        <w:rPr>
          <w:noProof/>
          <w:lang w:val="es-CL"/>
        </w:rPr>
        <w:t>39</w:t>
      </w:r>
      <w:r>
        <w:rPr>
          <w:rFonts w:cstheme="minorHAnsi"/>
          <w:color w:val="000000" w:themeColor="text1"/>
          <w:lang w:val="es-ES_tradnl" w:eastAsia="es-ES"/>
        </w:rPr>
        <w:fldChar w:fldCharType="end"/>
      </w:r>
      <w:r>
        <w:rPr>
          <w:rFonts w:cstheme="minorHAnsi"/>
          <w:color w:val="000000" w:themeColor="text1"/>
          <w:lang w:val="es-ES_tradnl" w:eastAsia="es-ES"/>
        </w:rPr>
        <w:t>).</w:t>
      </w:r>
    </w:p>
    <w:p w14:paraId="579174D3" w14:textId="77777777" w:rsidR="00FB367C" w:rsidRDefault="00FB367C" w:rsidP="00FB367C">
      <w:pPr>
        <w:spacing w:before="120" w:after="120"/>
        <w:rPr>
          <w:rFonts w:cstheme="minorHAnsi"/>
          <w:color w:val="000000" w:themeColor="text1"/>
          <w:lang w:val="es-ES_tradnl" w:eastAsia="es-ES"/>
        </w:rPr>
      </w:pPr>
      <w:r>
        <w:rPr>
          <w:rFonts w:cstheme="minorHAnsi"/>
          <w:noProof/>
          <w:color w:val="000000" w:themeColor="text1"/>
          <w:lang w:val="es-ES_tradnl" w:eastAsia="es-ES"/>
        </w:rPr>
        <w:lastRenderedPageBreak/>
        <w:drawing>
          <wp:inline distT="0" distB="0" distL="0" distR="0" wp14:anchorId="2EFAF853" wp14:editId="6D155194">
            <wp:extent cx="5962446" cy="2736850"/>
            <wp:effectExtent l="0" t="0" r="635"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79511" cy="2744683"/>
                    </a:xfrm>
                    <a:prstGeom prst="rect">
                      <a:avLst/>
                    </a:prstGeom>
                    <a:noFill/>
                  </pic:spPr>
                </pic:pic>
              </a:graphicData>
            </a:graphic>
          </wp:inline>
        </w:drawing>
      </w:r>
    </w:p>
    <w:p w14:paraId="023BB5E5" w14:textId="77777777" w:rsidR="00FB367C" w:rsidRDefault="00FB367C" w:rsidP="00FB367C">
      <w:pPr>
        <w:pStyle w:val="Descripcin"/>
      </w:pPr>
      <w:bookmarkStart w:id="3" w:name="_Ref45358287"/>
      <w:bookmarkStart w:id="4" w:name="_Toc45523691"/>
      <w:r w:rsidRPr="00335267">
        <w:t xml:space="preserve">Figura </w:t>
      </w:r>
      <w:r w:rsidRPr="00335267">
        <w:fldChar w:fldCharType="begin"/>
      </w:r>
      <w:r w:rsidRPr="00335267">
        <w:instrText xml:space="preserve"> SEQ Figura \* ARABIC </w:instrText>
      </w:r>
      <w:r w:rsidRPr="00335267">
        <w:fldChar w:fldCharType="separate"/>
      </w:r>
      <w:r>
        <w:rPr>
          <w:noProof/>
        </w:rPr>
        <w:t>39</w:t>
      </w:r>
      <w:r w:rsidRPr="00335267">
        <w:fldChar w:fldCharType="end"/>
      </w:r>
      <w:bookmarkEnd w:id="3"/>
      <w:r w:rsidRPr="00335267">
        <w:t xml:space="preserve">. </w:t>
      </w:r>
      <w:r>
        <w:t>Formatos de captura de datos disponible para descarga</w:t>
      </w:r>
      <w:bookmarkEnd w:id="4"/>
    </w:p>
    <w:p w14:paraId="47BDD39B" w14:textId="77777777" w:rsidR="00FB367C" w:rsidRDefault="00FB367C" w:rsidP="00FB367C">
      <w:pPr>
        <w:spacing w:before="120" w:after="120"/>
        <w:rPr>
          <w:rFonts w:cstheme="minorHAnsi"/>
          <w:color w:val="000000" w:themeColor="text1"/>
          <w:lang w:val="es-ES_tradnl" w:eastAsia="es-ES"/>
        </w:rPr>
      </w:pPr>
    </w:p>
    <w:p w14:paraId="586BAABD" w14:textId="77777777" w:rsidR="00FB367C" w:rsidRDefault="00FB367C" w:rsidP="00FB367C">
      <w:pPr>
        <w:spacing w:before="120" w:after="120"/>
        <w:rPr>
          <w:rFonts w:cstheme="minorHAnsi"/>
          <w:color w:val="000000" w:themeColor="text1"/>
          <w:lang w:val="es-ES_tradnl" w:eastAsia="es-ES"/>
        </w:rPr>
      </w:pPr>
      <w:r>
        <w:rPr>
          <w:rFonts w:cstheme="minorHAnsi"/>
          <w:color w:val="000000" w:themeColor="text1"/>
          <w:lang w:val="es-ES_tradnl" w:eastAsia="es-ES"/>
        </w:rPr>
        <w:t>El formato descargado corresponde a una planilla Excel, donde cada institución encontrará las instrucciones necesarias para completar los datos requeridos (</w:t>
      </w:r>
      <w:r>
        <w:rPr>
          <w:rFonts w:cstheme="minorHAnsi"/>
          <w:color w:val="000000" w:themeColor="text1"/>
          <w:lang w:val="es-ES_tradnl" w:eastAsia="es-ES"/>
        </w:rPr>
        <w:fldChar w:fldCharType="begin"/>
      </w:r>
      <w:r>
        <w:rPr>
          <w:rFonts w:cstheme="minorHAnsi"/>
          <w:color w:val="000000" w:themeColor="text1"/>
          <w:lang w:val="es-ES_tradnl" w:eastAsia="es-ES"/>
        </w:rPr>
        <w:instrText xml:space="preserve"> REF _Ref45376398 \h </w:instrText>
      </w:r>
      <w:r>
        <w:rPr>
          <w:rFonts w:cstheme="minorHAnsi"/>
          <w:color w:val="000000" w:themeColor="text1"/>
          <w:lang w:val="es-ES_tradnl" w:eastAsia="es-ES"/>
        </w:rPr>
      </w:r>
      <w:r>
        <w:rPr>
          <w:rFonts w:cstheme="minorHAnsi"/>
          <w:color w:val="000000" w:themeColor="text1"/>
          <w:lang w:val="es-ES_tradnl" w:eastAsia="es-ES"/>
        </w:rPr>
        <w:fldChar w:fldCharType="separate"/>
      </w:r>
      <w:r w:rsidRPr="00757DEA">
        <w:rPr>
          <w:lang w:val="es-CL"/>
        </w:rPr>
        <w:t xml:space="preserve">Figura </w:t>
      </w:r>
      <w:r w:rsidRPr="00757DEA">
        <w:rPr>
          <w:noProof/>
          <w:lang w:val="es-CL"/>
        </w:rPr>
        <w:t>40</w:t>
      </w:r>
      <w:r>
        <w:rPr>
          <w:rFonts w:cstheme="minorHAnsi"/>
          <w:color w:val="000000" w:themeColor="text1"/>
          <w:lang w:val="es-ES_tradnl" w:eastAsia="es-ES"/>
        </w:rPr>
        <w:fldChar w:fldCharType="end"/>
      </w:r>
      <w:r>
        <w:rPr>
          <w:rFonts w:cstheme="minorHAnsi"/>
          <w:color w:val="000000" w:themeColor="text1"/>
          <w:lang w:val="es-ES_tradnl" w:eastAsia="es-ES"/>
        </w:rPr>
        <w:t>). Es importante destacar que las planillas se encuentran configuradas de tal manera que solo puedan ser actualizados los campos en los cuales las instituciones deben completar los datos. Todos los demás campos se encuentran bloqueados a objeto de mantener la consistencia estructural de la información proveniente de los distintos actores. Una vez completados los formatos, las instituciones deberán enviar estos archivos a la Unidad Integradora del MARN.</w:t>
      </w:r>
    </w:p>
    <w:p w14:paraId="358205CE" w14:textId="77777777" w:rsidR="00FB367C" w:rsidRDefault="00FB367C" w:rsidP="00FB367C">
      <w:pPr>
        <w:spacing w:before="120" w:after="120"/>
        <w:jc w:val="center"/>
        <w:rPr>
          <w:rFonts w:cstheme="minorHAnsi"/>
          <w:color w:val="000000" w:themeColor="text1"/>
          <w:lang w:val="es-ES_tradnl" w:eastAsia="es-ES"/>
        </w:rPr>
      </w:pPr>
      <w:r>
        <w:rPr>
          <w:rFonts w:cstheme="minorHAnsi"/>
          <w:noProof/>
          <w:color w:val="000000" w:themeColor="text1"/>
          <w:lang w:val="es-ES_tradnl" w:eastAsia="es-ES"/>
        </w:rPr>
        <w:drawing>
          <wp:inline distT="0" distB="0" distL="0" distR="0" wp14:anchorId="65E79B44" wp14:editId="013C6D54">
            <wp:extent cx="5470543" cy="2818571"/>
            <wp:effectExtent l="0" t="0" r="0" b="127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5930" cy="2821346"/>
                    </a:xfrm>
                    <a:prstGeom prst="rect">
                      <a:avLst/>
                    </a:prstGeom>
                    <a:noFill/>
                  </pic:spPr>
                </pic:pic>
              </a:graphicData>
            </a:graphic>
          </wp:inline>
        </w:drawing>
      </w:r>
    </w:p>
    <w:p w14:paraId="58256DF3" w14:textId="77777777" w:rsidR="00FB367C" w:rsidRDefault="00FB367C" w:rsidP="00FB367C">
      <w:pPr>
        <w:pStyle w:val="Descripcin"/>
      </w:pPr>
      <w:bookmarkStart w:id="5" w:name="_Ref45376398"/>
      <w:bookmarkStart w:id="6" w:name="_Toc45523692"/>
      <w:r w:rsidRPr="00335267">
        <w:t xml:space="preserve">Figura </w:t>
      </w:r>
      <w:r w:rsidRPr="00335267">
        <w:fldChar w:fldCharType="begin"/>
      </w:r>
      <w:r w:rsidRPr="00335267">
        <w:instrText xml:space="preserve"> SEQ Figura \* ARABIC </w:instrText>
      </w:r>
      <w:r w:rsidRPr="00335267">
        <w:fldChar w:fldCharType="separate"/>
      </w:r>
      <w:r>
        <w:rPr>
          <w:noProof/>
        </w:rPr>
        <w:t>40</w:t>
      </w:r>
      <w:r w:rsidRPr="00335267">
        <w:fldChar w:fldCharType="end"/>
      </w:r>
      <w:bookmarkEnd w:id="5"/>
      <w:r w:rsidRPr="00335267">
        <w:t xml:space="preserve">. </w:t>
      </w:r>
      <w:r>
        <w:t>Formato de captura de datos</w:t>
      </w:r>
      <w:bookmarkEnd w:id="6"/>
    </w:p>
    <w:p w14:paraId="2EF7F35F" w14:textId="77777777" w:rsidR="00FB367C" w:rsidRPr="00AF293E" w:rsidRDefault="00FB367C" w:rsidP="00FB367C">
      <w:pPr>
        <w:spacing w:before="120" w:after="120"/>
        <w:rPr>
          <w:rFonts w:cstheme="minorHAnsi"/>
          <w:color w:val="000000" w:themeColor="text1"/>
          <w:lang w:val="es-CL" w:eastAsia="es-ES"/>
        </w:rPr>
      </w:pPr>
    </w:p>
    <w:p w14:paraId="79405328" w14:textId="77777777" w:rsidR="00FB367C" w:rsidRDefault="00FB367C" w:rsidP="00FB367C">
      <w:pPr>
        <w:spacing w:before="120" w:after="120"/>
        <w:rPr>
          <w:rFonts w:cstheme="minorHAnsi"/>
          <w:color w:val="000000" w:themeColor="text1"/>
          <w:lang w:val="es-ES_tradnl" w:eastAsia="es-ES"/>
        </w:rPr>
      </w:pPr>
      <w:r>
        <w:rPr>
          <w:rFonts w:cstheme="minorHAnsi"/>
          <w:color w:val="000000" w:themeColor="text1"/>
          <w:lang w:val="es-ES_tradnl" w:eastAsia="es-ES"/>
        </w:rPr>
        <w:t xml:space="preserve">Con base en estos formatos de captura de datos, la Unidad Integradora del MARN deberá introducir estos datos en la hoja de integración de información de beneficios no Carbono, que cuenta con una pestaña para cada institución. </w:t>
      </w:r>
      <w:r>
        <w:rPr>
          <w:rFonts w:cstheme="minorHAnsi"/>
          <w:color w:val="000000" w:themeColor="text1"/>
          <w:lang w:val="es-ES_tradnl" w:eastAsia="es-ES"/>
        </w:rPr>
        <w:lastRenderedPageBreak/>
        <w:t>Una vez ingresados los datos, éstos se consolidan automáticamente en la pestaña MASTER, donde se presenta el detalle y resultado de cada indicador (</w:t>
      </w:r>
      <w:r>
        <w:rPr>
          <w:rFonts w:cstheme="minorHAnsi"/>
          <w:color w:val="000000" w:themeColor="text1"/>
          <w:lang w:val="es-ES_tradnl" w:eastAsia="es-ES"/>
        </w:rPr>
        <w:fldChar w:fldCharType="begin"/>
      </w:r>
      <w:r>
        <w:rPr>
          <w:rFonts w:cstheme="minorHAnsi"/>
          <w:color w:val="000000" w:themeColor="text1"/>
          <w:lang w:val="es-ES_tradnl" w:eastAsia="es-ES"/>
        </w:rPr>
        <w:instrText xml:space="preserve"> REF _Ref45376521 \h </w:instrText>
      </w:r>
      <w:r>
        <w:rPr>
          <w:rFonts w:cstheme="minorHAnsi"/>
          <w:color w:val="000000" w:themeColor="text1"/>
          <w:lang w:val="es-ES_tradnl" w:eastAsia="es-ES"/>
        </w:rPr>
      </w:r>
      <w:r>
        <w:rPr>
          <w:rFonts w:cstheme="minorHAnsi"/>
          <w:color w:val="000000" w:themeColor="text1"/>
          <w:lang w:val="es-ES_tradnl" w:eastAsia="es-ES"/>
        </w:rPr>
        <w:fldChar w:fldCharType="separate"/>
      </w:r>
      <w:r w:rsidRPr="00757DEA">
        <w:rPr>
          <w:lang w:val="es-CL"/>
        </w:rPr>
        <w:t xml:space="preserve">Figura </w:t>
      </w:r>
      <w:r w:rsidRPr="00757DEA">
        <w:rPr>
          <w:noProof/>
          <w:lang w:val="es-CL"/>
        </w:rPr>
        <w:t>41</w:t>
      </w:r>
      <w:r>
        <w:rPr>
          <w:rFonts w:cstheme="minorHAnsi"/>
          <w:color w:val="000000" w:themeColor="text1"/>
          <w:lang w:val="es-ES_tradnl" w:eastAsia="es-ES"/>
        </w:rPr>
        <w:fldChar w:fldCharType="end"/>
      </w:r>
      <w:r>
        <w:rPr>
          <w:rFonts w:cstheme="minorHAnsi"/>
          <w:color w:val="000000" w:themeColor="text1"/>
          <w:lang w:val="es-ES_tradnl" w:eastAsia="es-ES"/>
        </w:rPr>
        <w:t>).</w:t>
      </w:r>
    </w:p>
    <w:p w14:paraId="33C328F5" w14:textId="77777777" w:rsidR="00FB367C" w:rsidRDefault="00FB367C" w:rsidP="00FB367C">
      <w:pPr>
        <w:spacing w:before="120" w:after="120"/>
        <w:jc w:val="center"/>
        <w:rPr>
          <w:rFonts w:cstheme="minorHAnsi"/>
          <w:color w:val="000000" w:themeColor="text1"/>
          <w:lang w:val="es-ES_tradnl" w:eastAsia="es-ES"/>
        </w:rPr>
      </w:pPr>
      <w:r>
        <w:rPr>
          <w:noProof/>
        </w:rPr>
        <mc:AlternateContent>
          <mc:Choice Requires="wps">
            <w:drawing>
              <wp:anchor distT="0" distB="0" distL="114300" distR="114300" simplePos="0" relativeHeight="251660288" behindDoc="0" locked="0" layoutInCell="1" allowOverlap="1" wp14:anchorId="063AD908" wp14:editId="1AA4AD26">
                <wp:simplePos x="0" y="0"/>
                <wp:positionH relativeFrom="margin">
                  <wp:posOffset>506730</wp:posOffset>
                </wp:positionH>
                <wp:positionV relativeFrom="paragraph">
                  <wp:posOffset>2074545</wp:posOffset>
                </wp:positionV>
                <wp:extent cx="1104150" cy="151235"/>
                <wp:effectExtent l="0" t="0" r="20320" b="20320"/>
                <wp:wrapNone/>
                <wp:docPr id="56" name="Rectángulo: esquinas redondeadas 56"/>
                <wp:cNvGraphicFramePr/>
                <a:graphic xmlns:a="http://schemas.openxmlformats.org/drawingml/2006/main">
                  <a:graphicData uri="http://schemas.microsoft.com/office/word/2010/wordprocessingShape">
                    <wps:wsp>
                      <wps:cNvSpPr/>
                      <wps:spPr>
                        <a:xfrm>
                          <a:off x="0" y="0"/>
                          <a:ext cx="1104150" cy="151235"/>
                        </a:xfrm>
                        <a:prstGeom prst="roundRect">
                          <a:avLst/>
                        </a:prstGeom>
                        <a:noFill/>
                        <a:ln w="19050" cap="flat" cmpd="sng" algn="ctr">
                          <a:solidFill>
                            <a:srgbClr val="FF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9E8B0B" id="Rectángulo: esquinas redondeadas 56" o:spid="_x0000_s1026" style="position:absolute;margin-left:39.9pt;margin-top:163.35pt;width:86.95pt;height:11.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" filled="f" strokecolor="red" strokeweight="1.5pt">
                <v:stroke dashstyle="dash"/>
                <w10:wrap anchorx="margin"/>
              </v:roundrect>
            </w:pict>
          </mc:Fallback>
        </mc:AlternateContent>
      </w:r>
      <w:r>
        <w:rPr>
          <w:noProof/>
        </w:rPr>
        <w:drawing>
          <wp:inline distT="0" distB="0" distL="0" distR="0" wp14:anchorId="3A935458" wp14:editId="41177DC1">
            <wp:extent cx="5612130" cy="2229485"/>
            <wp:effectExtent l="0" t="0" r="7620" b="0"/>
            <wp:docPr id="141" name="Imagen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229485"/>
                    </a:xfrm>
                    <a:prstGeom prst="rect">
                      <a:avLst/>
                    </a:prstGeom>
                  </pic:spPr>
                </pic:pic>
              </a:graphicData>
            </a:graphic>
          </wp:inline>
        </w:drawing>
      </w:r>
    </w:p>
    <w:p w14:paraId="6107098E" w14:textId="77777777" w:rsidR="00FB367C" w:rsidRDefault="00FB367C" w:rsidP="00FB367C">
      <w:pPr>
        <w:pStyle w:val="Descripcin"/>
      </w:pPr>
      <w:bookmarkStart w:id="7" w:name="_Ref45376521"/>
      <w:bookmarkStart w:id="8" w:name="_Toc45523693"/>
      <w:r w:rsidRPr="00335267">
        <w:t xml:space="preserve">Figura </w:t>
      </w:r>
      <w:r w:rsidRPr="00335267">
        <w:fldChar w:fldCharType="begin"/>
      </w:r>
      <w:r w:rsidRPr="00335267">
        <w:instrText xml:space="preserve"> SEQ Figura \* ARABIC </w:instrText>
      </w:r>
      <w:r w:rsidRPr="00335267">
        <w:fldChar w:fldCharType="separate"/>
      </w:r>
      <w:r>
        <w:rPr>
          <w:noProof/>
        </w:rPr>
        <w:t>41</w:t>
      </w:r>
      <w:r w:rsidRPr="00335267">
        <w:fldChar w:fldCharType="end"/>
      </w:r>
      <w:bookmarkEnd w:id="7"/>
      <w:r w:rsidRPr="00335267">
        <w:t xml:space="preserve">. </w:t>
      </w:r>
      <w:r>
        <w:t>Hoja de cálculo de integración de la Unidad Integradora del MARN</w:t>
      </w:r>
      <w:bookmarkEnd w:id="8"/>
    </w:p>
    <w:p w14:paraId="66068285" w14:textId="77777777" w:rsidR="00FB367C" w:rsidRPr="0046179B" w:rsidRDefault="00FB367C" w:rsidP="00FB367C">
      <w:pPr>
        <w:spacing w:before="120" w:after="120"/>
        <w:rPr>
          <w:rFonts w:cstheme="minorHAnsi"/>
          <w:b/>
          <w:bCs/>
          <w:color w:val="000000" w:themeColor="text1"/>
          <w:u w:val="single"/>
          <w:lang w:val="es-ES_tradnl" w:eastAsia="es-ES"/>
        </w:rPr>
      </w:pPr>
      <w:r w:rsidRPr="0046179B">
        <w:rPr>
          <w:rFonts w:cstheme="minorHAnsi"/>
          <w:b/>
          <w:bCs/>
          <w:color w:val="000000" w:themeColor="text1"/>
          <w:u w:val="single"/>
          <w:lang w:val="es-ES_tradnl" w:eastAsia="es-ES"/>
        </w:rPr>
        <w:t>OPCIÓN 2: CAPTURA DE DATOS ONLINE MEDIANTE PLATAFORMA ONE DRIVE</w:t>
      </w:r>
    </w:p>
    <w:p w14:paraId="22CA24C6" w14:textId="77777777" w:rsidR="00FB367C" w:rsidRDefault="00FB367C" w:rsidP="00FB367C">
      <w:pPr>
        <w:spacing w:before="120" w:after="120"/>
        <w:rPr>
          <w:rFonts w:cstheme="minorHAnsi"/>
          <w:color w:val="000000" w:themeColor="text1"/>
          <w:lang w:val="es-ES_tradnl" w:eastAsia="es-ES"/>
        </w:rPr>
      </w:pPr>
      <w:r>
        <w:rPr>
          <w:rFonts w:cstheme="minorHAnsi"/>
          <w:color w:val="000000" w:themeColor="text1"/>
          <w:lang w:val="es-ES_tradnl" w:eastAsia="es-ES"/>
        </w:rPr>
        <w:t>Para la segunda opción, la Unidad Integradora del MARN administra el enlace de una carpeta en One Drive, en la cual las hojas de cálculo están vinculadas entre sí y permiten una actualización automática. El link a la carpeta es el siguiente:</w:t>
      </w:r>
    </w:p>
    <w:p w14:paraId="3FF18E74" w14:textId="77777777" w:rsidR="00FB367C" w:rsidRDefault="00FB367C" w:rsidP="00FB367C">
      <w:pPr>
        <w:spacing w:before="120" w:after="120"/>
        <w:jc w:val="left"/>
        <w:rPr>
          <w:rFonts w:cstheme="minorHAnsi"/>
          <w:color w:val="000000" w:themeColor="text1"/>
          <w:lang w:val="es-ES_tradnl" w:eastAsia="es-ES"/>
        </w:rPr>
      </w:pPr>
      <w:hyperlink r:id="rId9" w:history="1">
        <w:r w:rsidRPr="004A4FFE">
          <w:rPr>
            <w:rStyle w:val="Hipervnculo"/>
            <w:rFonts w:cstheme="minorHAnsi"/>
            <w:lang w:val="es-ES_tradnl" w:eastAsia="es-ES"/>
          </w:rPr>
          <w:t>https://onedrive.live.com/edit.aspx?resid=9F999E057AD8C646%2163386&amp;id=documents&amp;authkey=!AAKKwaRTCBHEAa0&amp;</w:t>
        </w:r>
      </w:hyperlink>
    </w:p>
    <w:p w14:paraId="30F2DFC5" w14:textId="77777777" w:rsidR="00FB367C" w:rsidRDefault="00FB367C" w:rsidP="00FB367C">
      <w:pPr>
        <w:spacing w:before="120" w:after="120"/>
        <w:rPr>
          <w:rFonts w:cstheme="minorHAnsi"/>
          <w:color w:val="000000" w:themeColor="text1"/>
          <w:lang w:val="es-ES_tradnl" w:eastAsia="es-ES"/>
        </w:rPr>
      </w:pPr>
      <w:r>
        <w:rPr>
          <w:rFonts w:cstheme="minorHAnsi"/>
          <w:color w:val="000000" w:themeColor="text1"/>
          <w:lang w:val="es-ES_tradnl" w:eastAsia="es-ES"/>
        </w:rPr>
        <w:t xml:space="preserve">Tal como se aprecia en la </w:t>
      </w:r>
      <w:r>
        <w:rPr>
          <w:rFonts w:cstheme="minorHAnsi"/>
          <w:color w:val="000000" w:themeColor="text1"/>
          <w:lang w:val="es-ES_tradnl" w:eastAsia="es-ES"/>
        </w:rPr>
        <w:fldChar w:fldCharType="begin"/>
      </w:r>
      <w:r>
        <w:rPr>
          <w:rFonts w:cstheme="minorHAnsi"/>
          <w:color w:val="000000" w:themeColor="text1"/>
          <w:lang w:val="es-ES_tradnl" w:eastAsia="es-ES"/>
        </w:rPr>
        <w:instrText xml:space="preserve"> REF _Ref45376630 \h </w:instrText>
      </w:r>
      <w:r>
        <w:rPr>
          <w:rFonts w:cstheme="minorHAnsi"/>
          <w:color w:val="000000" w:themeColor="text1"/>
          <w:lang w:val="es-ES_tradnl" w:eastAsia="es-ES"/>
        </w:rPr>
      </w:r>
      <w:r>
        <w:rPr>
          <w:rFonts w:cstheme="minorHAnsi"/>
          <w:color w:val="000000" w:themeColor="text1"/>
          <w:lang w:val="es-ES_tradnl" w:eastAsia="es-ES"/>
        </w:rPr>
        <w:fldChar w:fldCharType="separate"/>
      </w:r>
      <w:r w:rsidRPr="00757DEA">
        <w:rPr>
          <w:lang w:val="es-CL"/>
        </w:rPr>
        <w:t xml:space="preserve">Figura </w:t>
      </w:r>
      <w:r w:rsidRPr="00757DEA">
        <w:rPr>
          <w:noProof/>
          <w:lang w:val="es-CL"/>
        </w:rPr>
        <w:t>42</w:t>
      </w:r>
      <w:r>
        <w:rPr>
          <w:rFonts w:cstheme="minorHAnsi"/>
          <w:color w:val="000000" w:themeColor="text1"/>
          <w:lang w:val="es-ES_tradnl" w:eastAsia="es-ES"/>
        </w:rPr>
        <w:fldChar w:fldCharType="end"/>
      </w:r>
      <w:r>
        <w:rPr>
          <w:rFonts w:cstheme="minorHAnsi"/>
          <w:color w:val="000000" w:themeColor="text1"/>
          <w:lang w:val="es-ES_tradnl" w:eastAsia="es-ES"/>
        </w:rPr>
        <w:t>, al acceder a la carpeta de One Drive se visualizan 5 hojas de cálculo, que corresponden a:</w:t>
      </w:r>
    </w:p>
    <w:p w14:paraId="707F440F" w14:textId="77777777" w:rsidR="00FB367C" w:rsidRDefault="00FB367C" w:rsidP="00FB367C">
      <w:pPr>
        <w:pStyle w:val="Prrafodelista"/>
        <w:numPr>
          <w:ilvl w:val="0"/>
          <w:numId w:val="3"/>
        </w:numPr>
        <w:spacing w:before="120" w:after="120"/>
        <w:rPr>
          <w:rFonts w:cstheme="minorHAnsi"/>
          <w:color w:val="000000" w:themeColor="text1"/>
          <w:lang w:val="es-ES_tradnl" w:eastAsia="es-ES"/>
        </w:rPr>
      </w:pPr>
      <w:r w:rsidRPr="0046179B">
        <w:rPr>
          <w:rFonts w:cstheme="minorHAnsi"/>
          <w:color w:val="000000" w:themeColor="text1"/>
          <w:lang w:val="es-ES_tradnl" w:eastAsia="es-ES"/>
        </w:rPr>
        <w:t>4 hojas de cálculo</w:t>
      </w:r>
      <w:r>
        <w:rPr>
          <w:rFonts w:cstheme="minorHAnsi"/>
          <w:color w:val="000000" w:themeColor="text1"/>
          <w:lang w:val="es-ES_tradnl" w:eastAsia="es-ES"/>
        </w:rPr>
        <w:t xml:space="preserve"> correspondientes al “Formato de captura de datos” (una para cada institución del GCI). </w:t>
      </w:r>
    </w:p>
    <w:p w14:paraId="5D62D5D4" w14:textId="77777777" w:rsidR="00FB367C" w:rsidRPr="0046179B" w:rsidRDefault="00FB367C" w:rsidP="00FB367C">
      <w:pPr>
        <w:pStyle w:val="Prrafodelista"/>
        <w:numPr>
          <w:ilvl w:val="0"/>
          <w:numId w:val="3"/>
        </w:numPr>
        <w:spacing w:before="120" w:after="120"/>
        <w:rPr>
          <w:rFonts w:cstheme="minorHAnsi"/>
          <w:color w:val="000000" w:themeColor="text1"/>
          <w:lang w:val="es-ES_tradnl" w:eastAsia="es-ES"/>
        </w:rPr>
      </w:pPr>
      <w:r>
        <w:rPr>
          <w:rFonts w:cstheme="minorHAnsi"/>
          <w:color w:val="000000" w:themeColor="text1"/>
          <w:lang w:val="es-ES_tradnl" w:eastAsia="es-ES"/>
        </w:rPr>
        <w:t xml:space="preserve">1 </w:t>
      </w:r>
      <w:r w:rsidRPr="0046179B">
        <w:rPr>
          <w:rFonts w:cstheme="minorHAnsi"/>
          <w:color w:val="000000" w:themeColor="text1"/>
          <w:lang w:val="es-ES_tradnl" w:eastAsia="es-ES"/>
        </w:rPr>
        <w:t>hoja de cálculo que integra todos los datos generados por las instituciones del GCI, denominada “Cobeneficios Guatemala”.</w:t>
      </w:r>
    </w:p>
    <w:p w14:paraId="33B212E3" w14:textId="77777777" w:rsidR="00FB367C" w:rsidRDefault="00FB367C" w:rsidP="00FB367C">
      <w:pPr>
        <w:spacing w:before="120" w:after="120"/>
        <w:rPr>
          <w:rFonts w:cstheme="minorHAnsi"/>
          <w:color w:val="000000" w:themeColor="text1"/>
          <w:lang w:val="es-ES_tradnl" w:eastAsia="es-ES"/>
        </w:rPr>
      </w:pPr>
      <w:r>
        <w:rPr>
          <w:noProof/>
        </w:rPr>
        <w:drawing>
          <wp:inline distT="0" distB="0" distL="0" distR="0" wp14:anchorId="3D403399" wp14:editId="6308504B">
            <wp:extent cx="5461000" cy="1739210"/>
            <wp:effectExtent l="0" t="0" r="6350" b="0"/>
            <wp:docPr id="142" name="Imagen 6">
              <a:extLst xmlns:a="http://schemas.openxmlformats.org/drawingml/2006/main">
                <a:ext uri="{FF2B5EF4-FFF2-40B4-BE49-F238E27FC236}">
                  <a16:creationId xmlns:a16="http://schemas.microsoft.com/office/drawing/2014/main" id="{04B8ECDC-9F7C-4BC9-8A40-6A747BCE7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04B8ECDC-9F7C-4BC9-8A40-6A747BCE7390}"/>
                        </a:ext>
                      </a:extLst>
                    </pic:cNvPr>
                    <pic:cNvPicPr>
                      <a:picLocks noChangeAspect="1"/>
                    </pic:cNvPicPr>
                  </pic:nvPicPr>
                  <pic:blipFill>
                    <a:blip r:embed="rId10"/>
                    <a:stretch>
                      <a:fillRect/>
                    </a:stretch>
                  </pic:blipFill>
                  <pic:spPr>
                    <a:xfrm>
                      <a:off x="0" y="0"/>
                      <a:ext cx="5473705" cy="1743256"/>
                    </a:xfrm>
                    <a:prstGeom prst="rect">
                      <a:avLst/>
                    </a:prstGeom>
                  </pic:spPr>
                </pic:pic>
              </a:graphicData>
            </a:graphic>
          </wp:inline>
        </w:drawing>
      </w:r>
    </w:p>
    <w:p w14:paraId="518B6562" w14:textId="77777777" w:rsidR="00FB367C" w:rsidRDefault="00FB367C" w:rsidP="00FB367C">
      <w:pPr>
        <w:pStyle w:val="Descripcin"/>
      </w:pPr>
      <w:bookmarkStart w:id="9" w:name="_Ref45376630"/>
      <w:bookmarkStart w:id="10" w:name="_Toc45523694"/>
      <w:r w:rsidRPr="00335267">
        <w:t xml:space="preserve">Figura </w:t>
      </w:r>
      <w:r w:rsidRPr="00335267">
        <w:fldChar w:fldCharType="begin"/>
      </w:r>
      <w:r w:rsidRPr="00335267">
        <w:instrText xml:space="preserve"> SEQ Figura \* ARABIC </w:instrText>
      </w:r>
      <w:r w:rsidRPr="00335267">
        <w:fldChar w:fldCharType="separate"/>
      </w:r>
      <w:r>
        <w:rPr>
          <w:noProof/>
        </w:rPr>
        <w:t>42</w:t>
      </w:r>
      <w:r w:rsidRPr="00335267">
        <w:fldChar w:fldCharType="end"/>
      </w:r>
      <w:bookmarkEnd w:id="9"/>
      <w:r w:rsidRPr="00335267">
        <w:t xml:space="preserve">. </w:t>
      </w:r>
      <w:r>
        <w:t>Carpeta de formatos necesarios para captura e integración de datos</w:t>
      </w:r>
      <w:bookmarkEnd w:id="10"/>
    </w:p>
    <w:p w14:paraId="6BBD2F0D" w14:textId="77777777" w:rsidR="00FB367C" w:rsidRDefault="00FB367C" w:rsidP="00FB367C">
      <w:pPr>
        <w:spacing w:before="120" w:after="120"/>
        <w:rPr>
          <w:rFonts w:cstheme="minorHAnsi"/>
          <w:color w:val="000000" w:themeColor="text1"/>
          <w:lang w:val="es-CL" w:eastAsia="es-ES"/>
        </w:rPr>
      </w:pPr>
    </w:p>
    <w:p w14:paraId="53C2E661" w14:textId="77777777" w:rsidR="00FB367C" w:rsidRDefault="00FB367C" w:rsidP="00FB367C">
      <w:pPr>
        <w:spacing w:before="120" w:after="120"/>
        <w:rPr>
          <w:rFonts w:cstheme="minorHAnsi"/>
          <w:color w:val="000000" w:themeColor="text1"/>
          <w:lang w:val="es-ES_tradnl" w:eastAsia="es-ES"/>
        </w:rPr>
      </w:pPr>
      <w:r>
        <w:rPr>
          <w:rFonts w:cstheme="minorHAnsi"/>
          <w:color w:val="000000" w:themeColor="text1"/>
          <w:lang w:val="es-ES_tradnl" w:eastAsia="es-ES"/>
        </w:rPr>
        <w:t xml:space="preserve">Los formatos de captura de datos presentes en esta plataforma son los mismos que pueden ser descargados del sitio web de Beneficios no Carbono dentro del MRV. La única diferencia radica en que son completados en línea. </w:t>
      </w:r>
    </w:p>
    <w:p w14:paraId="770CFD5D" w14:textId="77777777" w:rsidR="00FB367C" w:rsidRPr="00B8717B" w:rsidRDefault="00FB367C" w:rsidP="00FB367C">
      <w:pPr>
        <w:spacing w:before="120" w:after="120"/>
        <w:rPr>
          <w:rFonts w:cstheme="minorHAnsi"/>
          <w:color w:val="000000" w:themeColor="text1"/>
          <w:lang w:val="es-CL" w:eastAsia="es-ES"/>
        </w:rPr>
      </w:pPr>
      <w:r>
        <w:rPr>
          <w:rFonts w:cstheme="minorHAnsi"/>
          <w:color w:val="000000" w:themeColor="text1"/>
          <w:lang w:val="es-ES_tradnl" w:eastAsia="es-ES"/>
        </w:rPr>
        <w:lastRenderedPageBreak/>
        <w:t xml:space="preserve">Por su parte la hoja de cálculo de integración contiene las fórmulas de cada indicador y está vinculada con los formatos de captura de datos, por lo que solo es necesario actualizar los datos y conexiones, tal como se indica en la </w:t>
      </w:r>
      <w:r>
        <w:rPr>
          <w:rFonts w:cstheme="minorHAnsi"/>
          <w:color w:val="000000" w:themeColor="text1"/>
          <w:lang w:val="es-ES_tradnl" w:eastAsia="es-ES"/>
        </w:rPr>
        <w:fldChar w:fldCharType="begin"/>
      </w:r>
      <w:r>
        <w:rPr>
          <w:rFonts w:cstheme="minorHAnsi"/>
          <w:color w:val="000000" w:themeColor="text1"/>
          <w:lang w:val="es-ES_tradnl" w:eastAsia="es-ES"/>
        </w:rPr>
        <w:instrText xml:space="preserve"> REF _Ref45349354 \h </w:instrText>
      </w:r>
      <w:r>
        <w:rPr>
          <w:rFonts w:cstheme="minorHAnsi"/>
          <w:color w:val="000000" w:themeColor="text1"/>
          <w:lang w:val="es-ES_tradnl" w:eastAsia="es-ES"/>
        </w:rPr>
      </w:r>
      <w:r>
        <w:rPr>
          <w:rFonts w:cstheme="minorHAnsi"/>
          <w:color w:val="000000" w:themeColor="text1"/>
          <w:lang w:val="es-ES_tradnl" w:eastAsia="es-ES"/>
        </w:rPr>
        <w:fldChar w:fldCharType="separate"/>
      </w:r>
      <w:r w:rsidRPr="00757DEA">
        <w:rPr>
          <w:lang w:val="es-CL"/>
        </w:rPr>
        <w:t xml:space="preserve">Figura </w:t>
      </w:r>
      <w:r w:rsidRPr="00757DEA">
        <w:rPr>
          <w:noProof/>
          <w:lang w:val="es-CL"/>
        </w:rPr>
        <w:t>43</w:t>
      </w:r>
      <w:r>
        <w:rPr>
          <w:rFonts w:cstheme="minorHAnsi"/>
          <w:color w:val="000000" w:themeColor="text1"/>
          <w:lang w:val="es-ES_tradnl" w:eastAsia="es-ES"/>
        </w:rPr>
        <w:fldChar w:fldCharType="end"/>
      </w:r>
      <w:r>
        <w:rPr>
          <w:rFonts w:cstheme="minorHAnsi"/>
          <w:color w:val="000000" w:themeColor="text1"/>
          <w:lang w:val="es-ES_tradnl" w:eastAsia="es-ES"/>
        </w:rPr>
        <w:t xml:space="preserve">. </w:t>
      </w:r>
      <w:r>
        <w:rPr>
          <w:rFonts w:cstheme="minorHAnsi"/>
          <w:color w:val="000000" w:themeColor="text1"/>
          <w:lang w:val="es-CL" w:eastAsia="es-ES"/>
        </w:rPr>
        <w:t>Esta hoja de integración contiene el detalle de cada indicador, así como los resultados de cada indicador y está conectada a un archivo Power Bi, que corresponde a la “Herramienta de visualización de cumplimiento de Co-beneficios”.</w:t>
      </w:r>
    </w:p>
    <w:p w14:paraId="4860C8BA" w14:textId="77777777" w:rsidR="00FB367C" w:rsidRPr="000F5E0B" w:rsidRDefault="00FB367C" w:rsidP="00FB367C">
      <w:pPr>
        <w:spacing w:before="120" w:after="120"/>
        <w:rPr>
          <w:rFonts w:cstheme="minorHAnsi"/>
          <w:color w:val="000000" w:themeColor="text1"/>
          <w:lang w:val="es-CL" w:eastAsia="es-ES"/>
        </w:rPr>
      </w:pPr>
    </w:p>
    <w:p w14:paraId="44016FCC" w14:textId="77777777" w:rsidR="00FB367C" w:rsidRDefault="00FB367C" w:rsidP="00FB367C">
      <w:pPr>
        <w:spacing w:before="120" w:after="120"/>
        <w:rPr>
          <w:rFonts w:cstheme="minorHAnsi"/>
          <w:color w:val="000000" w:themeColor="text1"/>
          <w:lang w:val="es-ES_tradnl" w:eastAsia="es-ES"/>
        </w:rPr>
      </w:pPr>
      <w:r>
        <w:rPr>
          <w:noProof/>
        </w:rPr>
        <mc:AlternateContent>
          <mc:Choice Requires="wps">
            <w:drawing>
              <wp:anchor distT="0" distB="0" distL="114300" distR="114300" simplePos="0" relativeHeight="251661312" behindDoc="0" locked="0" layoutInCell="1" allowOverlap="1" wp14:anchorId="50FD33AC" wp14:editId="1CB432F1">
                <wp:simplePos x="0" y="0"/>
                <wp:positionH relativeFrom="margin">
                  <wp:posOffset>406400</wp:posOffset>
                </wp:positionH>
                <wp:positionV relativeFrom="paragraph">
                  <wp:posOffset>610235</wp:posOffset>
                </wp:positionV>
                <wp:extent cx="527050" cy="355600"/>
                <wp:effectExtent l="0" t="0" r="25400" b="25400"/>
                <wp:wrapNone/>
                <wp:docPr id="16" name="Rectángulo: esquinas redondeadas 16"/>
                <wp:cNvGraphicFramePr/>
                <a:graphic xmlns:a="http://schemas.openxmlformats.org/drawingml/2006/main">
                  <a:graphicData uri="http://schemas.microsoft.com/office/word/2010/wordprocessingShape">
                    <wps:wsp>
                      <wps:cNvSpPr/>
                      <wps:spPr>
                        <a:xfrm>
                          <a:off x="0" y="0"/>
                          <a:ext cx="527050" cy="355600"/>
                        </a:xfrm>
                        <a:prstGeom prst="roundRect">
                          <a:avLst/>
                        </a:prstGeom>
                        <a:noFill/>
                        <a:ln w="19050" cap="flat" cmpd="sng" algn="ctr">
                          <a:solidFill>
                            <a:srgbClr val="FF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44912E" id="Rectángulo: esquinas redondeadas 16" o:spid="_x0000_s1026" style="position:absolute;margin-left:32pt;margin-top:48.05pt;width:41.5pt;height:2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" filled="f" strokecolor="red" strokeweight="1.5pt">
                <v:stroke dashstyle="dash"/>
                <w10:wrap anchorx="margin"/>
              </v:roundrect>
            </w:pict>
          </mc:Fallback>
        </mc:AlternateContent>
      </w:r>
      <w:r>
        <w:rPr>
          <w:noProof/>
        </w:rPr>
        <mc:AlternateContent>
          <mc:Choice Requires="wps">
            <w:drawing>
              <wp:anchor distT="0" distB="0" distL="114300" distR="114300" simplePos="0" relativeHeight="251659264" behindDoc="0" locked="0" layoutInCell="1" allowOverlap="1" wp14:anchorId="4812F8C7" wp14:editId="1ADED119">
                <wp:simplePos x="0" y="0"/>
                <wp:positionH relativeFrom="column">
                  <wp:posOffset>1000125</wp:posOffset>
                </wp:positionH>
                <wp:positionV relativeFrom="paragraph">
                  <wp:posOffset>599440</wp:posOffset>
                </wp:positionV>
                <wp:extent cx="445770" cy="151130"/>
                <wp:effectExtent l="38100" t="0" r="11430" b="96520"/>
                <wp:wrapNone/>
                <wp:docPr id="57" name="Conector: angular 57"/>
                <wp:cNvGraphicFramePr/>
                <a:graphic xmlns:a="http://schemas.openxmlformats.org/drawingml/2006/main">
                  <a:graphicData uri="http://schemas.microsoft.com/office/word/2010/wordprocessingShape">
                    <wps:wsp>
                      <wps:cNvCnPr/>
                      <wps:spPr>
                        <a:xfrm flipH="1">
                          <a:off x="0" y="0"/>
                          <a:ext cx="445770" cy="151130"/>
                        </a:xfrm>
                        <a:prstGeom prst="bentConnector3">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902172"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57" o:spid="_x0000_s1026" type="#_x0000_t34" style="position:absolute;margin-left:78.75pt;margin-top:47.2pt;width:35.1pt;height:11.9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" strokecolor="red" strokeweight="1.5pt">
                <v:stroke endarrow="block"/>
              </v:shape>
            </w:pict>
          </mc:Fallback>
        </mc:AlternateContent>
      </w:r>
      <w:r>
        <w:rPr>
          <w:noProof/>
        </w:rPr>
        <w:drawing>
          <wp:inline distT="0" distB="0" distL="0" distR="0" wp14:anchorId="710867A6" wp14:editId="6A7D34A7">
            <wp:extent cx="5536800" cy="965768"/>
            <wp:effectExtent l="0" t="0" r="0" b="635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898" r="543" b="69423"/>
                    <a:stretch/>
                  </pic:blipFill>
                  <pic:spPr bwMode="auto">
                    <a:xfrm>
                      <a:off x="0" y="0"/>
                      <a:ext cx="5626294" cy="981378"/>
                    </a:xfrm>
                    <a:prstGeom prst="rect">
                      <a:avLst/>
                    </a:prstGeom>
                    <a:ln>
                      <a:noFill/>
                    </a:ln>
                    <a:extLst>
                      <a:ext uri="{53640926-AAD7-44D8-BBD7-CCE9431645EC}">
                        <a14:shadowObscured xmlns:a14="http://schemas.microsoft.com/office/drawing/2010/main"/>
                      </a:ext>
                    </a:extLst>
                  </pic:spPr>
                </pic:pic>
              </a:graphicData>
            </a:graphic>
          </wp:inline>
        </w:drawing>
      </w:r>
    </w:p>
    <w:p w14:paraId="062AB1FD" w14:textId="77777777" w:rsidR="00FB367C" w:rsidRDefault="00FB367C" w:rsidP="00FB367C">
      <w:pPr>
        <w:pStyle w:val="Descripcin"/>
      </w:pPr>
      <w:bookmarkStart w:id="11" w:name="_Ref45349354"/>
      <w:bookmarkStart w:id="12" w:name="_Toc45523695"/>
      <w:bookmarkStart w:id="13" w:name="_Hlk44871561"/>
      <w:r w:rsidRPr="00335267">
        <w:t xml:space="preserve">Figura </w:t>
      </w:r>
      <w:r w:rsidRPr="00335267">
        <w:fldChar w:fldCharType="begin"/>
      </w:r>
      <w:r w:rsidRPr="00335267">
        <w:instrText xml:space="preserve"> SEQ Figura \* ARABIC </w:instrText>
      </w:r>
      <w:r w:rsidRPr="00335267">
        <w:fldChar w:fldCharType="separate"/>
      </w:r>
      <w:r>
        <w:rPr>
          <w:noProof/>
        </w:rPr>
        <w:t>43</w:t>
      </w:r>
      <w:r w:rsidRPr="00335267">
        <w:fldChar w:fldCharType="end"/>
      </w:r>
      <w:bookmarkEnd w:id="11"/>
      <w:r w:rsidRPr="00335267">
        <w:t xml:space="preserve">. </w:t>
      </w:r>
      <w:r>
        <w:t>Actualizacion de datos y conexiones de la hoja de integración de datos.</w:t>
      </w:r>
      <w:bookmarkEnd w:id="12"/>
    </w:p>
    <w:bookmarkEnd w:id="13"/>
    <w:p w14:paraId="3B43BB46" w14:textId="77777777" w:rsidR="00FB367C" w:rsidRDefault="00FB367C" w:rsidP="00FB367C">
      <w:pPr>
        <w:rPr>
          <w:lang w:val="es-CL"/>
        </w:rPr>
      </w:pPr>
    </w:p>
    <w:p w14:paraId="41072095" w14:textId="77777777" w:rsidR="00C22AD5" w:rsidRPr="00FB367C" w:rsidRDefault="00C22AD5">
      <w:pPr>
        <w:rPr>
          <w:lang w:val="es-CL"/>
        </w:rPr>
      </w:pPr>
    </w:p>
    <w:sectPr w:rsidR="00C22AD5" w:rsidRPr="00FB3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CC447A"/>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43A579B"/>
    <w:multiLevelType w:val="hybridMultilevel"/>
    <w:tmpl w:val="108E90C0"/>
    <w:lvl w:ilvl="0" w:tplc="83385E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C24605"/>
    <w:multiLevelType w:val="hybridMultilevel"/>
    <w:tmpl w:val="A7AE69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A78"/>
    <w:rsid w:val="003E7239"/>
    <w:rsid w:val="008A4A78"/>
    <w:rsid w:val="00C22AD5"/>
    <w:rsid w:val="00EF4F82"/>
    <w:rsid w:val="00FB3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A6750"/>
  <w15:chartTrackingRefBased/>
  <w15:docId w15:val="{6263F4D9-EA81-43FA-BB64-652AAFA2D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67C"/>
    <w:pPr>
      <w:spacing w:after="200" w:line="276" w:lineRule="auto"/>
      <w:jc w:val="both"/>
    </w:pPr>
    <w:rPr>
      <w:rFonts w:eastAsia="MS Mincho"/>
      <w:sz w:val="20"/>
      <w:szCs w:val="20"/>
      <w:lang w:bidi="en-US"/>
    </w:rPr>
  </w:style>
  <w:style w:type="paragraph" w:styleId="Ttulo1">
    <w:name w:val="heading 1"/>
    <w:basedOn w:val="Normal"/>
    <w:next w:val="Normal"/>
    <w:link w:val="Ttulo1Car"/>
    <w:qFormat/>
    <w:rsid w:val="00FB367C"/>
    <w:pPr>
      <w:pBdr>
        <w:bottom w:val="single" w:sz="4" w:space="1" w:color="auto"/>
      </w:pBdr>
      <w:spacing w:before="300" w:after="40" w:line="240" w:lineRule="auto"/>
      <w:jc w:val="left"/>
      <w:outlineLvl w:val="0"/>
    </w:pPr>
    <w:rPr>
      <w:b/>
      <w:smallCaps/>
      <w:spacing w:val="5"/>
      <w:sz w:val="32"/>
      <w:szCs w:val="32"/>
      <w:lang w:val="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B367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B367C"/>
    <w:rPr>
      <w:rFonts w:ascii="Segoe UI" w:hAnsi="Segoe UI" w:cs="Segoe UI"/>
      <w:sz w:val="18"/>
      <w:szCs w:val="18"/>
    </w:rPr>
  </w:style>
  <w:style w:type="character" w:customStyle="1" w:styleId="Ttulo1Car">
    <w:name w:val="Título 1 Car"/>
    <w:basedOn w:val="Fuentedeprrafopredeter"/>
    <w:link w:val="Ttulo1"/>
    <w:rsid w:val="00FB367C"/>
    <w:rPr>
      <w:rFonts w:eastAsia="MS Mincho"/>
      <w:b/>
      <w:smallCaps/>
      <w:spacing w:val="5"/>
      <w:sz w:val="32"/>
      <w:szCs w:val="32"/>
      <w:lang w:val="es-CL" w:bidi="en-US"/>
    </w:rPr>
  </w:style>
  <w:style w:type="character" w:styleId="Hipervnculo">
    <w:name w:val="Hyperlink"/>
    <w:basedOn w:val="Fuentedeprrafopredeter"/>
    <w:uiPriority w:val="99"/>
    <w:unhideWhenUsed/>
    <w:rsid w:val="00FB367C"/>
    <w:rPr>
      <w:color w:val="0563C1" w:themeColor="hyperlink"/>
      <w:u w:val="single"/>
    </w:rPr>
  </w:style>
  <w:style w:type="paragraph" w:styleId="Descripcin">
    <w:name w:val="caption"/>
    <w:aliases w:val="Table Caption"/>
    <w:basedOn w:val="Normal"/>
    <w:next w:val="Normal"/>
    <w:link w:val="DescripcinCar"/>
    <w:unhideWhenUsed/>
    <w:qFormat/>
    <w:rsid w:val="00FB367C"/>
    <w:pPr>
      <w:pBdr>
        <w:top w:val="single" w:sz="4" w:space="1" w:color="auto"/>
        <w:bottom w:val="single" w:sz="4" w:space="1" w:color="auto"/>
      </w:pBdr>
      <w:spacing w:before="120" w:after="60" w:line="240" w:lineRule="auto"/>
    </w:pPr>
    <w:rPr>
      <w:b/>
      <w:bCs/>
      <w:caps/>
      <w:sz w:val="16"/>
      <w:szCs w:val="18"/>
      <w:lang w:val="es-CL"/>
    </w:rPr>
  </w:style>
  <w:style w:type="paragraph" w:styleId="Prrafodelista">
    <w:name w:val="List Paragraph"/>
    <w:aliases w:val="List number Paragraph,List Paragraph (numbered (a)),Listenabsatz,SOP_bullet1,List Paragraph1,Resume Title,Table of contents numbered,List Paragraph (bulleted list),Bullet 1 List,Dot pt,Bullets,P‡rrafo de lista,Numeracion iniciativas,lp1"/>
    <w:basedOn w:val="Normal"/>
    <w:link w:val="PrrafodelistaCar"/>
    <w:uiPriority w:val="34"/>
    <w:qFormat/>
    <w:rsid w:val="00FB367C"/>
    <w:pPr>
      <w:ind w:left="720"/>
      <w:contextualSpacing/>
    </w:pPr>
  </w:style>
  <w:style w:type="character" w:customStyle="1" w:styleId="PrrafodelistaCar">
    <w:name w:val="Párrafo de lista Car"/>
    <w:aliases w:val="List number Paragraph Car,List Paragraph (numbered (a)) Car,Listenabsatz Car,SOP_bullet1 Car,List Paragraph1 Car,Resume Title Car,Table of contents numbered Car,List Paragraph (bulleted list) Car,Bullet 1 List Car,Dot pt Car,lp1 Car"/>
    <w:link w:val="Prrafodelista"/>
    <w:uiPriority w:val="34"/>
    <w:qFormat/>
    <w:rsid w:val="00FB367C"/>
    <w:rPr>
      <w:rFonts w:eastAsia="MS Mincho"/>
      <w:sz w:val="20"/>
      <w:szCs w:val="20"/>
      <w:lang w:bidi="en-US"/>
    </w:rPr>
  </w:style>
  <w:style w:type="character" w:customStyle="1" w:styleId="DescripcinCar">
    <w:name w:val="Descripción Car"/>
    <w:aliases w:val="Table Caption Car"/>
    <w:link w:val="Descripcin"/>
    <w:rsid w:val="00FB367C"/>
    <w:rPr>
      <w:rFonts w:eastAsia="MS Mincho"/>
      <w:b/>
      <w:bCs/>
      <w:caps/>
      <w:sz w:val="16"/>
      <w:szCs w:val="18"/>
      <w:lang w:val="es-CL"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drive.google.com/drive/u/0/folders/1VZY_kNTGpSRYdfYoFRtufVOnNCR_xiNq"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onedrive.live.com/edit.aspx?resid=9F999E057AD8C646%2163386&amp;id=documents&amp;authkey=!AAKKwaRTCBHEAa0&am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1138</Words>
  <Characters>6492</Characters>
  <Application>Microsoft Office Word</Application>
  <DocSecurity>0</DocSecurity>
  <Lines>54</Lines>
  <Paragraphs>15</Paragraphs>
  <ScaleCrop>false</ScaleCrop>
  <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Farias</dc:creator>
  <cp:keywords/>
  <dc:description/>
  <cp:lastModifiedBy>Karen Farias</cp:lastModifiedBy>
  <cp:revision>2</cp:revision>
  <dcterms:created xsi:type="dcterms:W3CDTF">2020-07-14T16:36:00Z</dcterms:created>
  <dcterms:modified xsi:type="dcterms:W3CDTF">2020-07-14T16:39:00Z</dcterms:modified>
</cp:coreProperties>
</file>