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507B5" w14:textId="77777777" w:rsidR="002E0D66" w:rsidRPr="00D6089D" w:rsidRDefault="002E0D66" w:rsidP="002E0D66">
      <w:pPr>
        <w:jc w:val="both"/>
        <w:rPr>
          <w:rFonts w:ascii="Calibri" w:eastAsia="Calibri" w:hAnsi="Calibri" w:cs="Times New Roman"/>
          <w:u w:val="single"/>
          <w:lang w:val="es-CL"/>
        </w:rPr>
      </w:pPr>
    </w:p>
    <w:p w14:paraId="4E6D1717" w14:textId="394A4622" w:rsidR="00D6089D" w:rsidRPr="00C33ADB" w:rsidRDefault="005D6DC5" w:rsidP="00C33ADB">
      <w:pPr>
        <w:pStyle w:val="NormalWeb"/>
        <w:shd w:val="clear" w:color="auto" w:fill="FFFFFF"/>
        <w:spacing w:before="0" w:beforeAutospacing="0" w:after="0" w:afterAutospacing="0" w:line="510" w:lineRule="atLeast"/>
        <w:textAlignment w:val="baseline"/>
        <w:rPr>
          <w:rFonts w:ascii="CircularStd-Black" w:hAnsi="CircularStd-Black"/>
          <w:b/>
          <w:bCs/>
          <w:color w:val="474747"/>
          <w:spacing w:val="2"/>
          <w:sz w:val="36"/>
          <w:szCs w:val="36"/>
          <w:lang w:val="es-CL"/>
        </w:rPr>
      </w:pPr>
      <w:r w:rsidRPr="00C33ADB">
        <w:rPr>
          <w:rFonts w:ascii="CircularStd-Black" w:hAnsi="CircularStd-Black"/>
          <w:b/>
          <w:bCs/>
          <w:color w:val="474747"/>
          <w:spacing w:val="2"/>
          <w:sz w:val="36"/>
          <w:szCs w:val="36"/>
          <w:lang w:val="es-CL"/>
        </w:rPr>
        <w:t xml:space="preserve">¿Qué son los </w:t>
      </w:r>
      <w:r w:rsidR="00E945D3">
        <w:rPr>
          <w:rFonts w:ascii="CircularStd-Black" w:hAnsi="CircularStd-Black"/>
          <w:b/>
          <w:bCs/>
          <w:color w:val="474747"/>
          <w:spacing w:val="2"/>
          <w:sz w:val="36"/>
          <w:szCs w:val="36"/>
          <w:lang w:val="es-CL"/>
        </w:rPr>
        <w:t>beneficios no carbono</w:t>
      </w:r>
      <w:r w:rsidRPr="00C33ADB">
        <w:rPr>
          <w:rFonts w:ascii="CircularStd-Black" w:hAnsi="CircularStd-Black"/>
          <w:b/>
          <w:bCs/>
          <w:color w:val="474747"/>
          <w:spacing w:val="2"/>
          <w:sz w:val="36"/>
          <w:szCs w:val="36"/>
          <w:lang w:val="es-CL"/>
        </w:rPr>
        <w:t xml:space="preserve"> de REDD+?</w:t>
      </w:r>
    </w:p>
    <w:p w14:paraId="5BF46080" w14:textId="77777777" w:rsidR="00E945D3" w:rsidRDefault="00E945D3" w:rsidP="002E0D66">
      <w:pPr>
        <w:jc w:val="both"/>
        <w:rPr>
          <w:rFonts w:ascii="OpenSans-Regular" w:eastAsia="Times New Roman" w:hAnsi="OpenSans-Regular" w:cs="Times New Roman"/>
          <w:spacing w:val="2"/>
          <w:sz w:val="24"/>
          <w:szCs w:val="24"/>
          <w:lang w:val="es-CL"/>
        </w:rPr>
      </w:pPr>
    </w:p>
    <w:p w14:paraId="056E28BF" w14:textId="398EC7A2" w:rsidR="005D6DC5" w:rsidRPr="00E945D3" w:rsidRDefault="00E945D3" w:rsidP="002E0D66">
      <w:pPr>
        <w:jc w:val="both"/>
        <w:rPr>
          <w:rFonts w:ascii="OpenSans-Regular" w:eastAsia="Times New Roman" w:hAnsi="OpenSans-Regular" w:cs="Times New Roman"/>
          <w:spacing w:val="2"/>
          <w:sz w:val="24"/>
          <w:szCs w:val="24"/>
          <w:lang w:val="es-CL"/>
        </w:rPr>
      </w:pPr>
      <w:r>
        <w:rPr>
          <w:rFonts w:ascii="OpenSans-Regular" w:eastAsia="Times New Roman" w:hAnsi="OpenSans-Regular" w:cs="Times New Roman"/>
          <w:spacing w:val="2"/>
          <w:sz w:val="24"/>
          <w:szCs w:val="24"/>
          <w:lang w:val="es-CL"/>
        </w:rPr>
        <w:t>L</w:t>
      </w:r>
      <w:r w:rsidR="005D6DC5" w:rsidRPr="00E945D3">
        <w:rPr>
          <w:rFonts w:ascii="OpenSans-Regular" w:eastAsia="Times New Roman" w:hAnsi="OpenSans-Regular" w:cs="Times New Roman"/>
          <w:spacing w:val="2"/>
          <w:sz w:val="24"/>
          <w:szCs w:val="24"/>
          <w:lang w:val="es-CL"/>
        </w:rPr>
        <w:t>o</w:t>
      </w:r>
      <w:r>
        <w:rPr>
          <w:rFonts w:ascii="OpenSans-Regular" w:eastAsia="Times New Roman" w:hAnsi="OpenSans-Regular" w:cs="Times New Roman"/>
          <w:spacing w:val="2"/>
          <w:sz w:val="24"/>
          <w:szCs w:val="24"/>
          <w:lang w:val="es-CL"/>
        </w:rPr>
        <w:t>s</w:t>
      </w:r>
      <w:r w:rsidR="005D6DC5" w:rsidRPr="00E945D3">
        <w:rPr>
          <w:rFonts w:ascii="OpenSans-Regular" w:eastAsia="Times New Roman" w:hAnsi="OpenSans-Regular" w:cs="Times New Roman"/>
          <w:spacing w:val="2"/>
          <w:sz w:val="24"/>
          <w:szCs w:val="24"/>
          <w:lang w:val="es-CL"/>
        </w:rPr>
        <w:t xml:space="preserve"> beneficios no carbono</w:t>
      </w:r>
      <w:r>
        <w:rPr>
          <w:rFonts w:ascii="OpenSans-Regular" w:eastAsia="Times New Roman" w:hAnsi="OpenSans-Regular" w:cs="Times New Roman"/>
          <w:spacing w:val="2"/>
          <w:sz w:val="24"/>
          <w:szCs w:val="24"/>
          <w:lang w:val="es-CL"/>
        </w:rPr>
        <w:t xml:space="preserve"> o </w:t>
      </w:r>
      <w:proofErr w:type="spellStart"/>
      <w:r>
        <w:rPr>
          <w:rFonts w:ascii="OpenSans-Regular" w:eastAsia="Times New Roman" w:hAnsi="OpenSans-Regular" w:cs="Times New Roman"/>
          <w:spacing w:val="2"/>
          <w:sz w:val="24"/>
          <w:szCs w:val="24"/>
          <w:lang w:val="es-CL"/>
        </w:rPr>
        <w:t>co-beneficios</w:t>
      </w:r>
      <w:proofErr w:type="spellEnd"/>
      <w:r w:rsidR="005D6DC5" w:rsidRPr="00E945D3">
        <w:rPr>
          <w:rFonts w:ascii="OpenSans-Regular" w:eastAsia="Times New Roman" w:hAnsi="OpenSans-Regular" w:cs="Times New Roman"/>
          <w:spacing w:val="2"/>
          <w:sz w:val="24"/>
          <w:szCs w:val="24"/>
          <w:lang w:val="es-CL"/>
        </w:rPr>
        <w:t xml:space="preserve"> de REDD+ se refieren a todos los beneficios económicos, sociales y ambientales adicionales al carbono (reducción de emisiones</w:t>
      </w:r>
      <w:r w:rsidR="00D51BAC" w:rsidRPr="00E945D3">
        <w:rPr>
          <w:rFonts w:ascii="OpenSans-Regular" w:eastAsia="Times New Roman" w:hAnsi="OpenSans-Regular" w:cs="Times New Roman"/>
          <w:spacing w:val="2"/>
          <w:sz w:val="24"/>
          <w:szCs w:val="24"/>
          <w:lang w:val="es-CL"/>
        </w:rPr>
        <w:t xml:space="preserve"> y secuestro de carbono</w:t>
      </w:r>
      <w:r w:rsidR="005D6DC5" w:rsidRPr="00E945D3">
        <w:rPr>
          <w:rFonts w:ascii="OpenSans-Regular" w:eastAsia="Times New Roman" w:hAnsi="OpenSans-Regular" w:cs="Times New Roman"/>
          <w:spacing w:val="2"/>
          <w:sz w:val="24"/>
          <w:szCs w:val="24"/>
          <w:lang w:val="es-CL"/>
        </w:rPr>
        <w:t>) que recibirán las personas, comunidades, organizaciones e instituciones, como resultado de la implementación de las actividades REDD+ en Guatemala.</w:t>
      </w:r>
    </w:p>
    <w:p w14:paraId="015F7AB8" w14:textId="577B3930" w:rsidR="00D51BAC" w:rsidRPr="00E945D3" w:rsidRDefault="00D51BAC" w:rsidP="002E0D66">
      <w:pPr>
        <w:jc w:val="both"/>
        <w:rPr>
          <w:rFonts w:ascii="OpenSans-Regular" w:eastAsia="Times New Roman" w:hAnsi="OpenSans-Regular" w:cs="Times New Roman"/>
          <w:spacing w:val="2"/>
          <w:sz w:val="24"/>
          <w:szCs w:val="24"/>
          <w:lang w:val="es-CL"/>
        </w:rPr>
      </w:pPr>
      <w:r w:rsidRPr="00E945D3">
        <w:rPr>
          <w:rFonts w:ascii="OpenSans-Regular" w:eastAsia="Times New Roman" w:hAnsi="OpenSans-Regular" w:cs="Times New Roman"/>
          <w:spacing w:val="2"/>
          <w:sz w:val="24"/>
          <w:szCs w:val="24"/>
          <w:lang w:val="es-CL"/>
        </w:rPr>
        <w:t>La Convención Marco de las Naciones Unidas sobre Cambio Climático (CMNUCC) los define como resultados positivos sociales, ambientales y de gobernanza de las actividades de REDD+.</w:t>
      </w:r>
    </w:p>
    <w:p w14:paraId="211D9A51" w14:textId="3970F95E" w:rsidR="002E0D66" w:rsidRPr="00E945D3" w:rsidRDefault="005D6DC5" w:rsidP="002E0D66">
      <w:pPr>
        <w:jc w:val="both"/>
        <w:rPr>
          <w:rFonts w:ascii="OpenSans-Regular" w:eastAsia="Times New Roman" w:hAnsi="OpenSans-Regular" w:cs="Times New Roman"/>
          <w:spacing w:val="2"/>
          <w:sz w:val="24"/>
          <w:szCs w:val="24"/>
          <w:lang w:val="es-CL"/>
        </w:rPr>
      </w:pPr>
      <w:r w:rsidRPr="00E945D3">
        <w:rPr>
          <w:rFonts w:ascii="OpenSans-Regular" w:eastAsia="Times New Roman" w:hAnsi="OpenSans-Regular" w:cs="Times New Roman"/>
          <w:spacing w:val="2"/>
          <w:sz w:val="24"/>
          <w:szCs w:val="24"/>
          <w:lang w:val="es-CL"/>
        </w:rPr>
        <w:t xml:space="preserve">Por lo tanto, </w:t>
      </w:r>
      <w:r w:rsidR="002E0D66" w:rsidRPr="00E945D3">
        <w:rPr>
          <w:rFonts w:ascii="OpenSans-Regular" w:eastAsia="Times New Roman" w:hAnsi="OpenSans-Regular" w:cs="Times New Roman"/>
          <w:spacing w:val="2"/>
          <w:sz w:val="24"/>
          <w:szCs w:val="24"/>
          <w:lang w:val="es-CL"/>
        </w:rPr>
        <w:t>lo</w:t>
      </w:r>
      <w:r w:rsidRPr="00E945D3">
        <w:rPr>
          <w:rFonts w:ascii="OpenSans-Regular" w:eastAsia="Times New Roman" w:hAnsi="OpenSans-Regular" w:cs="Times New Roman"/>
          <w:spacing w:val="2"/>
          <w:sz w:val="24"/>
          <w:szCs w:val="24"/>
          <w:lang w:val="es-CL"/>
        </w:rPr>
        <w:t>s</w:t>
      </w:r>
      <w:r w:rsidR="002E0D66" w:rsidRPr="00E945D3">
        <w:rPr>
          <w:rFonts w:ascii="OpenSans-Regular" w:eastAsia="Times New Roman" w:hAnsi="OpenSans-Regular" w:cs="Times New Roman"/>
          <w:spacing w:val="2"/>
          <w:sz w:val="24"/>
          <w:szCs w:val="24"/>
          <w:lang w:val="es-CL"/>
        </w:rPr>
        <w:t xml:space="preserve"> </w:t>
      </w:r>
      <w:proofErr w:type="spellStart"/>
      <w:r w:rsidRPr="00E945D3">
        <w:rPr>
          <w:rFonts w:ascii="OpenSans-Regular" w:eastAsia="Times New Roman" w:hAnsi="OpenSans-Regular" w:cs="Times New Roman"/>
          <w:spacing w:val="2"/>
          <w:sz w:val="24"/>
          <w:szCs w:val="24"/>
          <w:lang w:val="es-CL"/>
        </w:rPr>
        <w:t>co-beneficios</w:t>
      </w:r>
      <w:proofErr w:type="spellEnd"/>
      <w:r w:rsidRPr="00E945D3">
        <w:rPr>
          <w:rFonts w:ascii="OpenSans-Regular" w:eastAsia="Times New Roman" w:hAnsi="OpenSans-Regular" w:cs="Times New Roman"/>
          <w:spacing w:val="2"/>
          <w:sz w:val="24"/>
          <w:szCs w:val="24"/>
          <w:lang w:val="es-CL"/>
        </w:rPr>
        <w:t xml:space="preserve"> </w:t>
      </w:r>
      <w:r w:rsidR="002E0D66" w:rsidRPr="00E945D3">
        <w:rPr>
          <w:rFonts w:ascii="OpenSans-Regular" w:eastAsia="Times New Roman" w:hAnsi="OpenSans-Regular" w:cs="Times New Roman"/>
          <w:spacing w:val="2"/>
          <w:sz w:val="24"/>
          <w:szCs w:val="24"/>
          <w:lang w:val="es-CL"/>
        </w:rPr>
        <w:t xml:space="preserve"> pueden ser:</w:t>
      </w:r>
    </w:p>
    <w:p w14:paraId="6A6094D8" w14:textId="43C64FAD" w:rsidR="00D32015" w:rsidRPr="00E945D3" w:rsidRDefault="00D32015" w:rsidP="00D32015">
      <w:pPr>
        <w:numPr>
          <w:ilvl w:val="0"/>
          <w:numId w:val="2"/>
        </w:numPr>
        <w:contextualSpacing/>
        <w:jc w:val="both"/>
        <w:rPr>
          <w:rFonts w:ascii="OpenSans-Regular" w:eastAsia="Times New Roman" w:hAnsi="OpenSans-Regular" w:cs="Times New Roman"/>
          <w:spacing w:val="2"/>
          <w:sz w:val="24"/>
          <w:szCs w:val="24"/>
          <w:lang w:val="es-CL"/>
        </w:rPr>
      </w:pPr>
      <w:r w:rsidRPr="00E945D3">
        <w:rPr>
          <w:rFonts w:ascii="OpenSans-Regular" w:eastAsia="Times New Roman" w:hAnsi="OpenSans-Regular" w:cs="Times New Roman"/>
          <w:spacing w:val="2"/>
          <w:sz w:val="24"/>
          <w:szCs w:val="24"/>
          <w:lang w:val="es-CL"/>
        </w:rPr>
        <w:t xml:space="preserve">Beneficios </w:t>
      </w:r>
      <w:r w:rsidR="005D6DC5" w:rsidRPr="00E945D3">
        <w:rPr>
          <w:rFonts w:ascii="OpenSans-Regular" w:eastAsia="Times New Roman" w:hAnsi="OpenSans-Regular" w:cs="Times New Roman"/>
          <w:spacing w:val="2"/>
          <w:sz w:val="24"/>
          <w:szCs w:val="24"/>
          <w:lang w:val="es-CL"/>
        </w:rPr>
        <w:t>a</w:t>
      </w:r>
      <w:r w:rsidRPr="00E945D3">
        <w:rPr>
          <w:rFonts w:ascii="OpenSans-Regular" w:eastAsia="Times New Roman" w:hAnsi="OpenSans-Regular" w:cs="Times New Roman"/>
          <w:spacing w:val="2"/>
          <w:sz w:val="24"/>
          <w:szCs w:val="24"/>
          <w:lang w:val="es-CL"/>
        </w:rPr>
        <w:t xml:space="preserve">mbientales: </w:t>
      </w:r>
      <w:r w:rsidR="005D6DC5" w:rsidRPr="00E945D3">
        <w:rPr>
          <w:rFonts w:ascii="OpenSans-Regular" w:eastAsia="Times New Roman" w:hAnsi="OpenSans-Regular" w:cs="Times New Roman"/>
          <w:spacing w:val="2"/>
          <w:sz w:val="24"/>
          <w:szCs w:val="24"/>
          <w:lang w:val="es-CL"/>
        </w:rPr>
        <w:t>c</w:t>
      </w:r>
      <w:r w:rsidRPr="00E945D3">
        <w:rPr>
          <w:rFonts w:ascii="OpenSans-Regular" w:eastAsia="Times New Roman" w:hAnsi="OpenSans-Regular" w:cs="Times New Roman"/>
          <w:spacing w:val="2"/>
          <w:sz w:val="24"/>
          <w:szCs w:val="24"/>
          <w:lang w:val="es-CL"/>
        </w:rPr>
        <w:t>uando el resultado de la</w:t>
      </w:r>
      <w:r w:rsidR="005D6DC5" w:rsidRPr="00E945D3">
        <w:rPr>
          <w:rFonts w:ascii="OpenSans-Regular" w:eastAsia="Times New Roman" w:hAnsi="OpenSans-Regular" w:cs="Times New Roman"/>
          <w:spacing w:val="2"/>
          <w:sz w:val="24"/>
          <w:szCs w:val="24"/>
          <w:lang w:val="es-CL"/>
        </w:rPr>
        <w:t xml:space="preserve"> implementación de las </w:t>
      </w:r>
      <w:r w:rsidRPr="00E945D3">
        <w:rPr>
          <w:rFonts w:ascii="OpenSans-Regular" w:eastAsia="Times New Roman" w:hAnsi="OpenSans-Regular" w:cs="Times New Roman"/>
          <w:spacing w:val="2"/>
          <w:sz w:val="24"/>
          <w:szCs w:val="24"/>
          <w:lang w:val="es-CL"/>
        </w:rPr>
        <w:t xml:space="preserve"> </w:t>
      </w:r>
      <w:r w:rsidR="005D6DC5" w:rsidRPr="00E945D3">
        <w:rPr>
          <w:rFonts w:ascii="OpenSans-Regular" w:eastAsia="Times New Roman" w:hAnsi="OpenSans-Regular" w:cs="Times New Roman"/>
          <w:spacing w:val="2"/>
          <w:sz w:val="24"/>
          <w:szCs w:val="24"/>
          <w:lang w:val="es-CL"/>
        </w:rPr>
        <w:t xml:space="preserve">actividades REDD+, </w:t>
      </w:r>
      <w:r w:rsidRPr="00E945D3">
        <w:rPr>
          <w:rFonts w:ascii="OpenSans-Regular" w:eastAsia="Times New Roman" w:hAnsi="OpenSans-Regular" w:cs="Times New Roman"/>
          <w:spacing w:val="2"/>
          <w:sz w:val="24"/>
          <w:szCs w:val="24"/>
          <w:lang w:val="es-CL"/>
        </w:rPr>
        <w:t>tiene un impacto o cambio</w:t>
      </w:r>
      <w:r w:rsidR="005D6DC5" w:rsidRPr="00E945D3">
        <w:rPr>
          <w:rFonts w:ascii="OpenSans-Regular" w:eastAsia="Times New Roman" w:hAnsi="OpenSans-Regular" w:cs="Times New Roman"/>
          <w:spacing w:val="2"/>
          <w:sz w:val="24"/>
          <w:szCs w:val="24"/>
          <w:lang w:val="es-CL"/>
        </w:rPr>
        <w:t xml:space="preserve"> positivo en la generación </w:t>
      </w:r>
      <w:r w:rsidRPr="00E945D3">
        <w:rPr>
          <w:rFonts w:ascii="OpenSans-Regular" w:eastAsia="Times New Roman" w:hAnsi="OpenSans-Regular" w:cs="Times New Roman"/>
          <w:spacing w:val="2"/>
          <w:sz w:val="24"/>
          <w:szCs w:val="24"/>
          <w:lang w:val="es-CL"/>
        </w:rPr>
        <w:t xml:space="preserve"> </w:t>
      </w:r>
      <w:r w:rsidR="005D6DC5" w:rsidRPr="00E945D3">
        <w:rPr>
          <w:rFonts w:ascii="OpenSans-Regular" w:eastAsia="Times New Roman" w:hAnsi="OpenSans-Regular" w:cs="Times New Roman"/>
          <w:spacing w:val="2"/>
          <w:sz w:val="24"/>
          <w:szCs w:val="24"/>
          <w:lang w:val="es-CL"/>
        </w:rPr>
        <w:t>de</w:t>
      </w:r>
      <w:r w:rsidRPr="00E945D3">
        <w:rPr>
          <w:rFonts w:ascii="OpenSans-Regular" w:eastAsia="Times New Roman" w:hAnsi="OpenSans-Regular" w:cs="Times New Roman"/>
          <w:spacing w:val="2"/>
          <w:sz w:val="24"/>
          <w:szCs w:val="24"/>
          <w:lang w:val="es-CL"/>
        </w:rPr>
        <w:t xml:space="preserve"> bienes y/o servicios ambientales</w:t>
      </w:r>
      <w:r w:rsidR="005D6DC5" w:rsidRPr="00E945D3">
        <w:rPr>
          <w:rFonts w:ascii="OpenSans-Regular" w:eastAsia="Times New Roman" w:hAnsi="OpenSans-Regular" w:cs="Times New Roman"/>
          <w:spacing w:val="2"/>
          <w:sz w:val="24"/>
          <w:szCs w:val="24"/>
          <w:lang w:val="es-CL"/>
        </w:rPr>
        <w:t xml:space="preserve"> del bosque como ser; i) la biodiversidad, </w:t>
      </w:r>
      <w:proofErr w:type="spellStart"/>
      <w:r w:rsidR="005D6DC5" w:rsidRPr="00E945D3">
        <w:rPr>
          <w:rFonts w:ascii="OpenSans-Regular" w:eastAsia="Times New Roman" w:hAnsi="OpenSans-Regular" w:cs="Times New Roman"/>
          <w:spacing w:val="2"/>
          <w:sz w:val="24"/>
          <w:szCs w:val="24"/>
          <w:lang w:val="es-CL"/>
        </w:rPr>
        <w:t>ii</w:t>
      </w:r>
      <w:proofErr w:type="spellEnd"/>
      <w:r w:rsidR="005D6DC5" w:rsidRPr="00E945D3">
        <w:rPr>
          <w:rFonts w:ascii="OpenSans-Regular" w:eastAsia="Times New Roman" w:hAnsi="OpenSans-Regular" w:cs="Times New Roman"/>
          <w:spacing w:val="2"/>
          <w:sz w:val="24"/>
          <w:szCs w:val="24"/>
          <w:lang w:val="es-CL"/>
        </w:rPr>
        <w:t xml:space="preserve">) la provisión de productos maderables y no maderables y </w:t>
      </w:r>
      <w:proofErr w:type="spellStart"/>
      <w:r w:rsidR="005D6DC5" w:rsidRPr="00E945D3">
        <w:rPr>
          <w:rFonts w:ascii="OpenSans-Regular" w:eastAsia="Times New Roman" w:hAnsi="OpenSans-Regular" w:cs="Times New Roman"/>
          <w:spacing w:val="2"/>
          <w:sz w:val="24"/>
          <w:szCs w:val="24"/>
          <w:lang w:val="es-CL"/>
        </w:rPr>
        <w:t>iii</w:t>
      </w:r>
      <w:proofErr w:type="spellEnd"/>
      <w:r w:rsidR="005D6DC5" w:rsidRPr="00E945D3">
        <w:rPr>
          <w:rFonts w:ascii="OpenSans-Regular" w:eastAsia="Times New Roman" w:hAnsi="OpenSans-Regular" w:cs="Times New Roman"/>
          <w:spacing w:val="2"/>
          <w:sz w:val="24"/>
          <w:szCs w:val="24"/>
          <w:lang w:val="es-CL"/>
        </w:rPr>
        <w:t>) la conservación de suelo y recursos hídricos entre otros.</w:t>
      </w:r>
    </w:p>
    <w:p w14:paraId="63932125" w14:textId="51C7D65A" w:rsidR="00D32015" w:rsidRPr="00E945D3" w:rsidRDefault="002E0D66" w:rsidP="005D6DC5">
      <w:pPr>
        <w:numPr>
          <w:ilvl w:val="0"/>
          <w:numId w:val="2"/>
        </w:numPr>
        <w:contextualSpacing/>
        <w:jc w:val="both"/>
        <w:rPr>
          <w:rFonts w:ascii="OpenSans-Regular" w:eastAsia="Times New Roman" w:hAnsi="OpenSans-Regular" w:cs="Times New Roman"/>
          <w:spacing w:val="2"/>
          <w:sz w:val="24"/>
          <w:szCs w:val="24"/>
          <w:lang w:val="es-CL"/>
        </w:rPr>
      </w:pPr>
      <w:r w:rsidRPr="00E945D3">
        <w:rPr>
          <w:rFonts w:ascii="OpenSans-Regular" w:eastAsia="Times New Roman" w:hAnsi="OpenSans-Regular" w:cs="Times New Roman"/>
          <w:spacing w:val="2"/>
          <w:sz w:val="24"/>
          <w:szCs w:val="24"/>
          <w:lang w:val="es-CL"/>
        </w:rPr>
        <w:t xml:space="preserve">Beneficios </w:t>
      </w:r>
      <w:r w:rsidR="005D6DC5" w:rsidRPr="00E945D3">
        <w:rPr>
          <w:rFonts w:ascii="OpenSans-Regular" w:eastAsia="Times New Roman" w:hAnsi="OpenSans-Regular" w:cs="Times New Roman"/>
          <w:spacing w:val="2"/>
          <w:sz w:val="24"/>
          <w:szCs w:val="24"/>
          <w:lang w:val="es-CL"/>
        </w:rPr>
        <w:t>socio-</w:t>
      </w:r>
      <w:r w:rsidRPr="00E945D3">
        <w:rPr>
          <w:rFonts w:ascii="OpenSans-Regular" w:eastAsia="Times New Roman" w:hAnsi="OpenSans-Regular" w:cs="Times New Roman"/>
          <w:spacing w:val="2"/>
          <w:sz w:val="24"/>
          <w:szCs w:val="24"/>
          <w:lang w:val="es-CL"/>
        </w:rPr>
        <w:t xml:space="preserve">económicos: </w:t>
      </w:r>
      <w:r w:rsidR="005D6DC5" w:rsidRPr="00E945D3">
        <w:rPr>
          <w:rFonts w:ascii="OpenSans-Regular" w:eastAsia="Times New Roman" w:hAnsi="OpenSans-Regular" w:cs="Times New Roman"/>
          <w:spacing w:val="2"/>
          <w:sz w:val="24"/>
          <w:szCs w:val="24"/>
          <w:lang w:val="es-CL"/>
        </w:rPr>
        <w:t xml:space="preserve">cuando el </w:t>
      </w:r>
      <w:r w:rsidRPr="00E945D3">
        <w:rPr>
          <w:rFonts w:ascii="OpenSans-Regular" w:eastAsia="Times New Roman" w:hAnsi="OpenSans-Regular" w:cs="Times New Roman"/>
          <w:spacing w:val="2"/>
          <w:sz w:val="24"/>
          <w:szCs w:val="24"/>
          <w:lang w:val="es-CL"/>
        </w:rPr>
        <w:t>resultado</w:t>
      </w:r>
      <w:r w:rsidR="005D6DC5" w:rsidRPr="00E945D3">
        <w:rPr>
          <w:rFonts w:ascii="OpenSans-Regular" w:eastAsia="Times New Roman" w:hAnsi="OpenSans-Regular" w:cs="Times New Roman"/>
          <w:spacing w:val="2"/>
          <w:sz w:val="24"/>
          <w:szCs w:val="24"/>
          <w:lang w:val="es-CL"/>
        </w:rPr>
        <w:t xml:space="preserve"> de la implementación de las actividades REDD+ tienen un impacto o cambio positivo monetario (ingresos) o no monetario (calidad de vida) en las personas, comunidades, organizaciones e instituciones del gobierno entre otros.</w:t>
      </w:r>
    </w:p>
    <w:p w14:paraId="555AA548" w14:textId="77777777" w:rsidR="005D6DC5" w:rsidRDefault="005D6DC5" w:rsidP="005D6DC5">
      <w:pPr>
        <w:ind w:left="1065"/>
        <w:contextualSpacing/>
        <w:jc w:val="both"/>
        <w:rPr>
          <w:rFonts w:ascii="Calibri" w:eastAsia="Calibri" w:hAnsi="Calibri" w:cs="Times New Roman"/>
          <w:lang w:val="es-CL"/>
        </w:rPr>
      </w:pPr>
    </w:p>
    <w:p w14:paraId="6D7F3CCE" w14:textId="77777777" w:rsidR="005D6DC5" w:rsidRDefault="005D6DC5" w:rsidP="002E0D66">
      <w:pPr>
        <w:jc w:val="both"/>
        <w:rPr>
          <w:rFonts w:ascii="Calibri" w:eastAsia="Calibri" w:hAnsi="Calibri" w:cs="Times New Roman"/>
          <w:u w:val="single"/>
          <w:lang w:val="es-CL"/>
        </w:rPr>
      </w:pPr>
    </w:p>
    <w:p w14:paraId="11C60A3C" w14:textId="063354E6" w:rsidR="005D6DC5" w:rsidRPr="00C33ADB" w:rsidRDefault="001D7944" w:rsidP="00C33ADB">
      <w:pPr>
        <w:pStyle w:val="NormalWeb"/>
        <w:shd w:val="clear" w:color="auto" w:fill="FFFFFF"/>
        <w:spacing w:before="0" w:beforeAutospacing="0" w:after="0" w:afterAutospacing="0" w:line="510" w:lineRule="atLeast"/>
        <w:textAlignment w:val="baseline"/>
        <w:rPr>
          <w:rFonts w:ascii="CircularStd-Black" w:hAnsi="CircularStd-Black"/>
          <w:b/>
          <w:bCs/>
          <w:color w:val="474747"/>
          <w:spacing w:val="2"/>
          <w:sz w:val="36"/>
          <w:szCs w:val="36"/>
          <w:lang w:val="es-CL"/>
        </w:rPr>
      </w:pPr>
      <w:r w:rsidRPr="00C33ADB">
        <w:rPr>
          <w:rFonts w:ascii="CircularStd-Black" w:hAnsi="CircularStd-Black"/>
          <w:b/>
          <w:bCs/>
          <w:color w:val="474747"/>
          <w:spacing w:val="2"/>
          <w:sz w:val="36"/>
          <w:szCs w:val="36"/>
          <w:lang w:val="es-CL"/>
        </w:rPr>
        <w:t>Importancia de</w:t>
      </w:r>
      <w:r w:rsidR="005D6DC5" w:rsidRPr="00C33ADB">
        <w:rPr>
          <w:rFonts w:ascii="CircularStd-Black" w:hAnsi="CircularStd-Black"/>
          <w:b/>
          <w:bCs/>
          <w:color w:val="474747"/>
          <w:spacing w:val="2"/>
          <w:sz w:val="36"/>
          <w:szCs w:val="36"/>
          <w:lang w:val="es-CL"/>
        </w:rPr>
        <w:t xml:space="preserve"> los </w:t>
      </w:r>
      <w:proofErr w:type="spellStart"/>
      <w:r w:rsidR="005D6DC5" w:rsidRPr="00C33ADB">
        <w:rPr>
          <w:rFonts w:ascii="CircularStd-Black" w:hAnsi="CircularStd-Black"/>
          <w:b/>
          <w:bCs/>
          <w:color w:val="474747"/>
          <w:spacing w:val="2"/>
          <w:sz w:val="36"/>
          <w:szCs w:val="36"/>
          <w:lang w:val="es-CL"/>
        </w:rPr>
        <w:t>co-beneficios</w:t>
      </w:r>
      <w:proofErr w:type="spellEnd"/>
      <w:r w:rsidR="005D6DC5" w:rsidRPr="00C33ADB">
        <w:rPr>
          <w:rFonts w:ascii="CircularStd-Black" w:hAnsi="CircularStd-Black"/>
          <w:b/>
          <w:bCs/>
          <w:color w:val="474747"/>
          <w:spacing w:val="2"/>
          <w:sz w:val="36"/>
          <w:szCs w:val="36"/>
          <w:lang w:val="es-CL"/>
        </w:rPr>
        <w:t xml:space="preserve"> de REDD+</w:t>
      </w:r>
    </w:p>
    <w:p w14:paraId="4CA062BA" w14:textId="77777777" w:rsidR="005F0145" w:rsidRDefault="005F0145" w:rsidP="002E0D66">
      <w:pPr>
        <w:jc w:val="both"/>
        <w:rPr>
          <w:rFonts w:ascii="OpenSans-Regular" w:eastAsia="Times New Roman" w:hAnsi="OpenSans-Regular" w:cs="Times New Roman"/>
          <w:spacing w:val="2"/>
          <w:sz w:val="24"/>
          <w:szCs w:val="24"/>
          <w:lang w:val="es-CL"/>
        </w:rPr>
      </w:pPr>
    </w:p>
    <w:p w14:paraId="1BED08EC" w14:textId="4B671513" w:rsidR="00D51BAC" w:rsidRPr="00E945D3" w:rsidRDefault="00D51BAC" w:rsidP="002E0D66">
      <w:pPr>
        <w:jc w:val="both"/>
        <w:rPr>
          <w:rFonts w:ascii="OpenSans-Regular" w:eastAsia="Times New Roman" w:hAnsi="OpenSans-Regular" w:cs="Times New Roman"/>
          <w:spacing w:val="2"/>
          <w:sz w:val="24"/>
          <w:szCs w:val="24"/>
          <w:lang w:val="es-CL"/>
        </w:rPr>
      </w:pPr>
      <w:r w:rsidRPr="00E945D3">
        <w:rPr>
          <w:rFonts w:ascii="OpenSans-Regular" w:eastAsia="Times New Roman" w:hAnsi="OpenSans-Regular" w:cs="Times New Roman"/>
          <w:spacing w:val="2"/>
          <w:sz w:val="24"/>
          <w:szCs w:val="24"/>
          <w:lang w:val="es-CL"/>
        </w:rPr>
        <w:t xml:space="preserve">La Convención Marco de las Naciones Unidas sobre Cambio Climático (CMNUCC) reconoce la importancia de incentivar los </w:t>
      </w:r>
      <w:proofErr w:type="spellStart"/>
      <w:r w:rsidRPr="00E945D3">
        <w:rPr>
          <w:rFonts w:ascii="OpenSans-Regular" w:eastAsia="Times New Roman" w:hAnsi="OpenSans-Regular" w:cs="Times New Roman"/>
          <w:spacing w:val="2"/>
          <w:sz w:val="24"/>
          <w:szCs w:val="24"/>
          <w:lang w:val="es-CL"/>
        </w:rPr>
        <w:t>co-beneficio</w:t>
      </w:r>
      <w:r w:rsidR="001D7944" w:rsidRPr="00E945D3">
        <w:rPr>
          <w:rFonts w:ascii="OpenSans-Regular" w:eastAsia="Times New Roman" w:hAnsi="OpenSans-Regular" w:cs="Times New Roman"/>
          <w:spacing w:val="2"/>
          <w:sz w:val="24"/>
          <w:szCs w:val="24"/>
          <w:lang w:val="es-CL"/>
        </w:rPr>
        <w:t>s</w:t>
      </w:r>
      <w:proofErr w:type="spellEnd"/>
      <w:r w:rsidR="001D7944" w:rsidRPr="00E945D3">
        <w:rPr>
          <w:rFonts w:ascii="OpenSans-Regular" w:eastAsia="Times New Roman" w:hAnsi="OpenSans-Regular" w:cs="Times New Roman"/>
          <w:spacing w:val="2"/>
          <w:sz w:val="24"/>
          <w:szCs w:val="24"/>
          <w:lang w:val="es-CL"/>
        </w:rPr>
        <w:t xml:space="preserve"> del bosque</w:t>
      </w:r>
      <w:r w:rsidRPr="00E945D3">
        <w:rPr>
          <w:rFonts w:ascii="OpenSans-Regular" w:eastAsia="Times New Roman" w:hAnsi="OpenSans-Regular" w:cs="Times New Roman"/>
          <w:spacing w:val="2"/>
          <w:sz w:val="24"/>
          <w:szCs w:val="24"/>
          <w:lang w:val="es-CL"/>
        </w:rPr>
        <w:t xml:space="preserve"> para la sostenibilidad a largo plazo de la implementación de REDD+ (Decisión 9/CP.19</w:t>
      </w:r>
      <w:r w:rsidR="00327F9F" w:rsidRPr="00E945D3">
        <w:rPr>
          <w:rFonts w:ascii="OpenSans-Regular" w:eastAsia="Times New Roman" w:hAnsi="OpenSans-Regular" w:cs="Times New Roman"/>
          <w:spacing w:val="2"/>
          <w:sz w:val="24"/>
          <w:szCs w:val="24"/>
          <w:lang w:val="es-CL"/>
        </w:rPr>
        <w:t>. Par.22</w:t>
      </w:r>
      <w:r w:rsidRPr="00E945D3">
        <w:rPr>
          <w:rFonts w:ascii="OpenSans-Regular" w:eastAsia="Times New Roman" w:hAnsi="OpenSans-Regular" w:cs="Times New Roman"/>
          <w:spacing w:val="2"/>
          <w:sz w:val="24"/>
          <w:szCs w:val="24"/>
          <w:lang w:val="es-CL"/>
        </w:rPr>
        <w:t>)</w:t>
      </w:r>
      <w:r w:rsidR="001D7944" w:rsidRPr="00E945D3">
        <w:rPr>
          <w:rFonts w:ascii="OpenSans-Regular" w:eastAsia="Times New Roman" w:hAnsi="OpenSans-Regular" w:cs="Times New Roman"/>
          <w:spacing w:val="2"/>
          <w:sz w:val="24"/>
          <w:szCs w:val="24"/>
          <w:lang w:val="es-CL"/>
        </w:rPr>
        <w:t>, ya que mediante estos, se contribuye a mantener los medios de vida y  cultura de las comunidades.</w:t>
      </w:r>
    </w:p>
    <w:p w14:paraId="2B54BE25" w14:textId="7E54A682" w:rsidR="00360876" w:rsidRPr="00E945D3" w:rsidRDefault="00360876" w:rsidP="00360876">
      <w:pPr>
        <w:jc w:val="both"/>
        <w:rPr>
          <w:rFonts w:ascii="OpenSans-Regular" w:eastAsia="Times New Roman" w:hAnsi="OpenSans-Regular" w:cs="Times New Roman"/>
          <w:spacing w:val="2"/>
          <w:sz w:val="24"/>
          <w:szCs w:val="24"/>
          <w:lang w:val="es-CL"/>
        </w:rPr>
      </w:pPr>
      <w:r w:rsidRPr="00E945D3">
        <w:rPr>
          <w:rFonts w:ascii="OpenSans-Regular" w:eastAsia="Times New Roman" w:hAnsi="OpenSans-Regular" w:cs="Times New Roman"/>
          <w:spacing w:val="2"/>
          <w:sz w:val="24"/>
          <w:szCs w:val="24"/>
          <w:lang w:val="es-CL"/>
        </w:rPr>
        <w:t>Los países antes que puedan recibir pagos basados en resultados, deben proporcionar un resumen sobre la forma como se han abordado y respectado todas las salvaguardas de REDD+ (Decisión 9/CP.19</w:t>
      </w:r>
      <w:r w:rsidR="00327F9F" w:rsidRPr="00E945D3">
        <w:rPr>
          <w:rFonts w:ascii="OpenSans-Regular" w:eastAsia="Times New Roman" w:hAnsi="OpenSans-Regular" w:cs="Times New Roman"/>
          <w:spacing w:val="2"/>
          <w:sz w:val="24"/>
          <w:szCs w:val="24"/>
          <w:lang w:val="es-CL"/>
        </w:rPr>
        <w:t>. Par.4)</w:t>
      </w:r>
      <w:r w:rsidRPr="00E945D3">
        <w:rPr>
          <w:rFonts w:ascii="OpenSans-Regular" w:eastAsia="Times New Roman" w:hAnsi="OpenSans-Regular" w:cs="Times New Roman"/>
          <w:spacing w:val="2"/>
          <w:sz w:val="24"/>
          <w:szCs w:val="24"/>
          <w:lang w:val="es-CL"/>
        </w:rPr>
        <w:t>, por lo tanto es necesario contar con un sistema que permita el monitoreo y evaluación de cumplimiento de estas salvaguardas.</w:t>
      </w:r>
    </w:p>
    <w:p w14:paraId="07AC5715" w14:textId="2B18582F" w:rsidR="00360876" w:rsidRPr="00E945D3" w:rsidRDefault="00360876" w:rsidP="00360876">
      <w:pPr>
        <w:jc w:val="both"/>
        <w:rPr>
          <w:rFonts w:ascii="OpenSans-Regular" w:eastAsia="Times New Roman" w:hAnsi="OpenSans-Regular" w:cs="Times New Roman"/>
          <w:spacing w:val="2"/>
          <w:sz w:val="24"/>
          <w:szCs w:val="24"/>
          <w:lang w:val="es-CL"/>
        </w:rPr>
      </w:pPr>
      <w:r w:rsidRPr="00E945D3">
        <w:rPr>
          <w:rFonts w:ascii="OpenSans-Regular" w:eastAsia="Times New Roman" w:hAnsi="OpenSans-Regular" w:cs="Times New Roman"/>
          <w:spacing w:val="2"/>
          <w:sz w:val="24"/>
          <w:szCs w:val="24"/>
          <w:lang w:val="es-CL"/>
        </w:rPr>
        <w:t xml:space="preserve">Los </w:t>
      </w:r>
      <w:proofErr w:type="spellStart"/>
      <w:r w:rsidRPr="00E945D3">
        <w:rPr>
          <w:rFonts w:ascii="OpenSans-Regular" w:eastAsia="Times New Roman" w:hAnsi="OpenSans-Regular" w:cs="Times New Roman"/>
          <w:spacing w:val="2"/>
          <w:sz w:val="24"/>
          <w:szCs w:val="24"/>
          <w:lang w:val="es-CL"/>
        </w:rPr>
        <w:t>co-beneficios</w:t>
      </w:r>
      <w:proofErr w:type="spellEnd"/>
      <w:r w:rsidRPr="00E945D3">
        <w:rPr>
          <w:rFonts w:ascii="OpenSans-Regular" w:eastAsia="Times New Roman" w:hAnsi="OpenSans-Regular" w:cs="Times New Roman"/>
          <w:spacing w:val="2"/>
          <w:sz w:val="24"/>
          <w:szCs w:val="24"/>
          <w:lang w:val="es-CL"/>
        </w:rPr>
        <w:t xml:space="preserve"> se vinculan directamente con la Salvaguarda</w:t>
      </w:r>
      <w:r w:rsidR="00EA008A" w:rsidRPr="00E945D3">
        <w:rPr>
          <w:rFonts w:ascii="OpenSans-Regular" w:eastAsia="Times New Roman" w:hAnsi="OpenSans-Regular" w:cs="Times New Roman"/>
          <w:spacing w:val="2"/>
          <w:sz w:val="24"/>
          <w:szCs w:val="24"/>
          <w:lang w:val="es-CL"/>
        </w:rPr>
        <w:t xml:space="preserve"> </w:t>
      </w:r>
      <w:r w:rsidR="00EB3DEE" w:rsidRPr="00E945D3">
        <w:rPr>
          <w:rFonts w:ascii="OpenSans-Regular" w:eastAsia="Times New Roman" w:hAnsi="OpenSans-Regular" w:cs="Times New Roman"/>
          <w:spacing w:val="2"/>
          <w:sz w:val="24"/>
          <w:szCs w:val="24"/>
          <w:lang w:val="es-CL"/>
        </w:rPr>
        <w:t>“E”</w:t>
      </w:r>
      <w:r w:rsidRPr="00E945D3">
        <w:rPr>
          <w:rFonts w:ascii="OpenSans-Regular" w:eastAsia="Times New Roman" w:hAnsi="OpenSans-Regular" w:cs="Times New Roman"/>
          <w:spacing w:val="2"/>
          <w:sz w:val="24"/>
          <w:szCs w:val="24"/>
          <w:lang w:val="es-CL"/>
        </w:rPr>
        <w:t xml:space="preserve"> </w:t>
      </w:r>
      <w:r w:rsidR="00EB3DEE" w:rsidRPr="00E945D3">
        <w:rPr>
          <w:rFonts w:ascii="OpenSans-Regular" w:eastAsia="Times New Roman" w:hAnsi="OpenSans-Regular" w:cs="Times New Roman"/>
          <w:spacing w:val="2"/>
          <w:sz w:val="24"/>
          <w:szCs w:val="24"/>
          <w:lang w:val="es-CL"/>
        </w:rPr>
        <w:t xml:space="preserve">de </w:t>
      </w:r>
      <w:r w:rsidRPr="00E945D3">
        <w:rPr>
          <w:rFonts w:ascii="OpenSans-Regular" w:eastAsia="Times New Roman" w:hAnsi="OpenSans-Regular" w:cs="Times New Roman"/>
          <w:spacing w:val="2"/>
          <w:sz w:val="24"/>
          <w:szCs w:val="24"/>
          <w:lang w:val="es-CL"/>
        </w:rPr>
        <w:t xml:space="preserve">REDD+: “ </w:t>
      </w:r>
      <w:r w:rsidRPr="00E945D3">
        <w:rPr>
          <w:rFonts w:ascii="OpenSans-Regular" w:eastAsia="Times New Roman" w:hAnsi="OpenSans-Regular" w:cs="Times New Roman"/>
          <w:i/>
          <w:iCs/>
          <w:spacing w:val="2"/>
          <w:sz w:val="24"/>
          <w:szCs w:val="24"/>
          <w:lang w:val="es-CL"/>
        </w:rPr>
        <w:t xml:space="preserve">Las acciones son consistentes con la conservación de los bosques naturales y la diversidad </w:t>
      </w:r>
      <w:r w:rsidRPr="00E945D3">
        <w:rPr>
          <w:rFonts w:ascii="OpenSans-Regular" w:eastAsia="Times New Roman" w:hAnsi="OpenSans-Regular" w:cs="Times New Roman"/>
          <w:i/>
          <w:iCs/>
          <w:spacing w:val="2"/>
          <w:sz w:val="24"/>
          <w:szCs w:val="24"/>
          <w:lang w:val="es-CL"/>
        </w:rPr>
        <w:lastRenderedPageBreak/>
        <w:t>biológica, velando que las acciones REDD+ no se utilicen para la conversión de bosques naturales, sino que sirvan, en cambio, para incentivar la protección y la conservación de esos bosques naturales y sus servicios ecosistémicos, y para potenciar otros beneficios sociales y ambientales</w:t>
      </w:r>
      <w:r w:rsidRPr="00E945D3">
        <w:rPr>
          <w:rFonts w:ascii="OpenSans-Regular" w:eastAsia="Times New Roman" w:hAnsi="OpenSans-Regular" w:cs="Times New Roman"/>
          <w:spacing w:val="2"/>
          <w:sz w:val="24"/>
          <w:szCs w:val="24"/>
          <w:lang w:val="es-CL"/>
        </w:rPr>
        <w:t>”</w:t>
      </w:r>
    </w:p>
    <w:p w14:paraId="01FF7B69" w14:textId="1892EDEF" w:rsidR="00EA008A" w:rsidRPr="00E945D3" w:rsidRDefault="00EA008A" w:rsidP="002E0D66">
      <w:pPr>
        <w:jc w:val="both"/>
        <w:rPr>
          <w:rFonts w:ascii="OpenSans-Regular" w:eastAsia="Times New Roman" w:hAnsi="OpenSans-Regular" w:cs="Times New Roman"/>
          <w:spacing w:val="2"/>
          <w:sz w:val="24"/>
          <w:szCs w:val="24"/>
          <w:lang w:val="es-CL"/>
        </w:rPr>
      </w:pPr>
      <w:r w:rsidRPr="00E945D3">
        <w:rPr>
          <w:rFonts w:ascii="OpenSans-Regular" w:eastAsia="Times New Roman" w:hAnsi="OpenSans-Regular" w:cs="Times New Roman"/>
          <w:spacing w:val="2"/>
          <w:sz w:val="24"/>
          <w:szCs w:val="24"/>
          <w:lang w:val="es-CL"/>
        </w:rPr>
        <w:t xml:space="preserve">Por lo tanto, </w:t>
      </w:r>
      <w:r w:rsidR="00EB3DEE" w:rsidRPr="00E945D3">
        <w:rPr>
          <w:rFonts w:ascii="OpenSans-Regular" w:eastAsia="Times New Roman" w:hAnsi="OpenSans-Regular" w:cs="Times New Roman"/>
          <w:spacing w:val="2"/>
          <w:sz w:val="24"/>
          <w:szCs w:val="24"/>
          <w:lang w:val="es-CL"/>
        </w:rPr>
        <w:t xml:space="preserve">el resumen sobre la forma que se está abordando y respectando la Salvaguarda  “E” se realizará mediante un Sistema de Co-Beneficios REDD+, mientras que el </w:t>
      </w:r>
      <w:r w:rsidRPr="00E945D3">
        <w:rPr>
          <w:rFonts w:ascii="OpenSans-Regular" w:eastAsia="Times New Roman" w:hAnsi="OpenSans-Regular" w:cs="Times New Roman"/>
          <w:spacing w:val="2"/>
          <w:sz w:val="24"/>
          <w:szCs w:val="24"/>
          <w:lang w:val="es-CL"/>
        </w:rPr>
        <w:t xml:space="preserve">resto de salvaguardas se reportan mediante el Sistema de Información de </w:t>
      </w:r>
      <w:commentRangeStart w:id="0"/>
      <w:r w:rsidRPr="00E945D3">
        <w:rPr>
          <w:rFonts w:ascii="OpenSans-Regular" w:eastAsia="Times New Roman" w:hAnsi="OpenSans-Regular" w:cs="Times New Roman"/>
          <w:spacing w:val="2"/>
          <w:sz w:val="24"/>
          <w:szCs w:val="24"/>
          <w:lang w:val="es-CL"/>
        </w:rPr>
        <w:t>Salvaguardas (SIS).</w:t>
      </w:r>
      <w:commentRangeEnd w:id="0"/>
      <w:r w:rsidR="005F0145">
        <w:rPr>
          <w:rStyle w:val="Refdecomentario"/>
        </w:rPr>
        <w:commentReference w:id="0"/>
      </w:r>
    </w:p>
    <w:p w14:paraId="59B9F062" w14:textId="2F1010C8" w:rsidR="00327F9F" w:rsidRDefault="00327F9F" w:rsidP="002E0D66">
      <w:pPr>
        <w:jc w:val="both"/>
        <w:rPr>
          <w:rFonts w:ascii="Calibri" w:eastAsia="Calibri" w:hAnsi="Calibri" w:cs="Times New Roman"/>
          <w:lang w:val="es-CL"/>
        </w:rPr>
      </w:pPr>
    </w:p>
    <w:p w14:paraId="27F4446C" w14:textId="44196506" w:rsidR="00D51BAC" w:rsidRPr="00C33ADB" w:rsidRDefault="00EB3DEE" w:rsidP="00C33ADB">
      <w:pPr>
        <w:pStyle w:val="NormalWeb"/>
        <w:shd w:val="clear" w:color="auto" w:fill="FFFFFF"/>
        <w:spacing w:before="0" w:beforeAutospacing="0" w:after="0" w:afterAutospacing="0" w:line="510" w:lineRule="atLeast"/>
        <w:textAlignment w:val="baseline"/>
        <w:rPr>
          <w:rFonts w:ascii="CircularStd-Black" w:hAnsi="CircularStd-Black"/>
          <w:b/>
          <w:bCs/>
          <w:color w:val="474747"/>
          <w:spacing w:val="2"/>
          <w:sz w:val="36"/>
          <w:szCs w:val="36"/>
          <w:lang w:val="es-CL"/>
        </w:rPr>
      </w:pPr>
      <w:r w:rsidRPr="00C33ADB">
        <w:rPr>
          <w:rFonts w:ascii="CircularStd-Black" w:hAnsi="CircularStd-Black"/>
          <w:b/>
          <w:bCs/>
          <w:color w:val="474747"/>
          <w:spacing w:val="2"/>
          <w:sz w:val="36"/>
          <w:szCs w:val="36"/>
          <w:lang w:val="es-CL"/>
        </w:rPr>
        <w:t>Sistema de</w:t>
      </w:r>
      <w:r w:rsidR="00E945D3">
        <w:rPr>
          <w:rFonts w:ascii="CircularStd-Black" w:hAnsi="CircularStd-Black"/>
          <w:b/>
          <w:bCs/>
          <w:color w:val="474747"/>
          <w:spacing w:val="2"/>
          <w:sz w:val="36"/>
          <w:szCs w:val="36"/>
          <w:lang w:val="es-CL"/>
        </w:rPr>
        <w:t xml:space="preserve"> Monitoreo de</w:t>
      </w:r>
      <w:r w:rsidRPr="00C33ADB">
        <w:rPr>
          <w:rFonts w:ascii="CircularStd-Black" w:hAnsi="CircularStd-Black"/>
          <w:b/>
          <w:bCs/>
          <w:color w:val="474747"/>
          <w:spacing w:val="2"/>
          <w:sz w:val="36"/>
          <w:szCs w:val="36"/>
          <w:lang w:val="es-CL"/>
        </w:rPr>
        <w:t xml:space="preserve"> Co-Beneficios</w:t>
      </w:r>
    </w:p>
    <w:p w14:paraId="06592B35" w14:textId="77777777" w:rsidR="00E945D3" w:rsidRDefault="00E945D3" w:rsidP="002E0D66">
      <w:pPr>
        <w:jc w:val="both"/>
        <w:rPr>
          <w:rFonts w:ascii="OpenSans-Regular" w:eastAsia="Times New Roman" w:hAnsi="OpenSans-Regular" w:cs="Times New Roman"/>
          <w:spacing w:val="2"/>
          <w:sz w:val="24"/>
          <w:szCs w:val="24"/>
          <w:lang w:val="es-CL"/>
        </w:rPr>
      </w:pPr>
    </w:p>
    <w:p w14:paraId="242E09A0" w14:textId="1750805D" w:rsidR="00D32015" w:rsidRPr="00E945D3" w:rsidRDefault="00702C42" w:rsidP="002E0D66">
      <w:pPr>
        <w:jc w:val="both"/>
        <w:rPr>
          <w:rFonts w:ascii="OpenSans-Regular" w:eastAsia="Times New Roman" w:hAnsi="OpenSans-Regular" w:cs="Times New Roman"/>
          <w:spacing w:val="2"/>
          <w:sz w:val="24"/>
          <w:szCs w:val="24"/>
          <w:lang w:val="es-CL"/>
        </w:rPr>
      </w:pPr>
      <w:r w:rsidRPr="00E945D3">
        <w:rPr>
          <w:rFonts w:ascii="OpenSans-Regular" w:eastAsia="Times New Roman" w:hAnsi="OpenSans-Regular" w:cs="Times New Roman"/>
          <w:noProof/>
          <w:spacing w:val="2"/>
          <w:sz w:val="24"/>
          <w:szCs w:val="24"/>
          <w:lang w:val="es-CL"/>
        </w:rPr>
        <mc:AlternateContent>
          <mc:Choice Requires="wps">
            <w:drawing>
              <wp:anchor distT="45720" distB="45720" distL="114300" distR="114300" simplePos="0" relativeHeight="251659264" behindDoc="0" locked="0" layoutInCell="1" allowOverlap="1" wp14:anchorId="0DD19385" wp14:editId="38365CE1">
                <wp:simplePos x="0" y="0"/>
                <wp:positionH relativeFrom="margin">
                  <wp:align>right</wp:align>
                </wp:positionH>
                <wp:positionV relativeFrom="paragraph">
                  <wp:posOffset>86360</wp:posOffset>
                </wp:positionV>
                <wp:extent cx="2360930" cy="1404620"/>
                <wp:effectExtent l="0" t="0" r="22225" b="260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accent1">
                              <a:lumMod val="75000"/>
                            </a:schemeClr>
                          </a:solidFill>
                          <a:miter lim="800000"/>
                          <a:headEnd/>
                          <a:tailEnd/>
                        </a:ln>
                      </wps:spPr>
                      <wps:txbx>
                        <w:txbxContent>
                          <w:p w14:paraId="4093C27A" w14:textId="3602F53E" w:rsidR="00702C42" w:rsidRPr="00E945D3" w:rsidRDefault="00702C42" w:rsidP="00702C42">
                            <w:pPr>
                              <w:jc w:val="both"/>
                              <w:rPr>
                                <w:rFonts w:ascii="OpenSans-Regular" w:eastAsia="Times New Roman" w:hAnsi="OpenSans-Regular" w:cs="Times New Roman"/>
                                <w:i/>
                                <w:iCs/>
                                <w:color w:val="1F3864" w:themeColor="accent1" w:themeShade="80"/>
                                <w:spacing w:val="2"/>
                                <w:sz w:val="20"/>
                                <w:szCs w:val="20"/>
                                <w:lang w:val="es-CL"/>
                              </w:rPr>
                            </w:pPr>
                            <w:r w:rsidRPr="00E945D3">
                              <w:rPr>
                                <w:rFonts w:ascii="OpenSans-Regular" w:eastAsia="Times New Roman" w:hAnsi="OpenSans-Regular" w:cs="Times New Roman"/>
                                <w:i/>
                                <w:iCs/>
                                <w:color w:val="1F3864" w:themeColor="accent1" w:themeShade="80"/>
                                <w:spacing w:val="2"/>
                                <w:sz w:val="20"/>
                                <w:szCs w:val="20"/>
                                <w:lang w:val="es-CL"/>
                              </w:rPr>
                              <w:t>“Los indicadores son herramientas de objetivación de los procesos ambientales, sociales y económicos mediante la generación de evidencias críticas dentro de los procesos de monitoreo, decisión e intervención (CEPAL, 2009)”.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DD19385" id="_x0000_t202" coordsize="21600,21600" o:spt="202" path="m,l,21600r21600,l21600,xe">
                <v:stroke joinstyle="miter"/>
                <v:path gradientshapeok="t" o:connecttype="rect"/>
              </v:shapetype>
              <v:shape id="Cuadro de texto 2" o:spid="_x0000_s1026" type="#_x0000_t202" style="position:absolute;left:0;text-align:left;margin-left:134.7pt;margin-top:6.8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Y7LRAIAAHUEAAAOAAAAZHJzL2Uyb0RvYy54bWysVNtu2zAMfR+wfxD0vtpxk16MOkWXLsOA&#10;3YBuH8DIcixMEjVJid19/Sg5zdLubZgfBEkkjw4PSd/cjkazvfRBoW347KzkTFqBrbLbhn//tn5z&#10;xVmIYFvQaGXDH2Xgt8vXr24GV8sKe9St9IxAbKgH1/A+RlcXRRC9NBDO0ElLxg69gUhHvy1aDwOh&#10;G11UZXlRDOhb51HIEOj2fjLyZcbvOinil64LMjLdcOIW8+rzuklrsbyBeuvB9UocaMA/sDCgLD16&#10;hLqHCGzn1V9QRgmPAbt4JtAU2HVKyJwDZTMrX2Tz0IOTORcSJ7ijTOH/wYrP+6+eqbbh1eySMwuG&#10;irTaQeuRtZJFOUZkVZJpcKEm7wdH/nF8iyOVO6cc3EcUPwKzuOrBbuWd9zj0ElqiOUuRxUnohBMS&#10;yGb4hC29BruIGWjsvEkakiqM0Klcj8cSEQ8m6LI6vyivz8kkyDabl/OLKhexgPop3PkQ30s0LG0a&#10;7qkHMjzsP4aY6ED95JJeC6hVu1Za54Pfblbasz1Qv6zzlzN44aYtGxp+vagWkwLPIFLryiMICCFt&#10;nJTSO0MpT+CXi7J8Yp67PYVkcs8IGRVpPrQyDb+igCkE6iTvO9vm7o2g9LSnzLQ96J0knsSO42Y8&#10;1G+D7SMp73GaA5pb2vTof3E20Aw0PPzcgZec6Q+Wqnc9m8/T0OTDfHFJUjN/atmcWsAKgmp45Gza&#10;rmIetKyru6Mqr1XWP7XDxOTAlXo7Z36YwzQ8p+fs9edvsfwNAAD//wMAUEsDBBQABgAIAAAAIQA5&#10;XdW/3wAAAAcBAAAPAAAAZHJzL2Rvd25yZXYueG1sTI/BTsMwEETvSPyDtUhcUGsngRKFOBVCcCuH&#10;BlT16MQmDsTrKHbb0K9nOcFxdlYzb8r17AZ2NFPoPUpIlgKYwdbrHjsJ728vixxYiAq1GjwaCd8m&#10;wLq6vChVof0Jt+ZYx45RCIZCSbAxjgXnobXGqbD0o0HyPvzkVCQ5dVxP6kThbuCpECvuVI/UYNVo&#10;nqxpv+qDk7DfiLz+vEvFzeu5sfN52CXPm52U11fz4wOwaOb49wy/+IQOFTE1/oA6sEECDYl0zVbA&#10;yM3uExrSSEiz2xx4VfL//NUPAAAA//8DAFBLAQItABQABgAIAAAAIQC2gziS/gAAAOEBAAATAAAA&#10;AAAAAAAAAAAAAAAAAABbQ29udGVudF9UeXBlc10ueG1sUEsBAi0AFAAGAAgAAAAhADj9If/WAAAA&#10;lAEAAAsAAAAAAAAAAAAAAAAALwEAAF9yZWxzLy5yZWxzUEsBAi0AFAAGAAgAAAAhAJW5jstEAgAA&#10;dQQAAA4AAAAAAAAAAAAAAAAALgIAAGRycy9lMm9Eb2MueG1sUEsBAi0AFAAGAAgAAAAhADld1b/f&#10;AAAABwEAAA8AAAAAAAAAAAAAAAAAngQAAGRycy9kb3ducmV2LnhtbFBLBQYAAAAABAAEAPMAAACq&#10;BQAAAAA=&#10;" strokecolor="#2f5496 [2404]">
                <v:textbox style="mso-fit-shape-to-text:t">
                  <w:txbxContent>
                    <w:p w14:paraId="4093C27A" w14:textId="3602F53E" w:rsidR="00702C42" w:rsidRPr="00E945D3" w:rsidRDefault="00702C42" w:rsidP="00702C42">
                      <w:pPr>
                        <w:jc w:val="both"/>
                        <w:rPr>
                          <w:rFonts w:ascii="OpenSans-Regular" w:eastAsia="Times New Roman" w:hAnsi="OpenSans-Regular" w:cs="Times New Roman"/>
                          <w:i/>
                          <w:iCs/>
                          <w:color w:val="1F3864" w:themeColor="accent1" w:themeShade="80"/>
                          <w:spacing w:val="2"/>
                          <w:sz w:val="20"/>
                          <w:szCs w:val="20"/>
                          <w:lang w:val="es-CL"/>
                        </w:rPr>
                      </w:pPr>
                      <w:r w:rsidRPr="00E945D3">
                        <w:rPr>
                          <w:rFonts w:ascii="OpenSans-Regular" w:eastAsia="Times New Roman" w:hAnsi="OpenSans-Regular" w:cs="Times New Roman"/>
                          <w:i/>
                          <w:iCs/>
                          <w:color w:val="1F3864" w:themeColor="accent1" w:themeShade="80"/>
                          <w:spacing w:val="2"/>
                          <w:sz w:val="20"/>
                          <w:szCs w:val="20"/>
                          <w:lang w:val="es-CL"/>
                        </w:rPr>
                        <w:t>“Los indicadores son herramientas de objetivación de los procesos ambientales, sociales y económicos mediante la generación de evidencias críticas dentro de los procesos de monitoreo, decisión e intervención (CEPAL, 2009)”.</w:t>
                      </w:r>
                    </w:p>
                  </w:txbxContent>
                </v:textbox>
                <w10:wrap type="square" anchorx="margin"/>
              </v:shape>
            </w:pict>
          </mc:Fallback>
        </mc:AlternateContent>
      </w:r>
      <w:r w:rsidR="00EB3DEE" w:rsidRPr="00E945D3">
        <w:rPr>
          <w:rFonts w:ascii="OpenSans-Regular" w:eastAsia="Times New Roman" w:hAnsi="OpenSans-Regular" w:cs="Times New Roman"/>
          <w:spacing w:val="2"/>
          <w:sz w:val="24"/>
          <w:szCs w:val="24"/>
          <w:lang w:val="es-CL"/>
        </w:rPr>
        <w:t>Para el reporte de Co-Beneficios se cuenta con un Sistema de indicadores SMART que permitirá el monitoreo y evaluación de los beneficios generados por la implementación de la ENREDD+ en Guatemala.</w:t>
      </w:r>
    </w:p>
    <w:p w14:paraId="11B3C283" w14:textId="66BDFCCA" w:rsidR="00C41A1E" w:rsidRPr="00E945D3" w:rsidRDefault="00702C42" w:rsidP="00207E0F">
      <w:pPr>
        <w:jc w:val="both"/>
        <w:rPr>
          <w:rFonts w:ascii="OpenSans-Regular" w:eastAsia="Times New Roman" w:hAnsi="OpenSans-Regular" w:cs="Times New Roman"/>
          <w:spacing w:val="2"/>
          <w:sz w:val="24"/>
          <w:szCs w:val="24"/>
          <w:lang w:val="es-CL"/>
        </w:rPr>
      </w:pPr>
      <w:r w:rsidRPr="00E945D3">
        <w:rPr>
          <w:rFonts w:ascii="OpenSans-Regular" w:eastAsia="Times New Roman" w:hAnsi="OpenSans-Regular" w:cs="Times New Roman"/>
          <w:spacing w:val="2"/>
          <w:sz w:val="24"/>
          <w:szCs w:val="24"/>
          <w:lang w:val="es-CL"/>
        </w:rPr>
        <w:t>En este contexto, el año 2017, d</w:t>
      </w:r>
      <w:r w:rsidR="00D32015" w:rsidRPr="00E945D3">
        <w:rPr>
          <w:rFonts w:ascii="OpenSans-Regular" w:eastAsia="Times New Roman" w:hAnsi="OpenSans-Regular" w:cs="Times New Roman"/>
          <w:spacing w:val="2"/>
          <w:sz w:val="24"/>
          <w:szCs w:val="24"/>
          <w:lang w:val="es-CL"/>
        </w:rPr>
        <w:t>urante</w:t>
      </w:r>
      <w:r w:rsidR="002E0D66" w:rsidRPr="00E945D3">
        <w:rPr>
          <w:rFonts w:ascii="OpenSans-Regular" w:eastAsia="Times New Roman" w:hAnsi="OpenSans-Regular" w:cs="Times New Roman"/>
          <w:spacing w:val="2"/>
          <w:sz w:val="24"/>
          <w:szCs w:val="24"/>
          <w:lang w:val="es-CL"/>
        </w:rPr>
        <w:t xml:space="preserve"> la Fase </w:t>
      </w:r>
      <w:r w:rsidR="00D32015" w:rsidRPr="00E945D3">
        <w:rPr>
          <w:rFonts w:ascii="OpenSans-Regular" w:eastAsia="Times New Roman" w:hAnsi="OpenSans-Regular" w:cs="Times New Roman"/>
          <w:spacing w:val="2"/>
          <w:sz w:val="24"/>
          <w:szCs w:val="24"/>
          <w:lang w:val="es-CL"/>
        </w:rPr>
        <w:t xml:space="preserve">de Preparación </w:t>
      </w:r>
      <w:r w:rsidR="002E0D66" w:rsidRPr="00E945D3">
        <w:rPr>
          <w:rFonts w:ascii="OpenSans-Regular" w:eastAsia="Times New Roman" w:hAnsi="OpenSans-Regular" w:cs="Times New Roman"/>
          <w:spacing w:val="2"/>
          <w:sz w:val="24"/>
          <w:szCs w:val="24"/>
          <w:lang w:val="es-CL"/>
        </w:rPr>
        <w:t>de la Estrategia REDD+ de Guatemala</w:t>
      </w:r>
      <w:r w:rsidR="005F0145">
        <w:rPr>
          <w:rFonts w:ascii="OpenSans-Regular" w:eastAsia="Times New Roman" w:hAnsi="OpenSans-Regular" w:cs="Times New Roman"/>
          <w:spacing w:val="2"/>
          <w:sz w:val="24"/>
          <w:szCs w:val="24"/>
          <w:lang w:val="es-CL"/>
        </w:rPr>
        <w:t>,</w:t>
      </w:r>
      <w:r w:rsidR="002E0D66" w:rsidRPr="00E945D3">
        <w:rPr>
          <w:rFonts w:ascii="OpenSans-Regular" w:eastAsia="Times New Roman" w:hAnsi="OpenSans-Regular" w:cs="Times New Roman"/>
          <w:spacing w:val="2"/>
          <w:sz w:val="24"/>
          <w:szCs w:val="24"/>
          <w:lang w:val="es-CL"/>
        </w:rPr>
        <w:t xml:space="preserve"> se definieron indicadores para el monitoreo de </w:t>
      </w:r>
      <w:proofErr w:type="spellStart"/>
      <w:r w:rsidR="002E0D66" w:rsidRPr="00E945D3">
        <w:rPr>
          <w:rFonts w:ascii="OpenSans-Regular" w:eastAsia="Times New Roman" w:hAnsi="OpenSans-Regular" w:cs="Times New Roman"/>
          <w:spacing w:val="2"/>
          <w:sz w:val="24"/>
          <w:szCs w:val="24"/>
          <w:lang w:val="es-CL"/>
        </w:rPr>
        <w:t>co-beneficios</w:t>
      </w:r>
      <w:proofErr w:type="spellEnd"/>
      <w:r w:rsidR="002E0D66" w:rsidRPr="00E945D3">
        <w:rPr>
          <w:rFonts w:ascii="OpenSans-Regular" w:eastAsia="Times New Roman" w:hAnsi="OpenSans-Regular" w:cs="Times New Roman"/>
          <w:spacing w:val="2"/>
          <w:sz w:val="24"/>
          <w:szCs w:val="24"/>
          <w:lang w:val="es-CL"/>
        </w:rPr>
        <w:t xml:space="preserve"> mediante  4 talleres de retroalimentación y validación</w:t>
      </w:r>
      <w:r w:rsidR="00207E0F" w:rsidRPr="00E945D3">
        <w:rPr>
          <w:rFonts w:ascii="OpenSans-Regular" w:eastAsia="Times New Roman" w:hAnsi="OpenSans-Regular" w:cs="Times New Roman"/>
          <w:spacing w:val="2"/>
          <w:sz w:val="24"/>
          <w:szCs w:val="24"/>
          <w:lang w:val="es-CL"/>
        </w:rPr>
        <w:t xml:space="preserve">. </w:t>
      </w:r>
      <w:r w:rsidR="00C41A1E" w:rsidRPr="00E945D3">
        <w:rPr>
          <w:rFonts w:ascii="OpenSans-Regular" w:eastAsia="Times New Roman" w:hAnsi="OpenSans-Regular" w:cs="Times New Roman"/>
          <w:spacing w:val="2"/>
          <w:sz w:val="24"/>
          <w:szCs w:val="24"/>
          <w:lang w:val="es-CL"/>
        </w:rPr>
        <w:t xml:space="preserve">Mediante estos procesos de diálogo se priorizaron 3 tipos y 10 categorías de </w:t>
      </w:r>
      <w:proofErr w:type="spellStart"/>
      <w:r w:rsidRPr="00E945D3">
        <w:rPr>
          <w:rFonts w:ascii="OpenSans-Regular" w:eastAsia="Times New Roman" w:hAnsi="OpenSans-Regular" w:cs="Times New Roman"/>
          <w:spacing w:val="2"/>
          <w:sz w:val="24"/>
          <w:szCs w:val="24"/>
          <w:lang w:val="es-CL"/>
        </w:rPr>
        <w:t>co-</w:t>
      </w:r>
      <w:r w:rsidR="00C41A1E" w:rsidRPr="00E945D3">
        <w:rPr>
          <w:rFonts w:ascii="OpenSans-Regular" w:eastAsia="Times New Roman" w:hAnsi="OpenSans-Regular" w:cs="Times New Roman"/>
          <w:spacing w:val="2"/>
          <w:sz w:val="24"/>
          <w:szCs w:val="24"/>
          <w:lang w:val="es-CL"/>
        </w:rPr>
        <w:t>beneficios</w:t>
      </w:r>
      <w:proofErr w:type="spellEnd"/>
      <w:r w:rsidR="00C41A1E" w:rsidRPr="00E945D3">
        <w:rPr>
          <w:rFonts w:ascii="OpenSans-Regular" w:eastAsia="Times New Roman" w:hAnsi="OpenSans-Regular" w:cs="Times New Roman"/>
          <w:spacing w:val="2"/>
          <w:sz w:val="24"/>
          <w:szCs w:val="24"/>
          <w:lang w:val="es-CL"/>
        </w:rPr>
        <w:t xml:space="preserve"> (Tabla 1).</w:t>
      </w:r>
    </w:p>
    <w:tbl>
      <w:tblPr>
        <w:tblStyle w:val="Tablaconcuadrculaclara1"/>
        <w:tblW w:w="5000" w:type="pct"/>
        <w:tblLook w:val="04A0" w:firstRow="1" w:lastRow="0" w:firstColumn="1" w:lastColumn="0" w:noHBand="0" w:noVBand="1"/>
      </w:tblPr>
      <w:tblGrid>
        <w:gridCol w:w="2057"/>
        <w:gridCol w:w="6771"/>
      </w:tblGrid>
      <w:tr w:rsidR="00207E0F" w:rsidRPr="00C41A1E" w14:paraId="3D778133" w14:textId="77777777" w:rsidTr="00207E0F">
        <w:trPr>
          <w:trHeight w:val="600"/>
        </w:trPr>
        <w:tc>
          <w:tcPr>
            <w:tcW w:w="1165" w:type="pct"/>
            <w:shd w:val="clear" w:color="auto" w:fill="222A35"/>
            <w:vAlign w:val="center"/>
            <w:hideMark/>
          </w:tcPr>
          <w:p w14:paraId="3839DBBB" w14:textId="77777777" w:rsidR="00207E0F" w:rsidRPr="00E945D3" w:rsidRDefault="00207E0F" w:rsidP="00E945D3">
            <w:pPr>
              <w:spacing w:after="160" w:line="259" w:lineRule="auto"/>
              <w:jc w:val="both"/>
              <w:rPr>
                <w:rFonts w:ascii="OpenSans-Regular" w:eastAsia="Times New Roman" w:hAnsi="OpenSans-Regular" w:cs="Times New Roman"/>
                <w:spacing w:val="2"/>
                <w:sz w:val="20"/>
                <w:szCs w:val="20"/>
                <w:lang w:val="es-CL"/>
              </w:rPr>
            </w:pPr>
            <w:r w:rsidRPr="00E945D3">
              <w:rPr>
                <w:rFonts w:ascii="OpenSans-Regular" w:eastAsia="Times New Roman" w:hAnsi="OpenSans-Regular" w:cs="Times New Roman"/>
                <w:spacing w:val="2"/>
                <w:sz w:val="20"/>
                <w:szCs w:val="20"/>
                <w:lang w:val="es-CL"/>
              </w:rPr>
              <w:t>Tipo de Múltiples Beneficios</w:t>
            </w:r>
          </w:p>
        </w:tc>
        <w:tc>
          <w:tcPr>
            <w:tcW w:w="3835" w:type="pct"/>
            <w:shd w:val="clear" w:color="auto" w:fill="222A35"/>
            <w:vAlign w:val="center"/>
            <w:hideMark/>
          </w:tcPr>
          <w:p w14:paraId="1EAF5AFE" w14:textId="25E0616F" w:rsidR="00207E0F" w:rsidRPr="00E945D3" w:rsidRDefault="00207E0F" w:rsidP="00E945D3">
            <w:pPr>
              <w:spacing w:after="160" w:line="259" w:lineRule="auto"/>
              <w:jc w:val="both"/>
              <w:rPr>
                <w:rFonts w:ascii="OpenSans-Regular" w:eastAsia="Times New Roman" w:hAnsi="OpenSans-Regular" w:cs="Times New Roman"/>
                <w:spacing w:val="2"/>
                <w:sz w:val="20"/>
                <w:szCs w:val="20"/>
                <w:lang w:val="es-CL"/>
              </w:rPr>
            </w:pPr>
            <w:r w:rsidRPr="00E945D3">
              <w:rPr>
                <w:rFonts w:ascii="OpenSans-Regular" w:eastAsia="Times New Roman" w:hAnsi="OpenSans-Regular" w:cs="Times New Roman"/>
                <w:spacing w:val="2"/>
                <w:sz w:val="20"/>
                <w:szCs w:val="20"/>
                <w:lang w:val="es-CL"/>
              </w:rPr>
              <w:t>Categoría de Co-Beneficios</w:t>
            </w:r>
          </w:p>
        </w:tc>
      </w:tr>
      <w:tr w:rsidR="00207E0F" w:rsidRPr="00C41A1E" w14:paraId="1C6D90CF" w14:textId="77777777" w:rsidTr="00207E0F">
        <w:trPr>
          <w:trHeight w:val="405"/>
        </w:trPr>
        <w:tc>
          <w:tcPr>
            <w:tcW w:w="1165" w:type="pct"/>
            <w:vMerge w:val="restart"/>
            <w:hideMark/>
          </w:tcPr>
          <w:p w14:paraId="2CA45FF0" w14:textId="77777777" w:rsidR="00207E0F" w:rsidRPr="00E945D3" w:rsidRDefault="00207E0F" w:rsidP="00E945D3">
            <w:pPr>
              <w:spacing w:after="160" w:line="259" w:lineRule="auto"/>
              <w:jc w:val="both"/>
              <w:rPr>
                <w:rFonts w:ascii="OpenSans-Regular" w:eastAsia="Times New Roman" w:hAnsi="OpenSans-Regular" w:cs="Times New Roman"/>
                <w:spacing w:val="2"/>
                <w:sz w:val="20"/>
                <w:szCs w:val="20"/>
                <w:lang w:val="es-CL"/>
              </w:rPr>
            </w:pPr>
            <w:r w:rsidRPr="00E945D3">
              <w:rPr>
                <w:rFonts w:ascii="OpenSans-Regular" w:eastAsia="Times New Roman" w:hAnsi="OpenSans-Regular" w:cs="Times New Roman"/>
                <w:spacing w:val="2"/>
                <w:sz w:val="20"/>
                <w:szCs w:val="20"/>
                <w:lang w:val="es-CL"/>
              </w:rPr>
              <w:t>Beneficios Ambientales</w:t>
            </w:r>
          </w:p>
        </w:tc>
        <w:tc>
          <w:tcPr>
            <w:tcW w:w="3835" w:type="pct"/>
            <w:hideMark/>
          </w:tcPr>
          <w:p w14:paraId="39014EEF" w14:textId="77777777" w:rsidR="00207E0F" w:rsidRPr="00E945D3" w:rsidRDefault="00207E0F" w:rsidP="00E945D3">
            <w:pPr>
              <w:pStyle w:val="Prrafodelista"/>
              <w:numPr>
                <w:ilvl w:val="0"/>
                <w:numId w:val="13"/>
              </w:numPr>
              <w:jc w:val="both"/>
              <w:rPr>
                <w:rFonts w:ascii="OpenSans-Regular" w:eastAsia="Times New Roman" w:hAnsi="OpenSans-Regular" w:cs="Times New Roman"/>
                <w:spacing w:val="2"/>
                <w:sz w:val="20"/>
                <w:szCs w:val="20"/>
                <w:lang w:val="es-CL"/>
              </w:rPr>
            </w:pPr>
            <w:r w:rsidRPr="00E945D3">
              <w:rPr>
                <w:rFonts w:ascii="OpenSans-Regular" w:eastAsia="Times New Roman" w:hAnsi="OpenSans-Regular" w:cs="Times New Roman"/>
                <w:spacing w:val="2"/>
                <w:sz w:val="20"/>
                <w:szCs w:val="20"/>
                <w:lang w:val="es-CL"/>
              </w:rPr>
              <w:t>Conservación y uso sostenible de la Diversidad Biológica</w:t>
            </w:r>
          </w:p>
        </w:tc>
      </w:tr>
      <w:tr w:rsidR="00207E0F" w:rsidRPr="00C41A1E" w14:paraId="19CADEDD" w14:textId="77777777" w:rsidTr="00207E0F">
        <w:trPr>
          <w:trHeight w:val="300"/>
        </w:trPr>
        <w:tc>
          <w:tcPr>
            <w:tcW w:w="1165" w:type="pct"/>
            <w:vMerge/>
            <w:hideMark/>
          </w:tcPr>
          <w:p w14:paraId="325909F4" w14:textId="77777777" w:rsidR="00207E0F" w:rsidRPr="00E945D3" w:rsidRDefault="00207E0F" w:rsidP="00E945D3">
            <w:pPr>
              <w:spacing w:after="160" w:line="259" w:lineRule="auto"/>
              <w:jc w:val="both"/>
              <w:rPr>
                <w:rFonts w:ascii="OpenSans-Regular" w:eastAsia="Times New Roman" w:hAnsi="OpenSans-Regular" w:cs="Times New Roman"/>
                <w:spacing w:val="2"/>
                <w:sz w:val="20"/>
                <w:szCs w:val="20"/>
                <w:lang w:val="es-CL"/>
              </w:rPr>
            </w:pPr>
          </w:p>
        </w:tc>
        <w:tc>
          <w:tcPr>
            <w:tcW w:w="3835" w:type="pct"/>
            <w:hideMark/>
          </w:tcPr>
          <w:p w14:paraId="1CDF9B54" w14:textId="77777777" w:rsidR="00207E0F" w:rsidRPr="00E945D3" w:rsidRDefault="00207E0F" w:rsidP="00E945D3">
            <w:pPr>
              <w:pStyle w:val="Prrafodelista"/>
              <w:numPr>
                <w:ilvl w:val="0"/>
                <w:numId w:val="13"/>
              </w:numPr>
              <w:jc w:val="both"/>
              <w:rPr>
                <w:rFonts w:ascii="OpenSans-Regular" w:eastAsia="Times New Roman" w:hAnsi="OpenSans-Regular" w:cs="Times New Roman"/>
                <w:spacing w:val="2"/>
                <w:sz w:val="20"/>
                <w:szCs w:val="20"/>
                <w:lang w:val="es-CL"/>
              </w:rPr>
            </w:pPr>
            <w:r w:rsidRPr="00E945D3">
              <w:rPr>
                <w:rFonts w:ascii="OpenSans-Regular" w:eastAsia="Times New Roman" w:hAnsi="OpenSans-Regular" w:cs="Times New Roman"/>
                <w:spacing w:val="2"/>
                <w:sz w:val="20"/>
                <w:szCs w:val="20"/>
                <w:lang w:val="es-CL"/>
              </w:rPr>
              <w:t>Mejoramiento del Recurso Hídrico</w:t>
            </w:r>
          </w:p>
        </w:tc>
      </w:tr>
      <w:tr w:rsidR="00207E0F" w:rsidRPr="00C41A1E" w14:paraId="165831C9" w14:textId="77777777" w:rsidTr="00207E0F">
        <w:trPr>
          <w:trHeight w:val="300"/>
        </w:trPr>
        <w:tc>
          <w:tcPr>
            <w:tcW w:w="1165" w:type="pct"/>
            <w:vMerge/>
            <w:hideMark/>
          </w:tcPr>
          <w:p w14:paraId="16D47A76" w14:textId="77777777" w:rsidR="00207E0F" w:rsidRPr="00E945D3" w:rsidRDefault="00207E0F" w:rsidP="00E945D3">
            <w:pPr>
              <w:spacing w:after="160" w:line="259" w:lineRule="auto"/>
              <w:jc w:val="both"/>
              <w:rPr>
                <w:rFonts w:ascii="OpenSans-Regular" w:eastAsia="Times New Roman" w:hAnsi="OpenSans-Regular" w:cs="Times New Roman"/>
                <w:spacing w:val="2"/>
                <w:sz w:val="20"/>
                <w:szCs w:val="20"/>
                <w:lang w:val="es-CL"/>
              </w:rPr>
            </w:pPr>
          </w:p>
        </w:tc>
        <w:tc>
          <w:tcPr>
            <w:tcW w:w="3835" w:type="pct"/>
            <w:hideMark/>
          </w:tcPr>
          <w:p w14:paraId="706AC0DA" w14:textId="77777777" w:rsidR="00207E0F" w:rsidRPr="00E945D3" w:rsidRDefault="00207E0F" w:rsidP="00E945D3">
            <w:pPr>
              <w:pStyle w:val="Prrafodelista"/>
              <w:numPr>
                <w:ilvl w:val="0"/>
                <w:numId w:val="13"/>
              </w:numPr>
              <w:jc w:val="both"/>
              <w:rPr>
                <w:rFonts w:ascii="OpenSans-Regular" w:eastAsia="Times New Roman" w:hAnsi="OpenSans-Regular" w:cs="Times New Roman"/>
                <w:spacing w:val="2"/>
                <w:sz w:val="20"/>
                <w:szCs w:val="20"/>
                <w:lang w:val="es-CL"/>
              </w:rPr>
            </w:pPr>
            <w:r w:rsidRPr="00E945D3">
              <w:rPr>
                <w:rFonts w:ascii="OpenSans-Regular" w:eastAsia="Times New Roman" w:hAnsi="OpenSans-Regular" w:cs="Times New Roman"/>
                <w:spacing w:val="2"/>
                <w:sz w:val="20"/>
                <w:szCs w:val="20"/>
                <w:lang w:val="es-CL"/>
              </w:rPr>
              <w:t>Mejoramiento del Recurso Edáfico</w:t>
            </w:r>
          </w:p>
        </w:tc>
      </w:tr>
      <w:tr w:rsidR="00207E0F" w:rsidRPr="00C41A1E" w14:paraId="7BA85600" w14:textId="77777777" w:rsidTr="00207E0F">
        <w:trPr>
          <w:trHeight w:val="300"/>
        </w:trPr>
        <w:tc>
          <w:tcPr>
            <w:tcW w:w="1165" w:type="pct"/>
            <w:vMerge/>
            <w:hideMark/>
          </w:tcPr>
          <w:p w14:paraId="507AB30D" w14:textId="77777777" w:rsidR="00207E0F" w:rsidRPr="00E945D3" w:rsidRDefault="00207E0F" w:rsidP="00E945D3">
            <w:pPr>
              <w:spacing w:after="160" w:line="259" w:lineRule="auto"/>
              <w:jc w:val="both"/>
              <w:rPr>
                <w:rFonts w:ascii="OpenSans-Regular" w:eastAsia="Times New Roman" w:hAnsi="OpenSans-Regular" w:cs="Times New Roman"/>
                <w:spacing w:val="2"/>
                <w:sz w:val="20"/>
                <w:szCs w:val="20"/>
                <w:lang w:val="es-CL"/>
              </w:rPr>
            </w:pPr>
          </w:p>
        </w:tc>
        <w:tc>
          <w:tcPr>
            <w:tcW w:w="3835" w:type="pct"/>
            <w:hideMark/>
          </w:tcPr>
          <w:p w14:paraId="0E33DB0F" w14:textId="77777777" w:rsidR="00207E0F" w:rsidRPr="00E945D3" w:rsidRDefault="00207E0F" w:rsidP="00E945D3">
            <w:pPr>
              <w:pStyle w:val="Prrafodelista"/>
              <w:numPr>
                <w:ilvl w:val="0"/>
                <w:numId w:val="13"/>
              </w:numPr>
              <w:jc w:val="both"/>
              <w:rPr>
                <w:rFonts w:ascii="OpenSans-Regular" w:eastAsia="Times New Roman" w:hAnsi="OpenSans-Regular" w:cs="Times New Roman"/>
                <w:spacing w:val="2"/>
                <w:sz w:val="20"/>
                <w:szCs w:val="20"/>
                <w:lang w:val="es-CL"/>
              </w:rPr>
            </w:pPr>
            <w:r w:rsidRPr="00E945D3">
              <w:rPr>
                <w:rFonts w:ascii="OpenSans-Regular" w:eastAsia="Times New Roman" w:hAnsi="OpenSans-Regular" w:cs="Times New Roman"/>
                <w:spacing w:val="2"/>
                <w:sz w:val="20"/>
                <w:szCs w:val="20"/>
                <w:lang w:val="es-CL"/>
              </w:rPr>
              <w:t>Provisión de productos maderables y no maderables</w:t>
            </w:r>
          </w:p>
        </w:tc>
      </w:tr>
      <w:tr w:rsidR="00207E0F" w:rsidRPr="00C41A1E" w14:paraId="5A457AD9" w14:textId="77777777" w:rsidTr="00207E0F">
        <w:trPr>
          <w:trHeight w:val="510"/>
        </w:trPr>
        <w:tc>
          <w:tcPr>
            <w:tcW w:w="1165" w:type="pct"/>
            <w:vMerge w:val="restart"/>
            <w:hideMark/>
          </w:tcPr>
          <w:p w14:paraId="03F831C5" w14:textId="77777777" w:rsidR="00207E0F" w:rsidRPr="00E945D3" w:rsidRDefault="00207E0F" w:rsidP="00E945D3">
            <w:pPr>
              <w:spacing w:after="160" w:line="259" w:lineRule="auto"/>
              <w:jc w:val="both"/>
              <w:rPr>
                <w:rFonts w:ascii="OpenSans-Regular" w:eastAsia="Times New Roman" w:hAnsi="OpenSans-Regular" w:cs="Times New Roman"/>
                <w:spacing w:val="2"/>
                <w:sz w:val="20"/>
                <w:szCs w:val="20"/>
                <w:lang w:val="es-CL"/>
              </w:rPr>
            </w:pPr>
            <w:r w:rsidRPr="00E945D3">
              <w:rPr>
                <w:rFonts w:ascii="OpenSans-Regular" w:eastAsia="Times New Roman" w:hAnsi="OpenSans-Regular" w:cs="Times New Roman"/>
                <w:spacing w:val="2"/>
                <w:sz w:val="20"/>
                <w:szCs w:val="20"/>
                <w:lang w:val="es-CL"/>
              </w:rPr>
              <w:t>Beneficios Socio Económicos</w:t>
            </w:r>
          </w:p>
        </w:tc>
        <w:tc>
          <w:tcPr>
            <w:tcW w:w="3835" w:type="pct"/>
            <w:hideMark/>
          </w:tcPr>
          <w:p w14:paraId="6399F81B" w14:textId="77777777" w:rsidR="00207E0F" w:rsidRPr="00E945D3" w:rsidRDefault="00207E0F" w:rsidP="00E945D3">
            <w:pPr>
              <w:pStyle w:val="Prrafodelista"/>
              <w:numPr>
                <w:ilvl w:val="0"/>
                <w:numId w:val="13"/>
              </w:numPr>
              <w:jc w:val="both"/>
              <w:rPr>
                <w:rFonts w:ascii="OpenSans-Regular" w:eastAsia="Times New Roman" w:hAnsi="OpenSans-Regular" w:cs="Times New Roman"/>
                <w:spacing w:val="2"/>
                <w:sz w:val="20"/>
                <w:szCs w:val="20"/>
                <w:lang w:val="es-CL"/>
              </w:rPr>
            </w:pPr>
            <w:r w:rsidRPr="00E945D3">
              <w:rPr>
                <w:rFonts w:ascii="OpenSans-Regular" w:eastAsia="Times New Roman" w:hAnsi="OpenSans-Regular" w:cs="Times New Roman"/>
                <w:spacing w:val="2"/>
                <w:sz w:val="20"/>
                <w:szCs w:val="20"/>
                <w:lang w:val="es-CL"/>
              </w:rPr>
              <w:t>Mejora en los medios de vida (Ambiental, Cultural, Social y Económico)</w:t>
            </w:r>
          </w:p>
        </w:tc>
      </w:tr>
      <w:tr w:rsidR="00207E0F" w:rsidRPr="00C41A1E" w14:paraId="0569F298" w14:textId="77777777" w:rsidTr="00207E0F">
        <w:trPr>
          <w:trHeight w:val="315"/>
        </w:trPr>
        <w:tc>
          <w:tcPr>
            <w:tcW w:w="1165" w:type="pct"/>
            <w:vMerge/>
            <w:hideMark/>
          </w:tcPr>
          <w:p w14:paraId="3686AC1A" w14:textId="77777777" w:rsidR="00207E0F" w:rsidRPr="00E945D3" w:rsidRDefault="00207E0F" w:rsidP="00E945D3">
            <w:pPr>
              <w:spacing w:after="160" w:line="259" w:lineRule="auto"/>
              <w:jc w:val="both"/>
              <w:rPr>
                <w:rFonts w:ascii="OpenSans-Regular" w:eastAsia="Times New Roman" w:hAnsi="OpenSans-Regular" w:cs="Times New Roman"/>
                <w:spacing w:val="2"/>
                <w:sz w:val="20"/>
                <w:szCs w:val="20"/>
                <w:lang w:val="es-CL"/>
              </w:rPr>
            </w:pPr>
          </w:p>
        </w:tc>
        <w:tc>
          <w:tcPr>
            <w:tcW w:w="3835" w:type="pct"/>
            <w:hideMark/>
          </w:tcPr>
          <w:p w14:paraId="6785300B" w14:textId="77777777" w:rsidR="00207E0F" w:rsidRPr="00E945D3" w:rsidRDefault="00207E0F" w:rsidP="00E945D3">
            <w:pPr>
              <w:pStyle w:val="Prrafodelista"/>
              <w:numPr>
                <w:ilvl w:val="0"/>
                <w:numId w:val="13"/>
              </w:numPr>
              <w:jc w:val="both"/>
              <w:rPr>
                <w:rFonts w:ascii="OpenSans-Regular" w:eastAsia="Times New Roman" w:hAnsi="OpenSans-Regular" w:cs="Times New Roman"/>
                <w:spacing w:val="2"/>
                <w:sz w:val="20"/>
                <w:szCs w:val="20"/>
                <w:lang w:val="es-CL"/>
              </w:rPr>
            </w:pPr>
            <w:r w:rsidRPr="00E945D3">
              <w:rPr>
                <w:rFonts w:ascii="OpenSans-Regular" w:eastAsia="Times New Roman" w:hAnsi="OpenSans-Regular" w:cs="Times New Roman"/>
                <w:spacing w:val="2"/>
                <w:sz w:val="20"/>
                <w:szCs w:val="20"/>
                <w:lang w:val="es-CL"/>
              </w:rPr>
              <w:t>Fortalecimiento de Capacidades (Educación y Capacitación)</w:t>
            </w:r>
          </w:p>
        </w:tc>
      </w:tr>
      <w:tr w:rsidR="00207E0F" w:rsidRPr="00C41A1E" w14:paraId="6611DB68" w14:textId="77777777" w:rsidTr="00207E0F">
        <w:trPr>
          <w:trHeight w:val="540"/>
        </w:trPr>
        <w:tc>
          <w:tcPr>
            <w:tcW w:w="1165" w:type="pct"/>
            <w:vMerge/>
            <w:hideMark/>
          </w:tcPr>
          <w:p w14:paraId="4C8C6DAF" w14:textId="77777777" w:rsidR="00207E0F" w:rsidRPr="00E945D3" w:rsidRDefault="00207E0F" w:rsidP="00E945D3">
            <w:pPr>
              <w:spacing w:after="160" w:line="259" w:lineRule="auto"/>
              <w:jc w:val="both"/>
              <w:rPr>
                <w:rFonts w:ascii="OpenSans-Regular" w:eastAsia="Times New Roman" w:hAnsi="OpenSans-Regular" w:cs="Times New Roman"/>
                <w:spacing w:val="2"/>
                <w:sz w:val="20"/>
                <w:szCs w:val="20"/>
                <w:lang w:val="es-CL"/>
              </w:rPr>
            </w:pPr>
          </w:p>
        </w:tc>
        <w:tc>
          <w:tcPr>
            <w:tcW w:w="3835" w:type="pct"/>
            <w:hideMark/>
          </w:tcPr>
          <w:p w14:paraId="4258C2D1" w14:textId="77777777" w:rsidR="00207E0F" w:rsidRPr="00E945D3" w:rsidRDefault="00207E0F" w:rsidP="00E945D3">
            <w:pPr>
              <w:pStyle w:val="Prrafodelista"/>
              <w:numPr>
                <w:ilvl w:val="0"/>
                <w:numId w:val="13"/>
              </w:numPr>
              <w:jc w:val="both"/>
              <w:rPr>
                <w:rFonts w:ascii="OpenSans-Regular" w:eastAsia="Times New Roman" w:hAnsi="OpenSans-Regular" w:cs="Times New Roman"/>
                <w:spacing w:val="2"/>
                <w:sz w:val="20"/>
                <w:szCs w:val="20"/>
                <w:lang w:val="es-CL"/>
              </w:rPr>
            </w:pPr>
            <w:r w:rsidRPr="00E945D3">
              <w:rPr>
                <w:rFonts w:ascii="OpenSans-Regular" w:eastAsia="Times New Roman" w:hAnsi="OpenSans-Regular" w:cs="Times New Roman"/>
                <w:spacing w:val="2"/>
                <w:sz w:val="20"/>
                <w:szCs w:val="20"/>
                <w:lang w:val="es-CL"/>
              </w:rPr>
              <w:t>Inclusión de sectores vulnerables (Pueblos Indígenas, comunidades locales, mujeres y jóvenes)</w:t>
            </w:r>
          </w:p>
        </w:tc>
      </w:tr>
      <w:tr w:rsidR="00207E0F" w:rsidRPr="00C41A1E" w14:paraId="7EE06CC7" w14:textId="77777777" w:rsidTr="00207E0F">
        <w:trPr>
          <w:trHeight w:val="345"/>
        </w:trPr>
        <w:tc>
          <w:tcPr>
            <w:tcW w:w="1165" w:type="pct"/>
            <w:vMerge/>
            <w:hideMark/>
          </w:tcPr>
          <w:p w14:paraId="561B164C" w14:textId="77777777" w:rsidR="00207E0F" w:rsidRPr="00E945D3" w:rsidRDefault="00207E0F" w:rsidP="00E945D3">
            <w:pPr>
              <w:spacing w:after="160" w:line="259" w:lineRule="auto"/>
              <w:jc w:val="both"/>
              <w:rPr>
                <w:rFonts w:ascii="OpenSans-Regular" w:eastAsia="Times New Roman" w:hAnsi="OpenSans-Regular" w:cs="Times New Roman"/>
                <w:spacing w:val="2"/>
                <w:sz w:val="20"/>
                <w:szCs w:val="20"/>
                <w:lang w:val="es-CL"/>
              </w:rPr>
            </w:pPr>
          </w:p>
        </w:tc>
        <w:tc>
          <w:tcPr>
            <w:tcW w:w="3835" w:type="pct"/>
            <w:hideMark/>
          </w:tcPr>
          <w:p w14:paraId="68334291" w14:textId="77777777" w:rsidR="00207E0F" w:rsidRPr="00E945D3" w:rsidRDefault="00207E0F" w:rsidP="00E945D3">
            <w:pPr>
              <w:pStyle w:val="Prrafodelista"/>
              <w:numPr>
                <w:ilvl w:val="0"/>
                <w:numId w:val="13"/>
              </w:numPr>
              <w:jc w:val="both"/>
              <w:rPr>
                <w:rFonts w:ascii="OpenSans-Regular" w:eastAsia="Times New Roman" w:hAnsi="OpenSans-Regular" w:cs="Times New Roman"/>
                <w:spacing w:val="2"/>
                <w:sz w:val="20"/>
                <w:szCs w:val="20"/>
                <w:lang w:val="es-CL"/>
              </w:rPr>
            </w:pPr>
            <w:r w:rsidRPr="00E945D3">
              <w:rPr>
                <w:rFonts w:ascii="OpenSans-Regular" w:eastAsia="Times New Roman" w:hAnsi="OpenSans-Regular" w:cs="Times New Roman"/>
                <w:spacing w:val="2"/>
                <w:sz w:val="20"/>
                <w:szCs w:val="20"/>
                <w:lang w:val="es-CL"/>
              </w:rPr>
              <w:t>Fortalecimiento de la gobernanza forestal.</w:t>
            </w:r>
          </w:p>
        </w:tc>
      </w:tr>
      <w:tr w:rsidR="00207E0F" w:rsidRPr="00C41A1E" w14:paraId="1ADA160C" w14:textId="77777777" w:rsidTr="00207E0F">
        <w:trPr>
          <w:trHeight w:val="285"/>
        </w:trPr>
        <w:tc>
          <w:tcPr>
            <w:tcW w:w="1165" w:type="pct"/>
            <w:vMerge/>
            <w:hideMark/>
          </w:tcPr>
          <w:p w14:paraId="02BA001D" w14:textId="77777777" w:rsidR="00207E0F" w:rsidRPr="00E945D3" w:rsidRDefault="00207E0F" w:rsidP="00E945D3">
            <w:pPr>
              <w:spacing w:after="160" w:line="259" w:lineRule="auto"/>
              <w:jc w:val="both"/>
              <w:rPr>
                <w:rFonts w:ascii="OpenSans-Regular" w:eastAsia="Times New Roman" w:hAnsi="OpenSans-Regular" w:cs="Times New Roman"/>
                <w:spacing w:val="2"/>
                <w:sz w:val="20"/>
                <w:szCs w:val="20"/>
                <w:lang w:val="es-CL"/>
              </w:rPr>
            </w:pPr>
          </w:p>
        </w:tc>
        <w:tc>
          <w:tcPr>
            <w:tcW w:w="3835" w:type="pct"/>
            <w:hideMark/>
          </w:tcPr>
          <w:p w14:paraId="34A308B7" w14:textId="77777777" w:rsidR="00207E0F" w:rsidRPr="00E945D3" w:rsidRDefault="00207E0F" w:rsidP="00E945D3">
            <w:pPr>
              <w:pStyle w:val="Prrafodelista"/>
              <w:numPr>
                <w:ilvl w:val="0"/>
                <w:numId w:val="13"/>
              </w:numPr>
              <w:jc w:val="both"/>
              <w:rPr>
                <w:rFonts w:ascii="OpenSans-Regular" w:eastAsia="Times New Roman" w:hAnsi="OpenSans-Regular" w:cs="Times New Roman"/>
                <w:spacing w:val="2"/>
                <w:sz w:val="20"/>
                <w:szCs w:val="20"/>
                <w:lang w:val="es-CL"/>
              </w:rPr>
            </w:pPr>
            <w:r w:rsidRPr="00E945D3">
              <w:rPr>
                <w:rFonts w:ascii="OpenSans-Regular" w:eastAsia="Times New Roman" w:hAnsi="OpenSans-Regular" w:cs="Times New Roman"/>
                <w:spacing w:val="2"/>
                <w:sz w:val="20"/>
                <w:szCs w:val="20"/>
                <w:lang w:val="es-CL"/>
              </w:rPr>
              <w:t xml:space="preserve">Aportes a la Seguridad Alimentaria y Nutricional </w:t>
            </w:r>
          </w:p>
        </w:tc>
      </w:tr>
      <w:tr w:rsidR="00207E0F" w:rsidRPr="00C41A1E" w14:paraId="3661E406" w14:textId="77777777" w:rsidTr="00207E0F">
        <w:trPr>
          <w:trHeight w:val="300"/>
        </w:trPr>
        <w:tc>
          <w:tcPr>
            <w:tcW w:w="1165" w:type="pct"/>
            <w:hideMark/>
          </w:tcPr>
          <w:p w14:paraId="3B8C7F09" w14:textId="77777777" w:rsidR="00207E0F" w:rsidRPr="00E945D3" w:rsidRDefault="00207E0F" w:rsidP="00E945D3">
            <w:pPr>
              <w:spacing w:after="160" w:line="259" w:lineRule="auto"/>
              <w:jc w:val="both"/>
              <w:rPr>
                <w:rFonts w:ascii="OpenSans-Regular" w:eastAsia="Times New Roman" w:hAnsi="OpenSans-Regular" w:cs="Times New Roman"/>
                <w:spacing w:val="2"/>
                <w:sz w:val="20"/>
                <w:szCs w:val="20"/>
                <w:lang w:val="es-CL"/>
              </w:rPr>
            </w:pPr>
            <w:r w:rsidRPr="00E945D3">
              <w:rPr>
                <w:rFonts w:ascii="OpenSans-Regular" w:eastAsia="Times New Roman" w:hAnsi="OpenSans-Regular" w:cs="Times New Roman"/>
                <w:spacing w:val="2"/>
                <w:sz w:val="20"/>
                <w:szCs w:val="20"/>
                <w:lang w:val="es-CL"/>
              </w:rPr>
              <w:t>Beneficios Culturales y Tradicionales</w:t>
            </w:r>
          </w:p>
        </w:tc>
        <w:tc>
          <w:tcPr>
            <w:tcW w:w="3835" w:type="pct"/>
            <w:hideMark/>
          </w:tcPr>
          <w:p w14:paraId="17F24A59" w14:textId="77777777" w:rsidR="00207E0F" w:rsidRPr="00E945D3" w:rsidRDefault="00207E0F" w:rsidP="00E945D3">
            <w:pPr>
              <w:pStyle w:val="Prrafodelista"/>
              <w:numPr>
                <w:ilvl w:val="0"/>
                <w:numId w:val="13"/>
              </w:numPr>
              <w:jc w:val="both"/>
              <w:rPr>
                <w:rFonts w:ascii="OpenSans-Regular" w:eastAsia="Times New Roman" w:hAnsi="OpenSans-Regular" w:cs="Times New Roman"/>
                <w:spacing w:val="2"/>
                <w:sz w:val="20"/>
                <w:szCs w:val="20"/>
                <w:lang w:val="es-CL"/>
              </w:rPr>
            </w:pPr>
            <w:r w:rsidRPr="00E945D3">
              <w:rPr>
                <w:rFonts w:ascii="OpenSans-Regular" w:eastAsia="Times New Roman" w:hAnsi="OpenSans-Regular" w:cs="Times New Roman"/>
                <w:spacing w:val="2"/>
                <w:sz w:val="20"/>
                <w:szCs w:val="20"/>
                <w:lang w:val="es-CL"/>
              </w:rPr>
              <w:t>Respeto y valoración de conocimientos ancestrales y tradicionales</w:t>
            </w:r>
          </w:p>
        </w:tc>
      </w:tr>
    </w:tbl>
    <w:p w14:paraId="21F10F9E" w14:textId="47DA4C7F" w:rsidR="00C41A1E" w:rsidRDefault="00C41A1E" w:rsidP="002E0D66">
      <w:pPr>
        <w:jc w:val="both"/>
        <w:rPr>
          <w:rFonts w:ascii="Calibri" w:eastAsia="Calibri" w:hAnsi="Calibri" w:cs="Times New Roman"/>
          <w:lang w:val="es-HN"/>
        </w:rPr>
      </w:pPr>
    </w:p>
    <w:p w14:paraId="1CB57789" w14:textId="0DAE618A" w:rsidR="001C029A" w:rsidRPr="00E945D3" w:rsidRDefault="001C029A" w:rsidP="002E0D66">
      <w:pPr>
        <w:jc w:val="both"/>
        <w:rPr>
          <w:rFonts w:ascii="OpenSans-Regular" w:eastAsia="Times New Roman" w:hAnsi="OpenSans-Regular" w:cs="Times New Roman"/>
          <w:spacing w:val="2"/>
          <w:sz w:val="24"/>
          <w:szCs w:val="24"/>
          <w:lang w:val="es-CL"/>
        </w:rPr>
      </w:pPr>
      <w:r w:rsidRPr="00E945D3">
        <w:rPr>
          <w:rFonts w:ascii="OpenSans-Regular" w:eastAsia="Times New Roman" w:hAnsi="OpenSans-Regular" w:cs="Times New Roman"/>
          <w:spacing w:val="2"/>
          <w:sz w:val="24"/>
          <w:szCs w:val="24"/>
          <w:lang w:val="es-CL"/>
        </w:rPr>
        <w:lastRenderedPageBreak/>
        <w:t xml:space="preserve">De estos beneficios propuestos, el Sistema de </w:t>
      </w:r>
      <w:proofErr w:type="spellStart"/>
      <w:r w:rsidRPr="00E945D3">
        <w:rPr>
          <w:rFonts w:ascii="OpenSans-Regular" w:eastAsia="Times New Roman" w:hAnsi="OpenSans-Regular" w:cs="Times New Roman"/>
          <w:spacing w:val="2"/>
          <w:sz w:val="24"/>
          <w:szCs w:val="24"/>
          <w:lang w:val="es-CL"/>
        </w:rPr>
        <w:t>Co-beneficios</w:t>
      </w:r>
      <w:proofErr w:type="spellEnd"/>
      <w:r w:rsidRPr="00E945D3">
        <w:rPr>
          <w:rFonts w:ascii="OpenSans-Regular" w:eastAsia="Times New Roman" w:hAnsi="OpenSans-Regular" w:cs="Times New Roman"/>
          <w:spacing w:val="2"/>
          <w:sz w:val="24"/>
          <w:szCs w:val="24"/>
          <w:lang w:val="es-CL"/>
        </w:rPr>
        <w:t xml:space="preserve"> aborda los primeros 2 tipos y las primeras 9 categorías, mientras que los beneficios culturales y tradicionales son abordados en el SIS.</w:t>
      </w:r>
    </w:p>
    <w:p w14:paraId="7F939100" w14:textId="79E2B6DC" w:rsidR="00702C42" w:rsidRPr="00E945D3" w:rsidRDefault="001C029A" w:rsidP="002E0D66">
      <w:pPr>
        <w:jc w:val="both"/>
        <w:rPr>
          <w:rFonts w:ascii="OpenSans-Regular" w:eastAsia="Times New Roman" w:hAnsi="OpenSans-Regular" w:cs="Times New Roman"/>
          <w:spacing w:val="2"/>
          <w:sz w:val="24"/>
          <w:szCs w:val="24"/>
          <w:lang w:val="es-CL"/>
        </w:rPr>
      </w:pPr>
      <w:r w:rsidRPr="00E945D3">
        <w:rPr>
          <w:rFonts w:ascii="OpenSans-Regular" w:eastAsia="Times New Roman" w:hAnsi="OpenSans-Regular" w:cs="Times New Roman"/>
          <w:spacing w:val="2"/>
          <w:sz w:val="24"/>
          <w:szCs w:val="24"/>
          <w:lang w:val="es-CL"/>
        </w:rPr>
        <w:t xml:space="preserve">Durante la Fase I, </w:t>
      </w:r>
      <w:r w:rsidR="00702C42" w:rsidRPr="00E945D3">
        <w:rPr>
          <w:rFonts w:ascii="OpenSans-Regular" w:eastAsia="Times New Roman" w:hAnsi="OpenSans-Regular" w:cs="Times New Roman"/>
          <w:spacing w:val="2"/>
          <w:sz w:val="24"/>
          <w:szCs w:val="24"/>
          <w:lang w:val="es-CL"/>
        </w:rPr>
        <w:t xml:space="preserve">se </w:t>
      </w:r>
      <w:r w:rsidRPr="00E945D3">
        <w:rPr>
          <w:rFonts w:ascii="OpenSans-Regular" w:eastAsia="Times New Roman" w:hAnsi="OpenSans-Regular" w:cs="Times New Roman"/>
          <w:spacing w:val="2"/>
          <w:sz w:val="24"/>
          <w:szCs w:val="24"/>
          <w:lang w:val="es-CL"/>
        </w:rPr>
        <w:t>desarrolló de manera participativa</w:t>
      </w:r>
      <w:r w:rsidR="00702C42" w:rsidRPr="00E945D3">
        <w:rPr>
          <w:rFonts w:ascii="OpenSans-Regular" w:eastAsia="Times New Roman" w:hAnsi="OpenSans-Regular" w:cs="Times New Roman"/>
          <w:spacing w:val="2"/>
          <w:sz w:val="24"/>
          <w:szCs w:val="24"/>
          <w:lang w:val="es-CL"/>
        </w:rPr>
        <w:t xml:space="preserve"> una lista inicial con más de 50 indicadores</w:t>
      </w:r>
      <w:r w:rsidRPr="00E945D3">
        <w:rPr>
          <w:rFonts w:ascii="OpenSans-Regular" w:eastAsia="Times New Roman" w:hAnsi="OpenSans-Regular" w:cs="Times New Roman"/>
          <w:spacing w:val="2"/>
          <w:sz w:val="24"/>
          <w:szCs w:val="24"/>
          <w:lang w:val="es-CL"/>
        </w:rPr>
        <w:t>.</w:t>
      </w:r>
    </w:p>
    <w:p w14:paraId="3D7FA7E1" w14:textId="7BDB0812" w:rsidR="00702C42" w:rsidRDefault="0012782A" w:rsidP="002E0D66">
      <w:pPr>
        <w:jc w:val="both"/>
        <w:rPr>
          <w:rStyle w:val="Hipervnculo"/>
          <w:rFonts w:ascii="Calibri" w:eastAsia="Calibri" w:hAnsi="Calibri" w:cs="Times New Roman"/>
          <w:lang w:val="es-HN"/>
        </w:rPr>
      </w:pPr>
      <w:hyperlink r:id="rId11" w:history="1">
        <w:r w:rsidR="00702C42" w:rsidRPr="00DC070A">
          <w:rPr>
            <w:rStyle w:val="Hipervnculo"/>
            <w:rFonts w:ascii="Calibri" w:eastAsia="Calibri" w:hAnsi="Calibri" w:cs="Times New Roman"/>
            <w:lang w:val="es-HN"/>
          </w:rPr>
          <w:t>Matriz de evaluación de Lis</w:t>
        </w:r>
        <w:r w:rsidR="00702C42" w:rsidRPr="00DC070A">
          <w:rPr>
            <w:rStyle w:val="Hipervnculo"/>
            <w:rFonts w:ascii="Calibri" w:eastAsia="Calibri" w:hAnsi="Calibri" w:cs="Times New Roman"/>
            <w:lang w:val="es-HN"/>
          </w:rPr>
          <w:t>t</w:t>
        </w:r>
        <w:r w:rsidR="00702C42" w:rsidRPr="00DC070A">
          <w:rPr>
            <w:rStyle w:val="Hipervnculo"/>
            <w:rFonts w:ascii="Calibri" w:eastAsia="Calibri" w:hAnsi="Calibri" w:cs="Times New Roman"/>
            <w:lang w:val="es-HN"/>
          </w:rPr>
          <w:t>a de Indicadores Fase I</w:t>
        </w:r>
      </w:hyperlink>
    </w:p>
    <w:p w14:paraId="095788E8" w14:textId="77777777" w:rsidR="001C029A" w:rsidRDefault="001C029A" w:rsidP="002E0D66">
      <w:pPr>
        <w:jc w:val="both"/>
        <w:rPr>
          <w:rStyle w:val="Hipervnculo"/>
          <w:rFonts w:ascii="Calibri" w:eastAsia="Calibri" w:hAnsi="Calibri" w:cs="Times New Roman"/>
          <w:lang w:val="es-HN"/>
        </w:rPr>
      </w:pPr>
    </w:p>
    <w:p w14:paraId="0909BCF7" w14:textId="32FB7BE8" w:rsidR="00E83ED6" w:rsidRPr="00E945D3" w:rsidRDefault="00DC070A" w:rsidP="00E945D3">
      <w:pPr>
        <w:spacing w:after="200" w:line="276" w:lineRule="auto"/>
        <w:contextualSpacing/>
        <w:jc w:val="both"/>
        <w:rPr>
          <w:rFonts w:ascii="OpenSans-Regular" w:eastAsia="Times New Roman" w:hAnsi="OpenSans-Regular" w:cs="Times New Roman"/>
          <w:spacing w:val="2"/>
          <w:sz w:val="24"/>
          <w:szCs w:val="24"/>
          <w:lang w:val="es-CL"/>
        </w:rPr>
      </w:pPr>
      <w:r w:rsidRPr="00E945D3">
        <w:rPr>
          <w:rFonts w:ascii="OpenSans-Regular" w:eastAsia="Times New Roman" w:hAnsi="OpenSans-Regular" w:cs="Times New Roman"/>
          <w:spacing w:val="2"/>
          <w:sz w:val="24"/>
          <w:szCs w:val="24"/>
          <w:lang w:val="es-CL"/>
        </w:rPr>
        <w:t>L</w:t>
      </w:r>
      <w:r w:rsidR="00E83ED6" w:rsidRPr="00E945D3">
        <w:rPr>
          <w:rFonts w:ascii="OpenSans-Regular" w:eastAsia="Times New Roman" w:hAnsi="OpenSans-Regular" w:cs="Times New Roman"/>
          <w:spacing w:val="2"/>
          <w:sz w:val="24"/>
          <w:szCs w:val="24"/>
          <w:lang w:val="es-CL"/>
        </w:rPr>
        <w:t>os buenos indicadores son específicos, medibles, atribuibles, realistas  y focalizados</w:t>
      </w:r>
      <w:r w:rsidR="009B15E2">
        <w:rPr>
          <w:rFonts w:ascii="OpenSans-Regular" w:eastAsia="Times New Roman" w:hAnsi="OpenSans-Regular" w:cs="Times New Roman"/>
          <w:spacing w:val="2"/>
          <w:sz w:val="24"/>
          <w:szCs w:val="24"/>
          <w:lang w:val="es-CL"/>
        </w:rPr>
        <w:t xml:space="preserve"> (</w:t>
      </w:r>
      <w:r w:rsidR="005F0145">
        <w:rPr>
          <w:rFonts w:ascii="OpenSans-Regular" w:eastAsia="Times New Roman" w:hAnsi="OpenSans-Regular" w:cs="Times New Roman"/>
          <w:spacing w:val="2"/>
          <w:sz w:val="24"/>
          <w:szCs w:val="24"/>
          <w:lang w:val="es-CL"/>
        </w:rPr>
        <w:t>SMART</w:t>
      </w:r>
      <w:r w:rsidR="009B15E2">
        <w:rPr>
          <w:rFonts w:ascii="OpenSans-Regular" w:eastAsia="Times New Roman" w:hAnsi="OpenSans-Regular" w:cs="Times New Roman"/>
          <w:spacing w:val="2"/>
          <w:sz w:val="24"/>
          <w:szCs w:val="24"/>
          <w:lang w:val="es-CL"/>
        </w:rPr>
        <w:t>)</w:t>
      </w:r>
      <w:r w:rsidR="00C81DE9" w:rsidRPr="00E945D3">
        <w:rPr>
          <w:rFonts w:ascii="OpenSans-Regular" w:eastAsia="Times New Roman" w:hAnsi="OpenSans-Regular" w:cs="Times New Roman"/>
          <w:spacing w:val="2"/>
          <w:sz w:val="24"/>
          <w:szCs w:val="24"/>
          <w:lang w:val="es-CL"/>
        </w:rPr>
        <w:t>:</w:t>
      </w:r>
    </w:p>
    <w:p w14:paraId="55A30155" w14:textId="77777777" w:rsidR="00E83ED6" w:rsidRPr="00E945D3" w:rsidRDefault="00E83ED6" w:rsidP="00E945D3">
      <w:pPr>
        <w:pStyle w:val="Prrafodelista"/>
        <w:numPr>
          <w:ilvl w:val="0"/>
          <w:numId w:val="12"/>
        </w:numPr>
        <w:spacing w:after="200" w:line="276" w:lineRule="auto"/>
        <w:jc w:val="both"/>
        <w:rPr>
          <w:rFonts w:ascii="OpenSans-Regular" w:eastAsia="Times New Roman" w:hAnsi="OpenSans-Regular" w:cs="Times New Roman"/>
          <w:spacing w:val="2"/>
          <w:sz w:val="24"/>
          <w:szCs w:val="24"/>
          <w:lang w:val="es-CL"/>
        </w:rPr>
      </w:pPr>
      <w:r w:rsidRPr="00E945D3">
        <w:rPr>
          <w:rFonts w:ascii="OpenSans-Regular" w:eastAsia="Times New Roman" w:hAnsi="OpenSans-Regular" w:cs="Times New Roman"/>
          <w:spacing w:val="2"/>
          <w:sz w:val="24"/>
          <w:szCs w:val="24"/>
          <w:lang w:val="es-CL"/>
        </w:rPr>
        <w:t>Específicos: para medir la información requerida de la forma más rigurosa posible.</w:t>
      </w:r>
    </w:p>
    <w:p w14:paraId="6976FD28" w14:textId="77777777" w:rsidR="00E83ED6" w:rsidRPr="00E945D3" w:rsidRDefault="00E83ED6" w:rsidP="00E945D3">
      <w:pPr>
        <w:pStyle w:val="Prrafodelista"/>
        <w:numPr>
          <w:ilvl w:val="0"/>
          <w:numId w:val="12"/>
        </w:numPr>
        <w:spacing w:after="200" w:line="276" w:lineRule="auto"/>
        <w:jc w:val="both"/>
        <w:rPr>
          <w:rFonts w:ascii="OpenSans-Regular" w:eastAsia="Times New Roman" w:hAnsi="OpenSans-Regular" w:cs="Times New Roman"/>
          <w:spacing w:val="2"/>
          <w:sz w:val="24"/>
          <w:szCs w:val="24"/>
          <w:lang w:val="es-CL"/>
        </w:rPr>
      </w:pPr>
      <w:r w:rsidRPr="00E945D3">
        <w:rPr>
          <w:rFonts w:ascii="OpenSans-Regular" w:eastAsia="Times New Roman" w:hAnsi="OpenSans-Regular" w:cs="Times New Roman"/>
          <w:spacing w:val="2"/>
          <w:sz w:val="24"/>
          <w:szCs w:val="24"/>
          <w:lang w:val="es-CL"/>
        </w:rPr>
        <w:t>Medibles: para garantizar que la información se puede obtener fácilmente.</w:t>
      </w:r>
    </w:p>
    <w:p w14:paraId="14DADB39" w14:textId="77777777" w:rsidR="00E83ED6" w:rsidRPr="00E945D3" w:rsidRDefault="00E83ED6" w:rsidP="00E945D3">
      <w:pPr>
        <w:pStyle w:val="Prrafodelista"/>
        <w:numPr>
          <w:ilvl w:val="0"/>
          <w:numId w:val="12"/>
        </w:numPr>
        <w:spacing w:after="200" w:line="276" w:lineRule="auto"/>
        <w:jc w:val="both"/>
        <w:rPr>
          <w:rFonts w:ascii="OpenSans-Regular" w:eastAsia="Times New Roman" w:hAnsi="OpenSans-Regular" w:cs="Times New Roman"/>
          <w:spacing w:val="2"/>
          <w:sz w:val="24"/>
          <w:szCs w:val="24"/>
          <w:lang w:val="es-CL"/>
        </w:rPr>
      </w:pPr>
      <w:r w:rsidRPr="00E945D3">
        <w:rPr>
          <w:rFonts w:ascii="OpenSans-Regular" w:eastAsia="Times New Roman" w:hAnsi="OpenSans-Regular" w:cs="Times New Roman"/>
          <w:spacing w:val="2"/>
          <w:sz w:val="24"/>
          <w:szCs w:val="24"/>
          <w:lang w:val="es-CL"/>
        </w:rPr>
        <w:t>Atribuibles: para asegurar que cada medida está relacionada con los logros del proyecto.</w:t>
      </w:r>
    </w:p>
    <w:p w14:paraId="2B18DE91" w14:textId="77777777" w:rsidR="00E83ED6" w:rsidRPr="00E945D3" w:rsidRDefault="00E83ED6" w:rsidP="00E945D3">
      <w:pPr>
        <w:pStyle w:val="Prrafodelista"/>
        <w:numPr>
          <w:ilvl w:val="0"/>
          <w:numId w:val="12"/>
        </w:numPr>
        <w:spacing w:after="200" w:line="276" w:lineRule="auto"/>
        <w:jc w:val="both"/>
        <w:rPr>
          <w:rFonts w:ascii="OpenSans-Regular" w:eastAsia="Times New Roman" w:hAnsi="OpenSans-Regular" w:cs="Times New Roman"/>
          <w:spacing w:val="2"/>
          <w:sz w:val="24"/>
          <w:szCs w:val="24"/>
          <w:lang w:val="es-CL"/>
        </w:rPr>
      </w:pPr>
      <w:r w:rsidRPr="00E945D3">
        <w:rPr>
          <w:rFonts w:ascii="OpenSans-Regular" w:eastAsia="Times New Roman" w:hAnsi="OpenSans-Regular" w:cs="Times New Roman"/>
          <w:spacing w:val="2"/>
          <w:sz w:val="24"/>
          <w:szCs w:val="24"/>
          <w:lang w:val="es-CL"/>
        </w:rPr>
        <w:t>Realistas: para garantizar que los datos se pueden obtener de manera oportuna, con una frecuencia y un costo razonables.</w:t>
      </w:r>
    </w:p>
    <w:p w14:paraId="48192E15" w14:textId="31876583" w:rsidR="00E83ED6" w:rsidRPr="00E945D3" w:rsidRDefault="00E83ED6" w:rsidP="00E945D3">
      <w:pPr>
        <w:pStyle w:val="Prrafodelista"/>
        <w:numPr>
          <w:ilvl w:val="0"/>
          <w:numId w:val="12"/>
        </w:numPr>
        <w:spacing w:after="200" w:line="276" w:lineRule="auto"/>
        <w:jc w:val="both"/>
        <w:rPr>
          <w:rFonts w:ascii="OpenSans-Regular" w:eastAsia="Times New Roman" w:hAnsi="OpenSans-Regular" w:cs="Times New Roman"/>
          <w:spacing w:val="2"/>
          <w:sz w:val="24"/>
          <w:szCs w:val="24"/>
          <w:lang w:val="es-CL"/>
        </w:rPr>
      </w:pPr>
      <w:r w:rsidRPr="00E945D3">
        <w:rPr>
          <w:rFonts w:ascii="OpenSans-Regular" w:eastAsia="Times New Roman" w:hAnsi="OpenSans-Regular" w:cs="Times New Roman"/>
          <w:spacing w:val="2"/>
          <w:sz w:val="24"/>
          <w:szCs w:val="24"/>
          <w:lang w:val="es-CL"/>
        </w:rPr>
        <w:t>Focalizados: en un tiempo limitado.</w:t>
      </w:r>
    </w:p>
    <w:p w14:paraId="324E2456" w14:textId="713DF942" w:rsidR="00DC070A" w:rsidRDefault="00DC070A" w:rsidP="00DC070A">
      <w:pPr>
        <w:spacing w:after="200" w:line="276" w:lineRule="auto"/>
        <w:contextualSpacing/>
        <w:jc w:val="both"/>
        <w:rPr>
          <w:rFonts w:ascii="Calibri" w:eastAsia="Calibri" w:hAnsi="Calibri" w:cs="Times New Roman"/>
          <w:lang w:val="es-ES"/>
        </w:rPr>
      </w:pPr>
    </w:p>
    <w:p w14:paraId="7C37209C" w14:textId="3F261E3C" w:rsidR="00DC070A" w:rsidRPr="00E945D3" w:rsidRDefault="00F30901" w:rsidP="00DC070A">
      <w:pPr>
        <w:spacing w:after="200" w:line="276" w:lineRule="auto"/>
        <w:contextualSpacing/>
        <w:jc w:val="both"/>
        <w:rPr>
          <w:rFonts w:ascii="OpenSans-Regular" w:eastAsia="Times New Roman" w:hAnsi="OpenSans-Regular" w:cs="Times New Roman"/>
          <w:spacing w:val="2"/>
          <w:sz w:val="24"/>
          <w:szCs w:val="24"/>
          <w:lang w:val="es-CL"/>
        </w:rPr>
      </w:pPr>
      <w:r w:rsidRPr="00E945D3">
        <w:rPr>
          <w:rFonts w:ascii="OpenSans-Regular" w:eastAsia="Times New Roman" w:hAnsi="OpenSans-Regular" w:cs="Times New Roman"/>
          <w:spacing w:val="2"/>
          <w:sz w:val="24"/>
          <w:szCs w:val="24"/>
          <w:lang w:val="es-CL"/>
        </w:rPr>
        <w:t>En este punto</w:t>
      </w:r>
      <w:r w:rsidR="00C81DE9" w:rsidRPr="00E945D3">
        <w:rPr>
          <w:rFonts w:ascii="OpenSans-Regular" w:eastAsia="Times New Roman" w:hAnsi="OpenSans-Regular" w:cs="Times New Roman"/>
          <w:spacing w:val="2"/>
          <w:sz w:val="24"/>
          <w:szCs w:val="24"/>
          <w:lang w:val="es-CL"/>
        </w:rPr>
        <w:t>,</w:t>
      </w:r>
      <w:r w:rsidRPr="00E945D3">
        <w:rPr>
          <w:rFonts w:ascii="OpenSans-Regular" w:eastAsia="Times New Roman" w:hAnsi="OpenSans-Regular" w:cs="Times New Roman"/>
          <w:spacing w:val="2"/>
          <w:sz w:val="24"/>
          <w:szCs w:val="24"/>
          <w:lang w:val="es-CL"/>
        </w:rPr>
        <w:t xml:space="preserve"> se </w:t>
      </w:r>
      <w:r w:rsidR="00146E1C">
        <w:rPr>
          <w:rFonts w:ascii="OpenSans-Regular" w:eastAsia="Times New Roman" w:hAnsi="OpenSans-Regular" w:cs="Times New Roman"/>
          <w:spacing w:val="2"/>
          <w:sz w:val="24"/>
          <w:szCs w:val="24"/>
          <w:lang w:val="es-CL"/>
        </w:rPr>
        <w:t>depuró</w:t>
      </w:r>
      <w:r w:rsidRPr="00E945D3">
        <w:rPr>
          <w:rFonts w:ascii="OpenSans-Regular" w:eastAsia="Times New Roman" w:hAnsi="OpenSans-Regular" w:cs="Times New Roman"/>
          <w:spacing w:val="2"/>
          <w:sz w:val="24"/>
          <w:szCs w:val="24"/>
          <w:lang w:val="es-CL"/>
        </w:rPr>
        <w:t xml:space="preserve"> la lista inicial a un sistema de indicadores más reducido que cumpliera con todos los criterios</w:t>
      </w:r>
      <w:r w:rsidR="00146E1C">
        <w:rPr>
          <w:rFonts w:ascii="OpenSans-Regular" w:eastAsia="Times New Roman" w:hAnsi="OpenSans-Regular" w:cs="Times New Roman"/>
          <w:spacing w:val="2"/>
          <w:sz w:val="24"/>
          <w:szCs w:val="24"/>
          <w:lang w:val="es-CL"/>
        </w:rPr>
        <w:t xml:space="preserve"> antes</w:t>
      </w:r>
      <w:r w:rsidRPr="00E945D3">
        <w:rPr>
          <w:rFonts w:ascii="OpenSans-Regular" w:eastAsia="Times New Roman" w:hAnsi="OpenSans-Regular" w:cs="Times New Roman"/>
          <w:spacing w:val="2"/>
          <w:sz w:val="24"/>
          <w:szCs w:val="24"/>
          <w:lang w:val="es-CL"/>
        </w:rPr>
        <w:t xml:space="preserve"> definidos.</w:t>
      </w:r>
      <w:r w:rsidR="009B15E2">
        <w:rPr>
          <w:rFonts w:ascii="OpenSans-Regular" w:eastAsia="Times New Roman" w:hAnsi="OpenSans-Regular" w:cs="Times New Roman"/>
          <w:spacing w:val="2"/>
          <w:sz w:val="24"/>
          <w:szCs w:val="24"/>
          <w:lang w:val="es-CL"/>
        </w:rPr>
        <w:t xml:space="preserve"> </w:t>
      </w:r>
      <w:r w:rsidR="00DC070A" w:rsidRPr="00E945D3">
        <w:rPr>
          <w:rFonts w:ascii="OpenSans-Regular" w:eastAsia="Times New Roman" w:hAnsi="OpenSans-Regular" w:cs="Times New Roman"/>
          <w:spacing w:val="2"/>
          <w:sz w:val="24"/>
          <w:szCs w:val="24"/>
          <w:lang w:val="es-CL"/>
        </w:rPr>
        <w:t xml:space="preserve">Considerando lo anterior, durante el año 2019, se evaluaron </w:t>
      </w:r>
      <w:r w:rsidR="009B15E2">
        <w:rPr>
          <w:rFonts w:ascii="OpenSans-Regular" w:eastAsia="Times New Roman" w:hAnsi="OpenSans-Regular" w:cs="Times New Roman"/>
          <w:spacing w:val="2"/>
          <w:sz w:val="24"/>
          <w:szCs w:val="24"/>
          <w:lang w:val="es-CL"/>
        </w:rPr>
        <w:t>lo</w:t>
      </w:r>
      <w:r w:rsidR="00DC070A" w:rsidRPr="00E945D3">
        <w:rPr>
          <w:rFonts w:ascii="OpenSans-Regular" w:eastAsia="Times New Roman" w:hAnsi="OpenSans-Regular" w:cs="Times New Roman"/>
          <w:spacing w:val="2"/>
          <w:sz w:val="24"/>
          <w:szCs w:val="24"/>
          <w:lang w:val="es-CL"/>
        </w:rPr>
        <w:t>s indicadores propuesto</w:t>
      </w:r>
      <w:r w:rsidR="009B15E2">
        <w:rPr>
          <w:rFonts w:ascii="OpenSans-Regular" w:eastAsia="Times New Roman" w:hAnsi="OpenSans-Regular" w:cs="Times New Roman"/>
          <w:spacing w:val="2"/>
          <w:sz w:val="24"/>
          <w:szCs w:val="24"/>
          <w:lang w:val="es-CL"/>
        </w:rPr>
        <w:t>s</w:t>
      </w:r>
      <w:r w:rsidR="00DC070A" w:rsidRPr="00E945D3">
        <w:rPr>
          <w:rFonts w:ascii="OpenSans-Regular" w:eastAsia="Times New Roman" w:hAnsi="OpenSans-Regular" w:cs="Times New Roman"/>
          <w:spacing w:val="2"/>
          <w:sz w:val="24"/>
          <w:szCs w:val="24"/>
          <w:lang w:val="es-CL"/>
        </w:rPr>
        <w:t xml:space="preserve"> y</w:t>
      </w:r>
      <w:r w:rsidR="004F7222" w:rsidRPr="00E945D3">
        <w:rPr>
          <w:rFonts w:ascii="OpenSans-Regular" w:eastAsia="Times New Roman" w:hAnsi="OpenSans-Regular" w:cs="Times New Roman"/>
          <w:spacing w:val="2"/>
          <w:sz w:val="24"/>
          <w:szCs w:val="24"/>
          <w:lang w:val="es-CL"/>
        </w:rPr>
        <w:t xml:space="preserve"> se modificó la redacción de </w:t>
      </w:r>
      <w:r w:rsidR="00DC070A" w:rsidRPr="00E945D3">
        <w:rPr>
          <w:rFonts w:ascii="OpenSans-Regular" w:eastAsia="Times New Roman" w:hAnsi="OpenSans-Regular" w:cs="Times New Roman"/>
          <w:spacing w:val="2"/>
          <w:sz w:val="24"/>
          <w:szCs w:val="24"/>
          <w:lang w:val="es-CL"/>
        </w:rPr>
        <w:t xml:space="preserve">los mismos </w:t>
      </w:r>
      <w:r w:rsidR="004F7222" w:rsidRPr="00E945D3">
        <w:rPr>
          <w:rFonts w:ascii="OpenSans-Regular" w:eastAsia="Times New Roman" w:hAnsi="OpenSans-Regular" w:cs="Times New Roman"/>
          <w:spacing w:val="2"/>
          <w:sz w:val="24"/>
          <w:szCs w:val="24"/>
          <w:lang w:val="es-CL"/>
        </w:rPr>
        <w:t xml:space="preserve"> a fin de</w:t>
      </w:r>
      <w:r w:rsidR="00E83ED6" w:rsidRPr="00E945D3">
        <w:rPr>
          <w:rFonts w:ascii="OpenSans-Regular" w:eastAsia="Times New Roman" w:hAnsi="OpenSans-Regular" w:cs="Times New Roman"/>
          <w:spacing w:val="2"/>
          <w:sz w:val="24"/>
          <w:szCs w:val="24"/>
          <w:lang w:val="es-CL"/>
        </w:rPr>
        <w:t xml:space="preserve"> garantizar </w:t>
      </w:r>
      <w:r w:rsidR="004F7222" w:rsidRPr="00E945D3">
        <w:rPr>
          <w:rFonts w:ascii="OpenSans-Regular" w:eastAsia="Times New Roman" w:hAnsi="OpenSans-Regular" w:cs="Times New Roman"/>
          <w:spacing w:val="2"/>
          <w:sz w:val="24"/>
          <w:szCs w:val="24"/>
          <w:lang w:val="es-CL"/>
        </w:rPr>
        <w:t xml:space="preserve"> en la manera de lo posible cumplir con los  criterios requeridos por los</w:t>
      </w:r>
      <w:r w:rsidR="00E83ED6" w:rsidRPr="00E945D3">
        <w:rPr>
          <w:rFonts w:ascii="OpenSans-Regular" w:eastAsia="Times New Roman" w:hAnsi="OpenSans-Regular" w:cs="Times New Roman"/>
          <w:spacing w:val="2"/>
          <w:sz w:val="24"/>
          <w:szCs w:val="24"/>
          <w:lang w:val="es-CL"/>
        </w:rPr>
        <w:t xml:space="preserve"> </w:t>
      </w:r>
      <w:r w:rsidR="005F0145">
        <w:rPr>
          <w:rFonts w:ascii="OpenSans-Regular" w:eastAsia="Times New Roman" w:hAnsi="OpenSans-Regular" w:cs="Times New Roman"/>
          <w:spacing w:val="2"/>
          <w:sz w:val="24"/>
          <w:szCs w:val="24"/>
          <w:lang w:val="es-CL"/>
        </w:rPr>
        <w:t>indicadores SMART</w:t>
      </w:r>
      <w:r w:rsidR="004F7222" w:rsidRPr="00E945D3">
        <w:rPr>
          <w:rFonts w:ascii="OpenSans-Regular" w:eastAsia="Times New Roman" w:hAnsi="OpenSans-Regular" w:cs="Times New Roman"/>
          <w:spacing w:val="2"/>
          <w:sz w:val="24"/>
          <w:szCs w:val="24"/>
          <w:lang w:val="es-CL"/>
        </w:rPr>
        <w:t xml:space="preserve">. </w:t>
      </w:r>
    </w:p>
    <w:p w14:paraId="2DC0D064" w14:textId="77777777" w:rsidR="000E553C" w:rsidRDefault="000E553C" w:rsidP="00DC070A">
      <w:pPr>
        <w:spacing w:after="200" w:line="276" w:lineRule="auto"/>
        <w:contextualSpacing/>
        <w:jc w:val="both"/>
        <w:rPr>
          <w:rFonts w:ascii="Calibri" w:eastAsia="Calibri" w:hAnsi="Calibri" w:cs="Times New Roman"/>
          <w:lang w:val="es-CL"/>
        </w:rPr>
      </w:pPr>
    </w:p>
    <w:p w14:paraId="2B78564A" w14:textId="07561AFC" w:rsidR="00DC070A" w:rsidRDefault="0012782A" w:rsidP="00DC070A">
      <w:pPr>
        <w:spacing w:after="200" w:line="276" w:lineRule="auto"/>
        <w:contextualSpacing/>
        <w:jc w:val="both"/>
        <w:rPr>
          <w:rStyle w:val="Hipervnculo"/>
          <w:rFonts w:ascii="Calibri" w:eastAsia="Calibri" w:hAnsi="Calibri" w:cs="Times New Roman"/>
          <w:lang w:val="es-CL"/>
        </w:rPr>
      </w:pPr>
      <w:hyperlink r:id="rId12" w:history="1">
        <w:r w:rsidR="000E553C" w:rsidRPr="000E553C">
          <w:rPr>
            <w:rStyle w:val="Hipervnculo"/>
            <w:rFonts w:ascii="Calibri" w:eastAsia="Calibri" w:hAnsi="Calibri" w:cs="Times New Roman"/>
            <w:lang w:val="es-CL"/>
          </w:rPr>
          <w:t xml:space="preserve">Propuesta de priorización de indicadores SMART para </w:t>
        </w:r>
        <w:proofErr w:type="spellStart"/>
        <w:r w:rsidR="000E553C" w:rsidRPr="000E553C">
          <w:rPr>
            <w:rStyle w:val="Hipervnculo"/>
            <w:rFonts w:ascii="Calibri" w:eastAsia="Calibri" w:hAnsi="Calibri" w:cs="Times New Roman"/>
            <w:lang w:val="es-CL"/>
          </w:rPr>
          <w:t>Co-beneficios</w:t>
        </w:r>
        <w:proofErr w:type="spellEnd"/>
      </w:hyperlink>
    </w:p>
    <w:p w14:paraId="2D80B815" w14:textId="77777777" w:rsidR="00C81DE9" w:rsidRDefault="00C81DE9" w:rsidP="00DC070A">
      <w:pPr>
        <w:spacing w:after="200" w:line="276" w:lineRule="auto"/>
        <w:contextualSpacing/>
        <w:jc w:val="both"/>
        <w:rPr>
          <w:rFonts w:ascii="Calibri" w:eastAsia="Calibri" w:hAnsi="Calibri" w:cs="Times New Roman"/>
          <w:lang w:val="es-CL"/>
        </w:rPr>
      </w:pPr>
    </w:p>
    <w:p w14:paraId="1F731D8C" w14:textId="0CE6AE18" w:rsidR="00C81DE9" w:rsidRPr="00C33ADB" w:rsidRDefault="009B15E2" w:rsidP="00C81DE9">
      <w:pPr>
        <w:spacing w:after="200" w:line="276" w:lineRule="auto"/>
        <w:contextualSpacing/>
        <w:jc w:val="both"/>
        <w:rPr>
          <w:rFonts w:ascii="OpenSans-Regular" w:eastAsia="Times New Roman" w:hAnsi="OpenSans-Regular" w:cs="Times New Roman"/>
          <w:spacing w:val="2"/>
          <w:sz w:val="24"/>
          <w:szCs w:val="24"/>
          <w:lang w:val="es-CL"/>
        </w:rPr>
      </w:pPr>
      <w:r>
        <w:rPr>
          <w:rFonts w:ascii="OpenSans-Regular" w:eastAsia="Times New Roman" w:hAnsi="OpenSans-Regular" w:cs="Times New Roman"/>
          <w:spacing w:val="2"/>
          <w:sz w:val="24"/>
          <w:szCs w:val="24"/>
          <w:lang w:val="es-CL"/>
        </w:rPr>
        <w:t>Específicamente, c</w:t>
      </w:r>
      <w:r w:rsidR="00E83ED6" w:rsidRPr="00C33ADB">
        <w:rPr>
          <w:rFonts w:ascii="OpenSans-Regular" w:eastAsia="Times New Roman" w:hAnsi="OpenSans-Regular" w:cs="Times New Roman"/>
          <w:spacing w:val="2"/>
          <w:sz w:val="24"/>
          <w:szCs w:val="24"/>
          <w:lang w:val="es-CL"/>
        </w:rPr>
        <w:t xml:space="preserve">ada </w:t>
      </w:r>
      <w:r w:rsidR="004F7222" w:rsidRPr="00C33ADB">
        <w:rPr>
          <w:rFonts w:ascii="OpenSans-Regular" w:eastAsia="Times New Roman" w:hAnsi="OpenSans-Regular" w:cs="Times New Roman"/>
          <w:spacing w:val="2"/>
          <w:sz w:val="24"/>
          <w:szCs w:val="24"/>
          <w:lang w:val="es-CL"/>
        </w:rPr>
        <w:t>indicador</w:t>
      </w:r>
      <w:r w:rsidR="00E83ED6" w:rsidRPr="00C33ADB">
        <w:rPr>
          <w:rFonts w:ascii="OpenSans-Regular" w:eastAsia="Times New Roman" w:hAnsi="OpenSans-Regular" w:cs="Times New Roman"/>
          <w:spacing w:val="2"/>
          <w:sz w:val="24"/>
          <w:szCs w:val="24"/>
          <w:lang w:val="es-CL"/>
        </w:rPr>
        <w:t xml:space="preserve"> fue evaluado según el cumplimientos de los criterios: i) Específicos, </w:t>
      </w:r>
      <w:proofErr w:type="spellStart"/>
      <w:r w:rsidR="00E83ED6" w:rsidRPr="00C33ADB">
        <w:rPr>
          <w:rFonts w:ascii="OpenSans-Regular" w:eastAsia="Times New Roman" w:hAnsi="OpenSans-Regular" w:cs="Times New Roman"/>
          <w:spacing w:val="2"/>
          <w:sz w:val="24"/>
          <w:szCs w:val="24"/>
          <w:lang w:val="es-CL"/>
        </w:rPr>
        <w:t>ii</w:t>
      </w:r>
      <w:proofErr w:type="spellEnd"/>
      <w:r w:rsidR="00E83ED6" w:rsidRPr="00C33ADB">
        <w:rPr>
          <w:rFonts w:ascii="OpenSans-Regular" w:eastAsia="Times New Roman" w:hAnsi="OpenSans-Regular" w:cs="Times New Roman"/>
          <w:spacing w:val="2"/>
          <w:sz w:val="24"/>
          <w:szCs w:val="24"/>
          <w:lang w:val="es-CL"/>
        </w:rPr>
        <w:t xml:space="preserve">) Medibles, </w:t>
      </w:r>
      <w:proofErr w:type="spellStart"/>
      <w:r w:rsidR="00E83ED6" w:rsidRPr="00C33ADB">
        <w:rPr>
          <w:rFonts w:ascii="OpenSans-Regular" w:eastAsia="Times New Roman" w:hAnsi="OpenSans-Regular" w:cs="Times New Roman"/>
          <w:spacing w:val="2"/>
          <w:sz w:val="24"/>
          <w:szCs w:val="24"/>
          <w:lang w:val="es-CL"/>
        </w:rPr>
        <w:t>iii</w:t>
      </w:r>
      <w:proofErr w:type="spellEnd"/>
      <w:r w:rsidR="00E83ED6" w:rsidRPr="00C33ADB">
        <w:rPr>
          <w:rFonts w:ascii="OpenSans-Regular" w:eastAsia="Times New Roman" w:hAnsi="OpenSans-Regular" w:cs="Times New Roman"/>
          <w:spacing w:val="2"/>
          <w:sz w:val="24"/>
          <w:szCs w:val="24"/>
          <w:lang w:val="es-CL"/>
        </w:rPr>
        <w:t xml:space="preserve">) Focalizados y </w:t>
      </w:r>
      <w:proofErr w:type="spellStart"/>
      <w:r w:rsidR="00E83ED6" w:rsidRPr="00C33ADB">
        <w:rPr>
          <w:rFonts w:ascii="OpenSans-Regular" w:eastAsia="Times New Roman" w:hAnsi="OpenSans-Regular" w:cs="Times New Roman"/>
          <w:spacing w:val="2"/>
          <w:sz w:val="24"/>
          <w:szCs w:val="24"/>
          <w:lang w:val="es-CL"/>
        </w:rPr>
        <w:t>iv</w:t>
      </w:r>
      <w:proofErr w:type="spellEnd"/>
      <w:r w:rsidR="00E83ED6" w:rsidRPr="00C33ADB">
        <w:rPr>
          <w:rFonts w:ascii="OpenSans-Regular" w:eastAsia="Times New Roman" w:hAnsi="OpenSans-Regular" w:cs="Times New Roman"/>
          <w:spacing w:val="2"/>
          <w:sz w:val="24"/>
          <w:szCs w:val="24"/>
          <w:lang w:val="es-CL"/>
        </w:rPr>
        <w:t xml:space="preserve">) Realistas. </w:t>
      </w:r>
      <w:r w:rsidR="005F0145">
        <w:rPr>
          <w:rFonts w:ascii="OpenSans-Regular" w:eastAsia="Times New Roman" w:hAnsi="OpenSans-Regular" w:cs="Times New Roman"/>
          <w:spacing w:val="2"/>
          <w:sz w:val="24"/>
          <w:szCs w:val="24"/>
          <w:lang w:val="es-CL"/>
        </w:rPr>
        <w:t xml:space="preserve"> </w:t>
      </w:r>
      <w:r w:rsidR="00C33ADB">
        <w:rPr>
          <w:rFonts w:ascii="OpenSans-Regular" w:eastAsia="Times New Roman" w:hAnsi="OpenSans-Regular" w:cs="Times New Roman"/>
          <w:spacing w:val="2"/>
          <w:sz w:val="24"/>
          <w:szCs w:val="24"/>
          <w:lang w:val="es-CL"/>
        </w:rPr>
        <w:t xml:space="preserve">Los indicadores seleccionados </w:t>
      </w:r>
      <w:r w:rsidR="004F7222" w:rsidRPr="00C33ADB">
        <w:rPr>
          <w:rFonts w:ascii="OpenSans-Regular" w:eastAsia="Times New Roman" w:hAnsi="OpenSans-Regular" w:cs="Times New Roman"/>
          <w:spacing w:val="2"/>
          <w:sz w:val="24"/>
          <w:szCs w:val="24"/>
          <w:lang w:val="es-CL"/>
        </w:rPr>
        <w:t>fueron aquellos que cumplían con los 4 criterios antes mencionados.</w:t>
      </w:r>
      <w:r w:rsidR="00C81DE9" w:rsidRPr="00C33ADB">
        <w:rPr>
          <w:rFonts w:ascii="OpenSans-Regular" w:eastAsia="Times New Roman" w:hAnsi="OpenSans-Regular" w:cs="Times New Roman"/>
          <w:spacing w:val="2"/>
          <w:sz w:val="24"/>
          <w:szCs w:val="24"/>
          <w:lang w:val="es-CL"/>
        </w:rPr>
        <w:t xml:space="preserve"> De esta manera, se seleccionaron 13 indicadores:</w:t>
      </w:r>
    </w:p>
    <w:p w14:paraId="2E95D869" w14:textId="77777777" w:rsidR="00C81DE9" w:rsidRPr="005D6DC5" w:rsidRDefault="00DE4F9D" w:rsidP="00C81DE9">
      <w:pPr>
        <w:spacing w:after="200" w:line="276" w:lineRule="auto"/>
        <w:contextualSpacing/>
        <w:jc w:val="both"/>
        <w:rPr>
          <w:lang w:val="es-CL"/>
        </w:rPr>
      </w:pPr>
      <w:r>
        <w:rPr>
          <w:rFonts w:ascii="Calibri" w:eastAsia="Calibri" w:hAnsi="Calibri" w:cs="Times New Roman"/>
          <w:lang w:val="es-ES"/>
        </w:rPr>
        <w:t xml:space="preserve"> </w:t>
      </w:r>
    </w:p>
    <w:tbl>
      <w:tblPr>
        <w:tblpPr w:leftFromText="180" w:rightFromText="180" w:vertAnchor="text" w:tblpY="3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4"/>
        <w:gridCol w:w="1609"/>
        <w:gridCol w:w="4205"/>
        <w:gridCol w:w="1320"/>
      </w:tblGrid>
      <w:tr w:rsidR="00C81DE9" w:rsidRPr="00C81DE9" w14:paraId="58B21CF0" w14:textId="77777777" w:rsidTr="00C81DE9">
        <w:trPr>
          <w:trHeight w:val="341"/>
        </w:trPr>
        <w:tc>
          <w:tcPr>
            <w:tcW w:w="859" w:type="pct"/>
            <w:shd w:val="clear" w:color="auto" w:fill="323E4F"/>
            <w:noWrap/>
          </w:tcPr>
          <w:p w14:paraId="459C048B" w14:textId="77777777" w:rsidR="00C81DE9" w:rsidRPr="00C81DE9" w:rsidRDefault="00C81DE9" w:rsidP="00C33ADB">
            <w:pPr>
              <w:spacing w:after="0" w:line="240" w:lineRule="auto"/>
              <w:rPr>
                <w:rFonts w:ascii="OpenSans-Regular" w:eastAsia="Times New Roman" w:hAnsi="OpenSans-Regular" w:cs="Times New Roman"/>
                <w:color w:val="FFFFFF" w:themeColor="background1"/>
                <w:spacing w:val="2"/>
                <w:sz w:val="20"/>
                <w:szCs w:val="20"/>
                <w:lang w:val="es-CL"/>
              </w:rPr>
            </w:pPr>
            <w:r w:rsidRPr="00C81DE9">
              <w:rPr>
                <w:rFonts w:ascii="OpenSans-Regular" w:eastAsia="Times New Roman" w:hAnsi="OpenSans-Regular" w:cs="Times New Roman"/>
                <w:color w:val="FFFFFF" w:themeColor="background1"/>
                <w:spacing w:val="2"/>
                <w:sz w:val="20"/>
                <w:szCs w:val="20"/>
                <w:lang w:val="es-CL"/>
              </w:rPr>
              <w:t>Tipo</w:t>
            </w:r>
          </w:p>
        </w:tc>
        <w:tc>
          <w:tcPr>
            <w:tcW w:w="882" w:type="pct"/>
            <w:shd w:val="clear" w:color="auto" w:fill="323E4F"/>
          </w:tcPr>
          <w:p w14:paraId="0D671E84" w14:textId="77777777" w:rsidR="00C81DE9" w:rsidRPr="00C81DE9" w:rsidRDefault="00C81DE9" w:rsidP="00C33ADB">
            <w:pPr>
              <w:spacing w:after="0" w:line="240" w:lineRule="auto"/>
              <w:rPr>
                <w:rFonts w:ascii="OpenSans-Regular" w:eastAsia="Times New Roman" w:hAnsi="OpenSans-Regular" w:cs="Times New Roman"/>
                <w:color w:val="FFFFFF" w:themeColor="background1"/>
                <w:spacing w:val="2"/>
                <w:sz w:val="20"/>
                <w:szCs w:val="20"/>
                <w:lang w:val="es-CL"/>
              </w:rPr>
            </w:pPr>
            <w:r w:rsidRPr="00C81DE9">
              <w:rPr>
                <w:rFonts w:ascii="OpenSans-Regular" w:eastAsia="Times New Roman" w:hAnsi="OpenSans-Regular" w:cs="Times New Roman"/>
                <w:color w:val="FFFFFF" w:themeColor="background1"/>
                <w:spacing w:val="2"/>
                <w:sz w:val="20"/>
                <w:szCs w:val="20"/>
                <w:lang w:val="es-CL"/>
              </w:rPr>
              <w:t>Categoría</w:t>
            </w:r>
          </w:p>
        </w:tc>
        <w:tc>
          <w:tcPr>
            <w:tcW w:w="2460" w:type="pct"/>
            <w:shd w:val="clear" w:color="auto" w:fill="323E4F"/>
          </w:tcPr>
          <w:p w14:paraId="480A7582" w14:textId="77777777" w:rsidR="00C81DE9" w:rsidRPr="00C81DE9" w:rsidRDefault="00C81DE9" w:rsidP="00C33ADB">
            <w:pPr>
              <w:spacing w:after="0" w:line="240" w:lineRule="auto"/>
              <w:rPr>
                <w:rFonts w:ascii="OpenSans-Regular" w:eastAsia="Times New Roman" w:hAnsi="OpenSans-Regular" w:cs="Times New Roman"/>
                <w:color w:val="FFFFFF" w:themeColor="background1"/>
                <w:spacing w:val="2"/>
                <w:sz w:val="20"/>
                <w:szCs w:val="20"/>
                <w:lang w:val="es-CL"/>
              </w:rPr>
            </w:pPr>
            <w:r w:rsidRPr="00C81DE9">
              <w:rPr>
                <w:rFonts w:ascii="OpenSans-Regular" w:eastAsia="Times New Roman" w:hAnsi="OpenSans-Regular" w:cs="Times New Roman"/>
                <w:color w:val="FFFFFF" w:themeColor="background1"/>
                <w:spacing w:val="2"/>
                <w:sz w:val="20"/>
                <w:szCs w:val="20"/>
                <w:lang w:val="es-CL"/>
              </w:rPr>
              <w:t>Indicador</w:t>
            </w:r>
          </w:p>
        </w:tc>
        <w:tc>
          <w:tcPr>
            <w:tcW w:w="799" w:type="pct"/>
            <w:shd w:val="clear" w:color="auto" w:fill="323E4F"/>
          </w:tcPr>
          <w:p w14:paraId="544AE7F9" w14:textId="77777777" w:rsidR="00C81DE9" w:rsidRPr="00C81DE9" w:rsidRDefault="00C81DE9" w:rsidP="00C33ADB">
            <w:pPr>
              <w:spacing w:after="0" w:line="240" w:lineRule="auto"/>
              <w:rPr>
                <w:rFonts w:ascii="OpenSans-Regular" w:eastAsia="Times New Roman" w:hAnsi="OpenSans-Regular" w:cs="Times New Roman"/>
                <w:color w:val="FFFFFF" w:themeColor="background1"/>
                <w:spacing w:val="2"/>
                <w:sz w:val="20"/>
                <w:szCs w:val="20"/>
                <w:lang w:val="es-CL"/>
              </w:rPr>
            </w:pPr>
            <w:r w:rsidRPr="00C81DE9">
              <w:rPr>
                <w:rFonts w:ascii="OpenSans-Regular" w:eastAsia="Times New Roman" w:hAnsi="OpenSans-Regular" w:cs="Times New Roman"/>
                <w:color w:val="FFFFFF" w:themeColor="background1"/>
                <w:spacing w:val="2"/>
                <w:sz w:val="20"/>
                <w:szCs w:val="20"/>
                <w:lang w:val="es-CL"/>
              </w:rPr>
              <w:t xml:space="preserve">Responsable </w:t>
            </w:r>
            <w:commentRangeStart w:id="1"/>
            <w:r w:rsidRPr="00C81DE9">
              <w:rPr>
                <w:rFonts w:ascii="OpenSans-Regular" w:eastAsia="Times New Roman" w:hAnsi="OpenSans-Regular" w:cs="Times New Roman"/>
                <w:color w:val="FFFFFF" w:themeColor="background1"/>
                <w:spacing w:val="2"/>
                <w:sz w:val="20"/>
                <w:szCs w:val="20"/>
                <w:lang w:val="es-CL"/>
              </w:rPr>
              <w:t>Captura de Datos</w:t>
            </w:r>
            <w:commentRangeEnd w:id="1"/>
            <w:r w:rsidR="005F0145">
              <w:rPr>
                <w:rStyle w:val="Refdecomentario"/>
              </w:rPr>
              <w:commentReference w:id="1"/>
            </w:r>
          </w:p>
        </w:tc>
      </w:tr>
      <w:tr w:rsidR="00C81DE9" w:rsidRPr="00C81DE9" w14:paraId="31456C6C" w14:textId="77777777" w:rsidTr="00C81DE9">
        <w:trPr>
          <w:trHeight w:val="960"/>
        </w:trPr>
        <w:tc>
          <w:tcPr>
            <w:tcW w:w="859" w:type="pct"/>
            <w:vMerge w:val="restart"/>
            <w:shd w:val="clear" w:color="auto" w:fill="FFFFFF"/>
            <w:noWrap/>
            <w:vAlign w:val="center"/>
            <w:hideMark/>
          </w:tcPr>
          <w:p w14:paraId="440D0917"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t>Ambiental</w:t>
            </w:r>
          </w:p>
          <w:p w14:paraId="43229265"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p>
        </w:tc>
        <w:tc>
          <w:tcPr>
            <w:tcW w:w="882" w:type="pct"/>
            <w:vMerge w:val="restart"/>
            <w:shd w:val="clear" w:color="auto" w:fill="FFFFFF"/>
            <w:vAlign w:val="center"/>
            <w:hideMark/>
          </w:tcPr>
          <w:p w14:paraId="2056FAC5"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t xml:space="preserve">Conservación y uso sostenible de la </w:t>
            </w:r>
            <w:r w:rsidRPr="00C81DE9">
              <w:rPr>
                <w:rFonts w:ascii="OpenSans-Regular" w:eastAsia="Times New Roman" w:hAnsi="OpenSans-Regular" w:cs="Times New Roman"/>
                <w:spacing w:val="2"/>
                <w:sz w:val="20"/>
                <w:szCs w:val="20"/>
                <w:lang w:val="es-CL"/>
              </w:rPr>
              <w:lastRenderedPageBreak/>
              <w:t>Diversidad Biológica</w:t>
            </w:r>
          </w:p>
        </w:tc>
        <w:tc>
          <w:tcPr>
            <w:tcW w:w="2460" w:type="pct"/>
            <w:shd w:val="clear" w:color="auto" w:fill="FFFFFF"/>
            <w:vAlign w:val="center"/>
            <w:hideMark/>
          </w:tcPr>
          <w:p w14:paraId="43DF1562" w14:textId="77777777" w:rsidR="00C81DE9" w:rsidRPr="00C81DE9" w:rsidRDefault="00C81DE9" w:rsidP="00C81DE9">
            <w:pPr>
              <w:numPr>
                <w:ilvl w:val="0"/>
                <w:numId w:val="10"/>
              </w:numPr>
              <w:spacing w:after="0" w:line="240" w:lineRule="auto"/>
              <w:contextualSpacing/>
              <w:jc w:val="both"/>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lastRenderedPageBreak/>
              <w:t>Incremento de número de especies de flora y fauna en áreas protegidas quinquenalmente.</w:t>
            </w:r>
          </w:p>
        </w:tc>
        <w:tc>
          <w:tcPr>
            <w:tcW w:w="799" w:type="pct"/>
            <w:shd w:val="clear" w:color="auto" w:fill="FFFFFF"/>
            <w:vAlign w:val="center"/>
          </w:tcPr>
          <w:p w14:paraId="604424D2"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t>CONAP</w:t>
            </w:r>
          </w:p>
        </w:tc>
      </w:tr>
      <w:tr w:rsidR="00C81DE9" w:rsidRPr="00C81DE9" w14:paraId="7E97B1B1" w14:textId="77777777" w:rsidTr="00C81DE9">
        <w:trPr>
          <w:trHeight w:val="793"/>
        </w:trPr>
        <w:tc>
          <w:tcPr>
            <w:tcW w:w="859" w:type="pct"/>
            <w:vMerge/>
            <w:shd w:val="clear" w:color="auto" w:fill="FFFFFF"/>
            <w:noWrap/>
            <w:vAlign w:val="center"/>
          </w:tcPr>
          <w:p w14:paraId="4F5D46CC"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p>
        </w:tc>
        <w:tc>
          <w:tcPr>
            <w:tcW w:w="882" w:type="pct"/>
            <w:vMerge/>
            <w:shd w:val="clear" w:color="auto" w:fill="FFFFFF"/>
            <w:vAlign w:val="center"/>
          </w:tcPr>
          <w:p w14:paraId="4871D899"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p>
        </w:tc>
        <w:tc>
          <w:tcPr>
            <w:tcW w:w="2460" w:type="pct"/>
            <w:shd w:val="clear" w:color="auto" w:fill="FFFFFF"/>
            <w:vAlign w:val="center"/>
          </w:tcPr>
          <w:p w14:paraId="528F5347" w14:textId="3A6DA267" w:rsidR="00C81DE9" w:rsidRPr="00C81DE9" w:rsidRDefault="00C81DE9" w:rsidP="00C81DE9">
            <w:pPr>
              <w:numPr>
                <w:ilvl w:val="0"/>
                <w:numId w:val="10"/>
              </w:numPr>
              <w:spacing w:after="0" w:line="240" w:lineRule="auto"/>
              <w:contextualSpacing/>
              <w:jc w:val="both"/>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t xml:space="preserve">Aumento anual (%) de superficie de bosque bajo protección (PINPEP </w:t>
            </w:r>
            <w:r w:rsidR="005F0145">
              <w:rPr>
                <w:rFonts w:ascii="OpenSans-Regular" w:eastAsia="Times New Roman" w:hAnsi="OpenSans-Regular" w:cs="Times New Roman"/>
                <w:spacing w:val="2"/>
                <w:sz w:val="20"/>
                <w:szCs w:val="20"/>
                <w:lang w:val="es-CL"/>
              </w:rPr>
              <w:t>y</w:t>
            </w:r>
            <w:r w:rsidRPr="00C81DE9">
              <w:rPr>
                <w:rFonts w:ascii="OpenSans-Regular" w:eastAsia="Times New Roman" w:hAnsi="OpenSans-Regular" w:cs="Times New Roman"/>
                <w:spacing w:val="2"/>
                <w:sz w:val="20"/>
                <w:szCs w:val="20"/>
                <w:lang w:val="es-CL"/>
              </w:rPr>
              <w:t xml:space="preserve"> PROBOSQUE)</w:t>
            </w:r>
          </w:p>
        </w:tc>
        <w:tc>
          <w:tcPr>
            <w:tcW w:w="799" w:type="pct"/>
            <w:shd w:val="clear" w:color="auto" w:fill="FFFFFF"/>
            <w:vAlign w:val="center"/>
          </w:tcPr>
          <w:p w14:paraId="5F7AA1A2"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t>INAB</w:t>
            </w:r>
          </w:p>
        </w:tc>
      </w:tr>
      <w:tr w:rsidR="00C81DE9" w:rsidRPr="00C81DE9" w14:paraId="0CC9062B" w14:textId="77777777" w:rsidTr="00C81DE9">
        <w:trPr>
          <w:trHeight w:val="1200"/>
        </w:trPr>
        <w:tc>
          <w:tcPr>
            <w:tcW w:w="859" w:type="pct"/>
            <w:vMerge/>
            <w:shd w:val="clear" w:color="auto" w:fill="FFFFFF"/>
            <w:noWrap/>
            <w:vAlign w:val="center"/>
            <w:hideMark/>
          </w:tcPr>
          <w:p w14:paraId="1C88DE72"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p>
        </w:tc>
        <w:tc>
          <w:tcPr>
            <w:tcW w:w="882" w:type="pct"/>
            <w:shd w:val="clear" w:color="auto" w:fill="FFFFFF"/>
            <w:vAlign w:val="center"/>
          </w:tcPr>
          <w:p w14:paraId="49CA7ABA" w14:textId="286999F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t>Mejoramiento de</w:t>
            </w:r>
            <w:r w:rsidR="005F0145">
              <w:rPr>
                <w:rFonts w:ascii="OpenSans-Regular" w:eastAsia="Times New Roman" w:hAnsi="OpenSans-Regular" w:cs="Times New Roman"/>
                <w:spacing w:val="2"/>
                <w:sz w:val="20"/>
                <w:szCs w:val="20"/>
                <w:lang w:val="es-CL"/>
              </w:rPr>
              <w:t xml:space="preserve"> los</w:t>
            </w:r>
            <w:r w:rsidRPr="00C81DE9">
              <w:rPr>
                <w:rFonts w:ascii="OpenSans-Regular" w:eastAsia="Times New Roman" w:hAnsi="OpenSans-Regular" w:cs="Times New Roman"/>
                <w:spacing w:val="2"/>
                <w:sz w:val="20"/>
                <w:szCs w:val="20"/>
                <w:lang w:val="es-CL"/>
              </w:rPr>
              <w:t xml:space="preserve"> Recursos hídrico</w:t>
            </w:r>
            <w:r w:rsidR="005F0145">
              <w:rPr>
                <w:rFonts w:ascii="OpenSans-Regular" w:eastAsia="Times New Roman" w:hAnsi="OpenSans-Regular" w:cs="Times New Roman"/>
                <w:spacing w:val="2"/>
                <w:sz w:val="20"/>
                <w:szCs w:val="20"/>
                <w:lang w:val="es-CL"/>
              </w:rPr>
              <w:t>s</w:t>
            </w:r>
            <w:r w:rsidRPr="00C81DE9">
              <w:rPr>
                <w:rFonts w:ascii="OpenSans-Regular" w:eastAsia="Times New Roman" w:hAnsi="OpenSans-Regular" w:cs="Times New Roman"/>
                <w:spacing w:val="2"/>
                <w:sz w:val="20"/>
                <w:szCs w:val="20"/>
                <w:lang w:val="es-CL"/>
              </w:rPr>
              <w:t xml:space="preserve"> y edáfico</w:t>
            </w:r>
            <w:r w:rsidR="005F0145">
              <w:rPr>
                <w:rFonts w:ascii="OpenSans-Regular" w:eastAsia="Times New Roman" w:hAnsi="OpenSans-Regular" w:cs="Times New Roman"/>
                <w:spacing w:val="2"/>
                <w:sz w:val="20"/>
                <w:szCs w:val="20"/>
                <w:lang w:val="es-CL"/>
              </w:rPr>
              <w:t>s</w:t>
            </w:r>
          </w:p>
        </w:tc>
        <w:tc>
          <w:tcPr>
            <w:tcW w:w="2460" w:type="pct"/>
            <w:shd w:val="clear" w:color="auto" w:fill="FFFFFF"/>
            <w:vAlign w:val="center"/>
          </w:tcPr>
          <w:p w14:paraId="77D31E10" w14:textId="77777777" w:rsidR="00C81DE9" w:rsidRPr="00C81DE9" w:rsidRDefault="00C81DE9" w:rsidP="00C81DE9">
            <w:pPr>
              <w:numPr>
                <w:ilvl w:val="0"/>
                <w:numId w:val="10"/>
              </w:numPr>
              <w:spacing w:after="0" w:line="240" w:lineRule="auto"/>
              <w:contextualSpacing/>
              <w:jc w:val="both"/>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t>Aumento anual (%) de superficie restaurada (tierras de cultivo mediante SAF  y tierras forestales mediante restauración)</w:t>
            </w:r>
          </w:p>
        </w:tc>
        <w:tc>
          <w:tcPr>
            <w:tcW w:w="799" w:type="pct"/>
            <w:shd w:val="clear" w:color="auto" w:fill="FFFFFF"/>
            <w:vAlign w:val="center"/>
          </w:tcPr>
          <w:p w14:paraId="79354C9C"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t>INAB</w:t>
            </w:r>
          </w:p>
        </w:tc>
      </w:tr>
      <w:tr w:rsidR="00C81DE9" w:rsidRPr="00C81DE9" w14:paraId="7FBD102D" w14:textId="77777777" w:rsidTr="00C81DE9">
        <w:trPr>
          <w:trHeight w:val="1200"/>
        </w:trPr>
        <w:tc>
          <w:tcPr>
            <w:tcW w:w="859" w:type="pct"/>
            <w:vMerge/>
            <w:shd w:val="clear" w:color="auto" w:fill="FFFFFF"/>
            <w:noWrap/>
            <w:vAlign w:val="center"/>
          </w:tcPr>
          <w:p w14:paraId="16FE5F17"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p>
        </w:tc>
        <w:tc>
          <w:tcPr>
            <w:tcW w:w="882" w:type="pct"/>
            <w:vMerge w:val="restart"/>
            <w:shd w:val="clear" w:color="auto" w:fill="FFFFFF"/>
            <w:vAlign w:val="center"/>
          </w:tcPr>
          <w:p w14:paraId="3792A310"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t>Provisión de producto maderables y no maderables</w:t>
            </w:r>
          </w:p>
          <w:p w14:paraId="0F866F03"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p>
        </w:tc>
        <w:tc>
          <w:tcPr>
            <w:tcW w:w="2460" w:type="pct"/>
            <w:shd w:val="clear" w:color="auto" w:fill="FFFFFF"/>
            <w:vAlign w:val="center"/>
          </w:tcPr>
          <w:p w14:paraId="335D8388" w14:textId="77777777" w:rsidR="00C81DE9" w:rsidRPr="00C81DE9" w:rsidRDefault="00C81DE9" w:rsidP="00C81DE9">
            <w:pPr>
              <w:numPr>
                <w:ilvl w:val="0"/>
                <w:numId w:val="10"/>
              </w:numPr>
              <w:spacing w:after="0" w:line="240" w:lineRule="auto"/>
              <w:contextualSpacing/>
              <w:jc w:val="both"/>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t>Incremento en volumen (%) autorizado anual de aprovechamiento de productos forestales en Areas protegidas (concesiones y fincas privadas)</w:t>
            </w:r>
          </w:p>
        </w:tc>
        <w:tc>
          <w:tcPr>
            <w:tcW w:w="799" w:type="pct"/>
            <w:shd w:val="clear" w:color="auto" w:fill="FFFFFF"/>
            <w:vAlign w:val="center"/>
          </w:tcPr>
          <w:p w14:paraId="258BD026"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t>CONAP</w:t>
            </w:r>
          </w:p>
        </w:tc>
      </w:tr>
      <w:tr w:rsidR="00C81DE9" w:rsidRPr="00C81DE9" w14:paraId="6D100C46" w14:textId="77777777" w:rsidTr="00C81DE9">
        <w:trPr>
          <w:trHeight w:val="960"/>
        </w:trPr>
        <w:tc>
          <w:tcPr>
            <w:tcW w:w="859" w:type="pct"/>
            <w:vMerge/>
            <w:shd w:val="clear" w:color="auto" w:fill="FFFFFF"/>
            <w:noWrap/>
            <w:vAlign w:val="center"/>
            <w:hideMark/>
          </w:tcPr>
          <w:p w14:paraId="13228E67"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p>
        </w:tc>
        <w:tc>
          <w:tcPr>
            <w:tcW w:w="882" w:type="pct"/>
            <w:vMerge/>
            <w:shd w:val="clear" w:color="auto" w:fill="FFFFFF"/>
            <w:vAlign w:val="center"/>
            <w:hideMark/>
          </w:tcPr>
          <w:p w14:paraId="2FBDC93B"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p>
        </w:tc>
        <w:tc>
          <w:tcPr>
            <w:tcW w:w="2460" w:type="pct"/>
            <w:shd w:val="clear" w:color="auto" w:fill="FFFFFF"/>
            <w:vAlign w:val="center"/>
            <w:hideMark/>
          </w:tcPr>
          <w:p w14:paraId="1EDD9EAC" w14:textId="0D98B4D6" w:rsidR="00C81DE9" w:rsidRPr="00C81DE9" w:rsidRDefault="00C81DE9" w:rsidP="00C81DE9">
            <w:pPr>
              <w:numPr>
                <w:ilvl w:val="0"/>
                <w:numId w:val="10"/>
              </w:numPr>
              <w:spacing w:after="0" w:line="240" w:lineRule="auto"/>
              <w:contextualSpacing/>
              <w:jc w:val="both"/>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t xml:space="preserve">Aumento anual (%) de superficie  para producción [incluye plantación forestal y MBN para producción (PINPEP </w:t>
            </w:r>
            <w:r w:rsidR="005F0145">
              <w:rPr>
                <w:rFonts w:ascii="OpenSans-Regular" w:eastAsia="Times New Roman" w:hAnsi="OpenSans-Regular" w:cs="Times New Roman"/>
                <w:spacing w:val="2"/>
                <w:sz w:val="20"/>
                <w:szCs w:val="20"/>
                <w:lang w:val="es-CL"/>
              </w:rPr>
              <w:t>y</w:t>
            </w:r>
            <w:r w:rsidRPr="00C81DE9">
              <w:rPr>
                <w:rFonts w:ascii="OpenSans-Regular" w:eastAsia="Times New Roman" w:hAnsi="OpenSans-Regular" w:cs="Times New Roman"/>
                <w:spacing w:val="2"/>
                <w:sz w:val="20"/>
                <w:szCs w:val="20"/>
                <w:lang w:val="es-CL"/>
              </w:rPr>
              <w:t xml:space="preserve"> PROBOSQUE)]</w:t>
            </w:r>
          </w:p>
        </w:tc>
        <w:tc>
          <w:tcPr>
            <w:tcW w:w="799" w:type="pct"/>
            <w:shd w:val="clear" w:color="auto" w:fill="FFFFFF"/>
            <w:vAlign w:val="center"/>
          </w:tcPr>
          <w:p w14:paraId="371CF5D7"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t>INAB</w:t>
            </w:r>
          </w:p>
        </w:tc>
      </w:tr>
      <w:tr w:rsidR="00C81DE9" w:rsidRPr="00C81DE9" w14:paraId="4D624493" w14:textId="77777777" w:rsidTr="00C81DE9">
        <w:trPr>
          <w:trHeight w:val="1168"/>
        </w:trPr>
        <w:tc>
          <w:tcPr>
            <w:tcW w:w="859" w:type="pct"/>
            <w:vMerge/>
            <w:shd w:val="clear" w:color="auto" w:fill="FFFFFF"/>
            <w:noWrap/>
            <w:vAlign w:val="center"/>
            <w:hideMark/>
          </w:tcPr>
          <w:p w14:paraId="1BB3CB19"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p>
        </w:tc>
        <w:tc>
          <w:tcPr>
            <w:tcW w:w="882" w:type="pct"/>
            <w:vMerge/>
            <w:shd w:val="clear" w:color="auto" w:fill="FFFFFF"/>
            <w:vAlign w:val="center"/>
          </w:tcPr>
          <w:p w14:paraId="5B8346B0"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p>
        </w:tc>
        <w:tc>
          <w:tcPr>
            <w:tcW w:w="2460" w:type="pct"/>
            <w:shd w:val="clear" w:color="auto" w:fill="FFFFFF"/>
            <w:vAlign w:val="center"/>
          </w:tcPr>
          <w:p w14:paraId="563BA826" w14:textId="77777777" w:rsidR="00C81DE9" w:rsidRPr="00C81DE9" w:rsidRDefault="00C81DE9" w:rsidP="00C81DE9">
            <w:pPr>
              <w:numPr>
                <w:ilvl w:val="0"/>
                <w:numId w:val="10"/>
              </w:numPr>
              <w:spacing w:after="0" w:line="240" w:lineRule="auto"/>
              <w:contextualSpacing/>
              <w:jc w:val="both"/>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t>Incremento anual de empresas forestales registradas y activas en RNF (centros de acopio y depósitos de productos forestales  e industria forestal y productoras no maderables)</w:t>
            </w:r>
          </w:p>
        </w:tc>
        <w:tc>
          <w:tcPr>
            <w:tcW w:w="799" w:type="pct"/>
            <w:shd w:val="clear" w:color="auto" w:fill="FFFFFF"/>
            <w:vAlign w:val="center"/>
          </w:tcPr>
          <w:p w14:paraId="49AEAE51"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t>INAB</w:t>
            </w:r>
          </w:p>
        </w:tc>
      </w:tr>
      <w:tr w:rsidR="00C81DE9" w:rsidRPr="00C81DE9" w14:paraId="1E823B01" w14:textId="77777777" w:rsidTr="00C81DE9">
        <w:trPr>
          <w:trHeight w:val="703"/>
        </w:trPr>
        <w:tc>
          <w:tcPr>
            <w:tcW w:w="859" w:type="pct"/>
            <w:vMerge w:val="restart"/>
            <w:shd w:val="clear" w:color="auto" w:fill="FFFFFF"/>
            <w:noWrap/>
            <w:hideMark/>
          </w:tcPr>
          <w:p w14:paraId="4DED8B80"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t>Socio-económico</w:t>
            </w:r>
          </w:p>
          <w:p w14:paraId="2D0D8E02"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p>
        </w:tc>
        <w:tc>
          <w:tcPr>
            <w:tcW w:w="882" w:type="pct"/>
            <w:vMerge w:val="restart"/>
            <w:shd w:val="clear" w:color="auto" w:fill="FFFFFF"/>
            <w:hideMark/>
          </w:tcPr>
          <w:p w14:paraId="7C0DBAC4"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t>Mejorar los medios de vida</w:t>
            </w:r>
          </w:p>
          <w:p w14:paraId="35C2DB74"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p>
        </w:tc>
        <w:tc>
          <w:tcPr>
            <w:tcW w:w="2460" w:type="pct"/>
            <w:shd w:val="clear" w:color="auto" w:fill="FFFFFF"/>
            <w:hideMark/>
          </w:tcPr>
          <w:p w14:paraId="0F69BA80" w14:textId="77A9605D" w:rsidR="00C81DE9" w:rsidRPr="00C81DE9" w:rsidRDefault="00C81DE9" w:rsidP="00C81DE9">
            <w:pPr>
              <w:numPr>
                <w:ilvl w:val="0"/>
                <w:numId w:val="10"/>
              </w:numPr>
              <w:spacing w:after="0" w:line="240" w:lineRule="auto"/>
              <w:contextualSpacing/>
              <w:jc w:val="both"/>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t>Incremento anual en monto (Q) generado anualmente por incentivos forestales</w:t>
            </w:r>
            <w:r w:rsidR="005F0145">
              <w:rPr>
                <w:rFonts w:ascii="OpenSans-Regular" w:eastAsia="Times New Roman" w:hAnsi="OpenSans-Regular" w:cs="Times New Roman"/>
                <w:spacing w:val="2"/>
                <w:sz w:val="20"/>
                <w:szCs w:val="20"/>
                <w:lang w:val="es-CL"/>
              </w:rPr>
              <w:t>.</w:t>
            </w:r>
          </w:p>
        </w:tc>
        <w:tc>
          <w:tcPr>
            <w:tcW w:w="799" w:type="pct"/>
            <w:shd w:val="clear" w:color="auto" w:fill="FFFFFF"/>
          </w:tcPr>
          <w:p w14:paraId="66246D4E"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t>INAB</w:t>
            </w:r>
          </w:p>
        </w:tc>
      </w:tr>
      <w:tr w:rsidR="00C81DE9" w:rsidRPr="00C81DE9" w14:paraId="724E6DA7" w14:textId="77777777" w:rsidTr="00C81DE9">
        <w:trPr>
          <w:trHeight w:val="840"/>
        </w:trPr>
        <w:tc>
          <w:tcPr>
            <w:tcW w:w="859" w:type="pct"/>
            <w:vMerge/>
            <w:shd w:val="clear" w:color="auto" w:fill="FFFFFF"/>
            <w:noWrap/>
            <w:hideMark/>
          </w:tcPr>
          <w:p w14:paraId="051E5DE6"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p>
        </w:tc>
        <w:tc>
          <w:tcPr>
            <w:tcW w:w="882" w:type="pct"/>
            <w:vMerge/>
            <w:shd w:val="clear" w:color="auto" w:fill="FFFFFF"/>
            <w:hideMark/>
          </w:tcPr>
          <w:p w14:paraId="7904ED6F"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p>
        </w:tc>
        <w:tc>
          <w:tcPr>
            <w:tcW w:w="2460" w:type="pct"/>
            <w:shd w:val="clear" w:color="auto" w:fill="FFFFFF"/>
            <w:hideMark/>
          </w:tcPr>
          <w:p w14:paraId="4D15B3F5" w14:textId="37E2CA72" w:rsidR="00C81DE9" w:rsidRPr="00C81DE9" w:rsidRDefault="00C81DE9" w:rsidP="00C81DE9">
            <w:pPr>
              <w:numPr>
                <w:ilvl w:val="0"/>
                <w:numId w:val="10"/>
              </w:numPr>
              <w:spacing w:after="0" w:line="240" w:lineRule="auto"/>
              <w:contextualSpacing/>
              <w:jc w:val="both"/>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t>Incremento anual (%) en el número de jornales generados anualmente por incentivos forestales y concesiones forestales</w:t>
            </w:r>
            <w:r w:rsidR="005F0145">
              <w:rPr>
                <w:rFonts w:ascii="OpenSans-Regular" w:eastAsia="Times New Roman" w:hAnsi="OpenSans-Regular" w:cs="Times New Roman"/>
                <w:spacing w:val="2"/>
                <w:sz w:val="20"/>
                <w:szCs w:val="20"/>
                <w:lang w:val="es-CL"/>
              </w:rPr>
              <w:t>.</w:t>
            </w:r>
          </w:p>
        </w:tc>
        <w:tc>
          <w:tcPr>
            <w:tcW w:w="799" w:type="pct"/>
            <w:shd w:val="clear" w:color="auto" w:fill="FFFFFF"/>
          </w:tcPr>
          <w:p w14:paraId="54A5A8ED"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t>INAB-CONAP</w:t>
            </w:r>
          </w:p>
        </w:tc>
      </w:tr>
      <w:tr w:rsidR="00C81DE9" w:rsidRPr="00C81DE9" w14:paraId="205DCFC3" w14:textId="77777777" w:rsidTr="00C81DE9">
        <w:trPr>
          <w:trHeight w:val="710"/>
        </w:trPr>
        <w:tc>
          <w:tcPr>
            <w:tcW w:w="859" w:type="pct"/>
            <w:vMerge/>
            <w:shd w:val="clear" w:color="auto" w:fill="FFFFFF"/>
            <w:noWrap/>
            <w:hideMark/>
          </w:tcPr>
          <w:p w14:paraId="45D18C8A"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p>
        </w:tc>
        <w:tc>
          <w:tcPr>
            <w:tcW w:w="882" w:type="pct"/>
            <w:vMerge/>
            <w:shd w:val="clear" w:color="auto" w:fill="FFFFFF"/>
            <w:hideMark/>
          </w:tcPr>
          <w:p w14:paraId="13096121"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p>
        </w:tc>
        <w:tc>
          <w:tcPr>
            <w:tcW w:w="2460" w:type="pct"/>
            <w:shd w:val="clear" w:color="auto" w:fill="FFFFFF"/>
            <w:hideMark/>
          </w:tcPr>
          <w:p w14:paraId="69DFDE0B" w14:textId="77777777" w:rsidR="00C81DE9" w:rsidRPr="00C81DE9" w:rsidRDefault="00C81DE9" w:rsidP="00C81DE9">
            <w:pPr>
              <w:numPr>
                <w:ilvl w:val="0"/>
                <w:numId w:val="10"/>
              </w:numPr>
              <w:spacing w:after="0" w:line="240" w:lineRule="auto"/>
              <w:contextualSpacing/>
              <w:jc w:val="both"/>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t>Incremento anual (%) en número de beneficiarios de incentivos forestales</w:t>
            </w:r>
          </w:p>
        </w:tc>
        <w:tc>
          <w:tcPr>
            <w:tcW w:w="799" w:type="pct"/>
            <w:shd w:val="clear" w:color="auto" w:fill="FFFFFF"/>
          </w:tcPr>
          <w:p w14:paraId="4C562888"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t>INAB</w:t>
            </w:r>
          </w:p>
        </w:tc>
      </w:tr>
      <w:tr w:rsidR="00C81DE9" w:rsidRPr="00C81DE9" w14:paraId="1E139FB5" w14:textId="77777777" w:rsidTr="00C81DE9">
        <w:trPr>
          <w:trHeight w:val="976"/>
        </w:trPr>
        <w:tc>
          <w:tcPr>
            <w:tcW w:w="859" w:type="pct"/>
            <w:vMerge/>
            <w:shd w:val="clear" w:color="auto" w:fill="FFFFFF"/>
            <w:noWrap/>
            <w:hideMark/>
          </w:tcPr>
          <w:p w14:paraId="49F823F6"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p>
        </w:tc>
        <w:tc>
          <w:tcPr>
            <w:tcW w:w="882" w:type="pct"/>
            <w:vMerge w:val="restart"/>
            <w:shd w:val="clear" w:color="auto" w:fill="FFFFFF"/>
            <w:hideMark/>
          </w:tcPr>
          <w:p w14:paraId="4F887014"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t>Inclusión de  sectores vulnerables</w:t>
            </w:r>
          </w:p>
        </w:tc>
        <w:tc>
          <w:tcPr>
            <w:tcW w:w="2460" w:type="pct"/>
            <w:shd w:val="clear" w:color="auto" w:fill="FFFFFF"/>
            <w:hideMark/>
          </w:tcPr>
          <w:p w14:paraId="404095B1" w14:textId="68E2E77A" w:rsidR="00C81DE9" w:rsidRPr="00C81DE9" w:rsidRDefault="00C81DE9" w:rsidP="00C81DE9">
            <w:pPr>
              <w:numPr>
                <w:ilvl w:val="0"/>
                <w:numId w:val="10"/>
              </w:numPr>
              <w:spacing w:after="0" w:line="240" w:lineRule="auto"/>
              <w:contextualSpacing/>
              <w:jc w:val="both"/>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t>Participación de sectores vulnerables (mujeres, jóvenes y pueblos indígenas) como beneficiarios directos de incentivos forestales mayor a un 2</w:t>
            </w:r>
            <w:r w:rsidR="005F0145">
              <w:rPr>
                <w:rFonts w:ascii="OpenSans-Regular" w:eastAsia="Times New Roman" w:hAnsi="OpenSans-Regular" w:cs="Times New Roman"/>
                <w:spacing w:val="2"/>
                <w:sz w:val="20"/>
                <w:szCs w:val="20"/>
                <w:lang w:val="es-CL"/>
              </w:rPr>
              <w:t>5</w:t>
            </w:r>
            <w:r w:rsidRPr="00C81DE9">
              <w:rPr>
                <w:rFonts w:ascii="OpenSans-Regular" w:eastAsia="Times New Roman" w:hAnsi="OpenSans-Regular" w:cs="Times New Roman"/>
                <w:spacing w:val="2"/>
                <w:sz w:val="20"/>
                <w:szCs w:val="20"/>
                <w:lang w:val="es-CL"/>
              </w:rPr>
              <w:t>%.</w:t>
            </w:r>
          </w:p>
        </w:tc>
        <w:tc>
          <w:tcPr>
            <w:tcW w:w="799" w:type="pct"/>
            <w:shd w:val="clear" w:color="auto" w:fill="FFFFFF"/>
          </w:tcPr>
          <w:p w14:paraId="08BB8CC2"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t>INAB</w:t>
            </w:r>
          </w:p>
        </w:tc>
      </w:tr>
      <w:tr w:rsidR="00C81DE9" w:rsidRPr="00C81DE9" w14:paraId="1A9AA698" w14:textId="77777777" w:rsidTr="00C81DE9">
        <w:trPr>
          <w:trHeight w:val="841"/>
        </w:trPr>
        <w:tc>
          <w:tcPr>
            <w:tcW w:w="859" w:type="pct"/>
            <w:vMerge/>
            <w:shd w:val="clear" w:color="auto" w:fill="FFFFFF"/>
            <w:noWrap/>
          </w:tcPr>
          <w:p w14:paraId="71E2A331"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p>
        </w:tc>
        <w:tc>
          <w:tcPr>
            <w:tcW w:w="882" w:type="pct"/>
            <w:vMerge/>
            <w:shd w:val="clear" w:color="auto" w:fill="FFFFFF"/>
          </w:tcPr>
          <w:p w14:paraId="1E9B70BC"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p>
        </w:tc>
        <w:tc>
          <w:tcPr>
            <w:tcW w:w="2460" w:type="pct"/>
            <w:shd w:val="clear" w:color="auto" w:fill="FFFFFF"/>
          </w:tcPr>
          <w:p w14:paraId="4C409F5B" w14:textId="48CE9F6E" w:rsidR="00C81DE9" w:rsidRPr="00C81DE9" w:rsidRDefault="00C81DE9" w:rsidP="00C81DE9">
            <w:pPr>
              <w:numPr>
                <w:ilvl w:val="0"/>
                <w:numId w:val="10"/>
              </w:numPr>
              <w:spacing w:after="0" w:line="240" w:lineRule="auto"/>
              <w:contextualSpacing/>
              <w:jc w:val="both"/>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t>Incremento anual</w:t>
            </w:r>
            <w:r w:rsidR="005F0145">
              <w:rPr>
                <w:rFonts w:ascii="OpenSans-Regular" w:eastAsia="Times New Roman" w:hAnsi="OpenSans-Regular" w:cs="Times New Roman"/>
                <w:spacing w:val="2"/>
                <w:sz w:val="20"/>
                <w:szCs w:val="20"/>
                <w:lang w:val="es-CL"/>
              </w:rPr>
              <w:t xml:space="preserve"> (%)</w:t>
            </w:r>
            <w:r w:rsidRPr="00C81DE9">
              <w:rPr>
                <w:rFonts w:ascii="OpenSans-Regular" w:eastAsia="Times New Roman" w:hAnsi="OpenSans-Regular" w:cs="Times New Roman"/>
                <w:spacing w:val="2"/>
                <w:sz w:val="20"/>
                <w:szCs w:val="20"/>
                <w:lang w:val="es-CL"/>
              </w:rPr>
              <w:t xml:space="preserve"> en número de mujeres en Juntas directivas de Comités de Cuencas y Microcuencas</w:t>
            </w:r>
          </w:p>
        </w:tc>
        <w:tc>
          <w:tcPr>
            <w:tcW w:w="799" w:type="pct"/>
            <w:shd w:val="clear" w:color="auto" w:fill="FFFFFF"/>
          </w:tcPr>
          <w:p w14:paraId="662E55B3" w14:textId="3C53D2A1" w:rsidR="00C81DE9" w:rsidRPr="00C81DE9" w:rsidRDefault="005F0145" w:rsidP="00C81DE9">
            <w:pPr>
              <w:spacing w:after="0" w:line="240" w:lineRule="auto"/>
              <w:rPr>
                <w:rFonts w:ascii="OpenSans-Regular" w:eastAsia="Times New Roman" w:hAnsi="OpenSans-Regular" w:cs="Times New Roman"/>
                <w:spacing w:val="2"/>
                <w:sz w:val="20"/>
                <w:szCs w:val="20"/>
                <w:lang w:val="es-CL"/>
              </w:rPr>
            </w:pPr>
            <w:r>
              <w:rPr>
                <w:rFonts w:ascii="OpenSans-Regular" w:eastAsia="Times New Roman" w:hAnsi="OpenSans-Regular" w:cs="Times New Roman"/>
                <w:spacing w:val="2"/>
                <w:sz w:val="20"/>
                <w:szCs w:val="20"/>
                <w:lang w:val="es-CL"/>
              </w:rPr>
              <w:t>MARN</w:t>
            </w:r>
          </w:p>
        </w:tc>
      </w:tr>
      <w:tr w:rsidR="00C81DE9" w:rsidRPr="00C81DE9" w14:paraId="1D5692A8" w14:textId="77777777" w:rsidTr="00C81DE9">
        <w:trPr>
          <w:trHeight w:val="1691"/>
        </w:trPr>
        <w:tc>
          <w:tcPr>
            <w:tcW w:w="859" w:type="pct"/>
            <w:vMerge/>
            <w:shd w:val="clear" w:color="auto" w:fill="FFFFFF"/>
            <w:noWrap/>
            <w:hideMark/>
          </w:tcPr>
          <w:p w14:paraId="39F5E4A5"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p>
        </w:tc>
        <w:tc>
          <w:tcPr>
            <w:tcW w:w="882" w:type="pct"/>
            <w:shd w:val="clear" w:color="auto" w:fill="FFFFFF"/>
            <w:hideMark/>
          </w:tcPr>
          <w:p w14:paraId="29515619"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t>Fortalecimiento de capacidades</w:t>
            </w:r>
          </w:p>
        </w:tc>
        <w:tc>
          <w:tcPr>
            <w:tcW w:w="2460" w:type="pct"/>
            <w:shd w:val="clear" w:color="auto" w:fill="FFFFFF"/>
            <w:hideMark/>
          </w:tcPr>
          <w:p w14:paraId="3060D3DA" w14:textId="77777777" w:rsidR="00C81DE9" w:rsidRPr="00C81DE9" w:rsidRDefault="00C81DE9" w:rsidP="00C81DE9">
            <w:pPr>
              <w:numPr>
                <w:ilvl w:val="0"/>
                <w:numId w:val="10"/>
              </w:numPr>
              <w:spacing w:after="0" w:line="240" w:lineRule="auto"/>
              <w:contextualSpacing/>
              <w:jc w:val="both"/>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t>Incremento anual en número personas con asistencia técnica en  manejo de bosque sostenible, diversidad biológica, captación de agua de lluvia, conservación de suelos, sistemas agroforestales agroforestería y seguridad alimentaria</w:t>
            </w:r>
          </w:p>
        </w:tc>
        <w:tc>
          <w:tcPr>
            <w:tcW w:w="799" w:type="pct"/>
            <w:shd w:val="clear" w:color="auto" w:fill="FFFFFF"/>
          </w:tcPr>
          <w:p w14:paraId="0DAC12B6"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t>CONAP-MAGA</w:t>
            </w:r>
          </w:p>
        </w:tc>
      </w:tr>
      <w:tr w:rsidR="00C81DE9" w:rsidRPr="00C81DE9" w14:paraId="70B4D0C9" w14:textId="77777777" w:rsidTr="00C81DE9">
        <w:trPr>
          <w:trHeight w:val="1200"/>
        </w:trPr>
        <w:tc>
          <w:tcPr>
            <w:tcW w:w="859" w:type="pct"/>
            <w:vMerge/>
            <w:shd w:val="clear" w:color="auto" w:fill="FFFFFF"/>
            <w:noWrap/>
            <w:hideMark/>
          </w:tcPr>
          <w:p w14:paraId="1D44F5E6"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p>
        </w:tc>
        <w:tc>
          <w:tcPr>
            <w:tcW w:w="882" w:type="pct"/>
            <w:shd w:val="clear" w:color="auto" w:fill="FFFFFF"/>
            <w:hideMark/>
          </w:tcPr>
          <w:p w14:paraId="799A3B3D"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t>Fortalecimiento de Gobernanza Local</w:t>
            </w:r>
          </w:p>
        </w:tc>
        <w:tc>
          <w:tcPr>
            <w:tcW w:w="2460" w:type="pct"/>
            <w:shd w:val="clear" w:color="auto" w:fill="FFFFFF"/>
            <w:hideMark/>
          </w:tcPr>
          <w:p w14:paraId="2CDF8654" w14:textId="78C6B611" w:rsidR="00C81DE9" w:rsidRPr="00C81DE9" w:rsidRDefault="00C81DE9" w:rsidP="00C81DE9">
            <w:pPr>
              <w:numPr>
                <w:ilvl w:val="0"/>
                <w:numId w:val="10"/>
              </w:numPr>
              <w:spacing w:after="0" w:line="240" w:lineRule="auto"/>
              <w:contextualSpacing/>
              <w:jc w:val="both"/>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t>Incremento de unidades a nivel municipal y comunal de INAB y MAGA que presenten servicio</w:t>
            </w:r>
            <w:r w:rsidR="005F0145">
              <w:rPr>
                <w:rFonts w:ascii="OpenSans-Regular" w:eastAsia="Times New Roman" w:hAnsi="OpenSans-Regular" w:cs="Times New Roman"/>
                <w:spacing w:val="2"/>
                <w:sz w:val="20"/>
                <w:szCs w:val="20"/>
                <w:lang w:val="es-CL"/>
              </w:rPr>
              <w:t>s</w:t>
            </w:r>
            <w:r w:rsidRPr="00C81DE9">
              <w:rPr>
                <w:rFonts w:ascii="OpenSans-Regular" w:eastAsia="Times New Roman" w:hAnsi="OpenSans-Regular" w:cs="Times New Roman"/>
                <w:spacing w:val="2"/>
                <w:sz w:val="20"/>
                <w:szCs w:val="20"/>
                <w:lang w:val="es-CL"/>
              </w:rPr>
              <w:t xml:space="preserve"> forestales, agroforestales y silvopastoriles</w:t>
            </w:r>
            <w:r w:rsidR="00CC36DC">
              <w:rPr>
                <w:rFonts w:ascii="OpenSans-Regular" w:eastAsia="Times New Roman" w:hAnsi="OpenSans-Regular" w:cs="Times New Roman"/>
                <w:spacing w:val="2"/>
                <w:sz w:val="20"/>
                <w:szCs w:val="20"/>
                <w:lang w:val="es-CL"/>
              </w:rPr>
              <w:t xml:space="preserve"> (OFGM, AMER y CADER)</w:t>
            </w:r>
          </w:p>
        </w:tc>
        <w:tc>
          <w:tcPr>
            <w:tcW w:w="799" w:type="pct"/>
            <w:shd w:val="clear" w:color="auto" w:fill="FFFFFF"/>
          </w:tcPr>
          <w:p w14:paraId="1630FF0A" w14:textId="77777777" w:rsidR="00C81DE9" w:rsidRPr="00C81DE9" w:rsidRDefault="00C81DE9" w:rsidP="00C81DE9">
            <w:pPr>
              <w:spacing w:after="0" w:line="240" w:lineRule="auto"/>
              <w:rPr>
                <w:rFonts w:ascii="OpenSans-Regular" w:eastAsia="Times New Roman" w:hAnsi="OpenSans-Regular" w:cs="Times New Roman"/>
                <w:spacing w:val="2"/>
                <w:sz w:val="20"/>
                <w:szCs w:val="20"/>
                <w:lang w:val="es-CL"/>
              </w:rPr>
            </w:pPr>
            <w:r w:rsidRPr="00C81DE9">
              <w:rPr>
                <w:rFonts w:ascii="OpenSans-Regular" w:eastAsia="Times New Roman" w:hAnsi="OpenSans-Regular" w:cs="Times New Roman"/>
                <w:spacing w:val="2"/>
                <w:sz w:val="20"/>
                <w:szCs w:val="20"/>
                <w:lang w:val="es-CL"/>
              </w:rPr>
              <w:t>INAB-MAGA</w:t>
            </w:r>
          </w:p>
        </w:tc>
      </w:tr>
    </w:tbl>
    <w:p w14:paraId="23251C9C" w14:textId="3468ABDC" w:rsidR="0091780A" w:rsidRPr="005D6DC5" w:rsidRDefault="0091780A" w:rsidP="00C81DE9">
      <w:pPr>
        <w:spacing w:after="200" w:line="276" w:lineRule="auto"/>
        <w:contextualSpacing/>
        <w:jc w:val="both"/>
        <w:rPr>
          <w:lang w:val="es-CL"/>
        </w:rPr>
      </w:pPr>
    </w:p>
    <w:p w14:paraId="37D8F3A8" w14:textId="72E320EC" w:rsidR="00DE4F9D" w:rsidRPr="005D6DC5" w:rsidRDefault="00DE4F9D" w:rsidP="00DE4F9D">
      <w:pPr>
        <w:spacing w:after="200" w:line="276" w:lineRule="auto"/>
        <w:contextualSpacing/>
        <w:jc w:val="both"/>
        <w:rPr>
          <w:lang w:val="es-CL"/>
        </w:rPr>
      </w:pPr>
    </w:p>
    <w:p w14:paraId="5EA2A24B" w14:textId="77777777" w:rsidR="00C33ADB" w:rsidRPr="00D81EC9" w:rsidRDefault="00C33ADB" w:rsidP="00C33ADB">
      <w:pPr>
        <w:pStyle w:val="NormalWeb"/>
        <w:shd w:val="clear" w:color="auto" w:fill="FFFFFF"/>
        <w:spacing w:before="0" w:beforeAutospacing="0" w:after="0" w:afterAutospacing="0" w:line="510" w:lineRule="atLeast"/>
        <w:textAlignment w:val="baseline"/>
        <w:rPr>
          <w:rFonts w:ascii="CircularStd-Black" w:hAnsi="CircularStd-Black"/>
          <w:b/>
          <w:bCs/>
          <w:color w:val="474747"/>
          <w:spacing w:val="2"/>
          <w:sz w:val="36"/>
          <w:szCs w:val="36"/>
          <w:lang w:val="es-CL"/>
        </w:rPr>
      </w:pPr>
      <w:r>
        <w:rPr>
          <w:rFonts w:ascii="CircularStd-Black" w:hAnsi="CircularStd-Black"/>
          <w:b/>
          <w:bCs/>
          <w:color w:val="474747"/>
          <w:spacing w:val="2"/>
          <w:sz w:val="36"/>
          <w:szCs w:val="36"/>
          <w:lang w:val="es-CL"/>
        </w:rPr>
        <w:t>Reporte de Beneficios No Carbono</w:t>
      </w:r>
    </w:p>
    <w:p w14:paraId="47F5230B" w14:textId="77777777" w:rsidR="00C33ADB" w:rsidRDefault="00C33ADB" w:rsidP="00C81DE9">
      <w:pPr>
        <w:jc w:val="both"/>
        <w:rPr>
          <w:lang w:val="es-CL"/>
        </w:rPr>
      </w:pPr>
    </w:p>
    <w:p w14:paraId="6F3F2B47" w14:textId="20390EAF" w:rsidR="00C81DE9" w:rsidRPr="00C33ADB" w:rsidRDefault="00C81DE9" w:rsidP="00C81DE9">
      <w:pPr>
        <w:jc w:val="both"/>
        <w:rPr>
          <w:rFonts w:ascii="OpenSans-Regular" w:eastAsia="Times New Roman" w:hAnsi="OpenSans-Regular" w:cs="Times New Roman"/>
          <w:spacing w:val="2"/>
          <w:sz w:val="24"/>
          <w:szCs w:val="24"/>
          <w:lang w:val="es-CL"/>
        </w:rPr>
      </w:pPr>
      <w:r w:rsidRPr="00C33ADB">
        <w:rPr>
          <w:rFonts w:ascii="OpenSans-Regular" w:eastAsia="Times New Roman" w:hAnsi="OpenSans-Regular" w:cs="Times New Roman"/>
          <w:spacing w:val="2"/>
          <w:sz w:val="24"/>
          <w:szCs w:val="24"/>
          <w:lang w:val="es-CL"/>
        </w:rPr>
        <w:t xml:space="preserve">Para reportar los Beneficios No Carbono las instituciones del GCI serán responsables del monitoreo mediante: </w:t>
      </w:r>
    </w:p>
    <w:p w14:paraId="656C4444" w14:textId="41D9DAB7" w:rsidR="00C81DE9" w:rsidRDefault="00C81DE9" w:rsidP="00C81DE9">
      <w:pPr>
        <w:pStyle w:val="Prrafodelista"/>
        <w:numPr>
          <w:ilvl w:val="0"/>
          <w:numId w:val="11"/>
        </w:numPr>
        <w:jc w:val="both"/>
        <w:rPr>
          <w:rFonts w:ascii="OpenSans-Regular" w:eastAsia="Times New Roman" w:hAnsi="OpenSans-Regular" w:cs="Times New Roman"/>
          <w:spacing w:val="2"/>
          <w:sz w:val="24"/>
          <w:szCs w:val="24"/>
          <w:lang w:val="es-CL"/>
        </w:rPr>
      </w:pPr>
      <w:r w:rsidRPr="00C33ADB">
        <w:rPr>
          <w:rFonts w:ascii="OpenSans-Regular" w:eastAsia="Times New Roman" w:hAnsi="OpenSans-Regular" w:cs="Times New Roman"/>
          <w:spacing w:val="2"/>
          <w:sz w:val="24"/>
          <w:szCs w:val="24"/>
          <w:lang w:val="es-CL"/>
        </w:rPr>
        <w:t xml:space="preserve">Captura de información primaria a través de los sistemas de información existente y los registros administrativos de cada institución. En este contexto, cada institución que conforma el GCI cuenta con los formatos para la captura de datos. Estas hojas de cálculo están diseñadas para que cada institución ingrese: i) variables a medir, </w:t>
      </w:r>
      <w:proofErr w:type="spellStart"/>
      <w:r w:rsidRPr="00C33ADB">
        <w:rPr>
          <w:rFonts w:ascii="OpenSans-Regular" w:eastAsia="Times New Roman" w:hAnsi="OpenSans-Regular" w:cs="Times New Roman"/>
          <w:spacing w:val="2"/>
          <w:sz w:val="24"/>
          <w:szCs w:val="24"/>
          <w:lang w:val="es-CL"/>
        </w:rPr>
        <w:t>ii</w:t>
      </w:r>
      <w:proofErr w:type="spellEnd"/>
      <w:r w:rsidRPr="00C33ADB">
        <w:rPr>
          <w:rFonts w:ascii="OpenSans-Regular" w:eastAsia="Times New Roman" w:hAnsi="OpenSans-Regular" w:cs="Times New Roman"/>
          <w:spacing w:val="2"/>
          <w:sz w:val="24"/>
          <w:szCs w:val="24"/>
          <w:lang w:val="es-CL"/>
        </w:rPr>
        <w:t xml:space="preserve">) fecha, </w:t>
      </w:r>
      <w:proofErr w:type="spellStart"/>
      <w:r w:rsidRPr="00C33ADB">
        <w:rPr>
          <w:rFonts w:ascii="OpenSans-Regular" w:eastAsia="Times New Roman" w:hAnsi="OpenSans-Regular" w:cs="Times New Roman"/>
          <w:spacing w:val="2"/>
          <w:sz w:val="24"/>
          <w:szCs w:val="24"/>
          <w:lang w:val="es-CL"/>
        </w:rPr>
        <w:t>iii</w:t>
      </w:r>
      <w:proofErr w:type="spellEnd"/>
      <w:r w:rsidRPr="00C33ADB">
        <w:rPr>
          <w:rFonts w:ascii="OpenSans-Regular" w:eastAsia="Times New Roman" w:hAnsi="OpenSans-Regular" w:cs="Times New Roman"/>
          <w:spacing w:val="2"/>
          <w:sz w:val="24"/>
          <w:szCs w:val="24"/>
          <w:lang w:val="es-CL"/>
        </w:rPr>
        <w:t xml:space="preserve">) comentario y medio de verificación opcional. </w:t>
      </w:r>
    </w:p>
    <w:p w14:paraId="5DA87E3D" w14:textId="7EB518A6" w:rsidR="00C33ADB" w:rsidRDefault="0012782A" w:rsidP="00C33ADB">
      <w:pPr>
        <w:ind w:left="708"/>
        <w:jc w:val="both"/>
        <w:rPr>
          <w:rFonts w:ascii="OpenSans-Regular" w:eastAsia="Times New Roman" w:hAnsi="OpenSans-Regular" w:cs="Times New Roman"/>
          <w:spacing w:val="2"/>
          <w:sz w:val="24"/>
          <w:szCs w:val="24"/>
          <w:lang w:val="es-CL"/>
        </w:rPr>
      </w:pPr>
      <w:hyperlink r:id="rId13" w:history="1">
        <w:r w:rsidR="00C33ADB" w:rsidRPr="00E945D3">
          <w:rPr>
            <w:rStyle w:val="Hipervnculo"/>
            <w:rFonts w:ascii="OpenSans-Regular" w:eastAsia="Times New Roman" w:hAnsi="OpenSans-Regular" w:cs="Times New Roman"/>
            <w:spacing w:val="2"/>
            <w:sz w:val="24"/>
            <w:szCs w:val="24"/>
            <w:lang w:val="es-CL"/>
          </w:rPr>
          <w:t xml:space="preserve">Formato captura de </w:t>
        </w:r>
        <w:r w:rsidR="00E945D3">
          <w:rPr>
            <w:rStyle w:val="Hipervnculo"/>
            <w:rFonts w:ascii="OpenSans-Regular" w:eastAsia="Times New Roman" w:hAnsi="OpenSans-Regular" w:cs="Times New Roman"/>
            <w:spacing w:val="2"/>
            <w:sz w:val="24"/>
            <w:szCs w:val="24"/>
            <w:lang w:val="es-CL"/>
          </w:rPr>
          <w:t>datos</w:t>
        </w:r>
        <w:r w:rsidR="00C33ADB" w:rsidRPr="00E945D3">
          <w:rPr>
            <w:rStyle w:val="Hipervnculo"/>
            <w:rFonts w:ascii="OpenSans-Regular" w:eastAsia="Times New Roman" w:hAnsi="OpenSans-Regular" w:cs="Times New Roman"/>
            <w:spacing w:val="2"/>
            <w:sz w:val="24"/>
            <w:szCs w:val="24"/>
            <w:lang w:val="es-CL"/>
          </w:rPr>
          <w:t xml:space="preserve"> INAB</w:t>
        </w:r>
      </w:hyperlink>
    </w:p>
    <w:p w14:paraId="7E60C2D8" w14:textId="4E41E81A" w:rsidR="00C33ADB" w:rsidRDefault="0012782A" w:rsidP="00C33ADB">
      <w:pPr>
        <w:ind w:left="708"/>
        <w:jc w:val="both"/>
        <w:rPr>
          <w:rFonts w:ascii="OpenSans-Regular" w:eastAsia="Times New Roman" w:hAnsi="OpenSans-Regular" w:cs="Times New Roman"/>
          <w:spacing w:val="2"/>
          <w:sz w:val="24"/>
          <w:szCs w:val="24"/>
          <w:lang w:val="es-CL"/>
        </w:rPr>
      </w:pPr>
      <w:hyperlink r:id="rId14" w:history="1">
        <w:r w:rsidR="00C33ADB" w:rsidRPr="00E945D3">
          <w:rPr>
            <w:rStyle w:val="Hipervnculo"/>
            <w:rFonts w:ascii="OpenSans-Regular" w:eastAsia="Times New Roman" w:hAnsi="OpenSans-Regular" w:cs="Times New Roman"/>
            <w:spacing w:val="2"/>
            <w:sz w:val="24"/>
            <w:szCs w:val="24"/>
            <w:lang w:val="es-CL"/>
          </w:rPr>
          <w:t xml:space="preserve">Formato captura de </w:t>
        </w:r>
        <w:r w:rsidR="00E945D3">
          <w:rPr>
            <w:rStyle w:val="Hipervnculo"/>
            <w:rFonts w:ascii="OpenSans-Regular" w:eastAsia="Times New Roman" w:hAnsi="OpenSans-Regular" w:cs="Times New Roman"/>
            <w:spacing w:val="2"/>
            <w:sz w:val="24"/>
            <w:szCs w:val="24"/>
            <w:lang w:val="es-CL"/>
          </w:rPr>
          <w:t xml:space="preserve">datos </w:t>
        </w:r>
        <w:r w:rsidR="00C33ADB" w:rsidRPr="00E945D3">
          <w:rPr>
            <w:rStyle w:val="Hipervnculo"/>
            <w:rFonts w:ascii="OpenSans-Regular" w:eastAsia="Times New Roman" w:hAnsi="OpenSans-Regular" w:cs="Times New Roman"/>
            <w:spacing w:val="2"/>
            <w:sz w:val="24"/>
            <w:szCs w:val="24"/>
            <w:lang w:val="es-CL"/>
          </w:rPr>
          <w:t>CONAP</w:t>
        </w:r>
      </w:hyperlink>
    </w:p>
    <w:p w14:paraId="68E9A5CC" w14:textId="7688BF39" w:rsidR="00C33ADB" w:rsidRDefault="0012782A" w:rsidP="00C33ADB">
      <w:pPr>
        <w:ind w:left="708"/>
        <w:jc w:val="both"/>
        <w:rPr>
          <w:rFonts w:ascii="OpenSans-Regular" w:eastAsia="Times New Roman" w:hAnsi="OpenSans-Regular" w:cs="Times New Roman"/>
          <w:spacing w:val="2"/>
          <w:sz w:val="24"/>
          <w:szCs w:val="24"/>
          <w:lang w:val="es-CL"/>
        </w:rPr>
      </w:pPr>
      <w:hyperlink r:id="rId15" w:history="1">
        <w:r w:rsidR="00C33ADB" w:rsidRPr="00E945D3">
          <w:rPr>
            <w:rStyle w:val="Hipervnculo"/>
            <w:rFonts w:ascii="OpenSans-Regular" w:eastAsia="Times New Roman" w:hAnsi="OpenSans-Regular" w:cs="Times New Roman"/>
            <w:spacing w:val="2"/>
            <w:sz w:val="24"/>
            <w:szCs w:val="24"/>
            <w:lang w:val="es-CL"/>
          </w:rPr>
          <w:t xml:space="preserve">Formato captura de </w:t>
        </w:r>
        <w:r w:rsidR="00E945D3">
          <w:rPr>
            <w:rStyle w:val="Hipervnculo"/>
            <w:rFonts w:ascii="OpenSans-Regular" w:eastAsia="Times New Roman" w:hAnsi="OpenSans-Regular" w:cs="Times New Roman"/>
            <w:spacing w:val="2"/>
            <w:sz w:val="24"/>
            <w:szCs w:val="24"/>
            <w:lang w:val="es-CL"/>
          </w:rPr>
          <w:t>datos</w:t>
        </w:r>
        <w:r w:rsidR="00C33ADB" w:rsidRPr="00E945D3">
          <w:rPr>
            <w:rStyle w:val="Hipervnculo"/>
            <w:rFonts w:ascii="OpenSans-Regular" w:eastAsia="Times New Roman" w:hAnsi="OpenSans-Regular" w:cs="Times New Roman"/>
            <w:spacing w:val="2"/>
            <w:sz w:val="24"/>
            <w:szCs w:val="24"/>
            <w:lang w:val="es-CL"/>
          </w:rPr>
          <w:t xml:space="preserve"> MAGA</w:t>
        </w:r>
      </w:hyperlink>
    </w:p>
    <w:p w14:paraId="6A7DB006" w14:textId="223B477A" w:rsidR="00C33ADB" w:rsidRPr="00C33ADB" w:rsidRDefault="0012782A" w:rsidP="00E945D3">
      <w:pPr>
        <w:ind w:left="708"/>
        <w:jc w:val="both"/>
        <w:rPr>
          <w:rFonts w:ascii="OpenSans-Regular" w:eastAsia="Times New Roman" w:hAnsi="OpenSans-Regular" w:cs="Times New Roman"/>
          <w:spacing w:val="2"/>
          <w:sz w:val="24"/>
          <w:szCs w:val="24"/>
          <w:lang w:val="es-CL"/>
        </w:rPr>
      </w:pPr>
      <w:hyperlink r:id="rId16" w:history="1">
        <w:r w:rsidR="00C33ADB" w:rsidRPr="00E945D3">
          <w:rPr>
            <w:rStyle w:val="Hipervnculo"/>
            <w:rFonts w:ascii="OpenSans-Regular" w:eastAsia="Times New Roman" w:hAnsi="OpenSans-Regular" w:cs="Times New Roman"/>
            <w:spacing w:val="2"/>
            <w:sz w:val="24"/>
            <w:szCs w:val="24"/>
            <w:lang w:val="es-CL"/>
          </w:rPr>
          <w:t xml:space="preserve">Formato captura de </w:t>
        </w:r>
        <w:r w:rsidR="00E945D3">
          <w:rPr>
            <w:rStyle w:val="Hipervnculo"/>
            <w:rFonts w:ascii="OpenSans-Regular" w:eastAsia="Times New Roman" w:hAnsi="OpenSans-Regular" w:cs="Times New Roman"/>
            <w:spacing w:val="2"/>
            <w:sz w:val="24"/>
            <w:szCs w:val="24"/>
            <w:lang w:val="es-CL"/>
          </w:rPr>
          <w:t>datos</w:t>
        </w:r>
        <w:r w:rsidR="00C33ADB" w:rsidRPr="00E945D3">
          <w:rPr>
            <w:rStyle w:val="Hipervnculo"/>
            <w:rFonts w:ascii="OpenSans-Regular" w:eastAsia="Times New Roman" w:hAnsi="OpenSans-Regular" w:cs="Times New Roman"/>
            <w:spacing w:val="2"/>
            <w:sz w:val="24"/>
            <w:szCs w:val="24"/>
            <w:lang w:val="es-CL"/>
          </w:rPr>
          <w:t xml:space="preserve"> MARN</w:t>
        </w:r>
      </w:hyperlink>
    </w:p>
    <w:p w14:paraId="331918C0" w14:textId="77777777" w:rsidR="00075A16" w:rsidRDefault="00C81DE9" w:rsidP="00075A16">
      <w:pPr>
        <w:pStyle w:val="Prrafodelista"/>
        <w:numPr>
          <w:ilvl w:val="0"/>
          <w:numId w:val="11"/>
        </w:numPr>
        <w:jc w:val="both"/>
        <w:rPr>
          <w:rFonts w:ascii="OpenSans-Regular" w:eastAsia="Times New Roman" w:hAnsi="OpenSans-Regular" w:cs="Times New Roman"/>
          <w:spacing w:val="2"/>
          <w:sz w:val="24"/>
          <w:szCs w:val="24"/>
          <w:lang w:val="es-CL"/>
        </w:rPr>
      </w:pPr>
      <w:r w:rsidRPr="00C33ADB">
        <w:rPr>
          <w:rFonts w:ascii="OpenSans-Regular" w:eastAsia="Times New Roman" w:hAnsi="OpenSans-Regular" w:cs="Times New Roman"/>
          <w:spacing w:val="2"/>
          <w:sz w:val="24"/>
          <w:szCs w:val="24"/>
          <w:lang w:val="es-CL"/>
        </w:rPr>
        <w:t>Integración / agregación de información, realizada por la Unidad Integradora del MARN. La Unidad Integradora del MARN es responsable de coordinar la captura de datos de las diversas instituciones del GCI e integrarlas para el desarrollo de Reportes.</w:t>
      </w:r>
      <w:r w:rsidR="00075A16">
        <w:rPr>
          <w:rFonts w:ascii="OpenSans-Regular" w:eastAsia="Times New Roman" w:hAnsi="OpenSans-Regular" w:cs="Times New Roman"/>
          <w:spacing w:val="2"/>
          <w:sz w:val="24"/>
          <w:szCs w:val="24"/>
          <w:lang w:val="es-CL"/>
        </w:rPr>
        <w:t xml:space="preserve"> </w:t>
      </w:r>
    </w:p>
    <w:p w14:paraId="1F78DE4E" w14:textId="69DE5594" w:rsidR="00075A16" w:rsidRPr="00075A16" w:rsidRDefault="00075A16" w:rsidP="00075A16">
      <w:pPr>
        <w:pStyle w:val="Prrafodelista"/>
        <w:jc w:val="both"/>
        <w:rPr>
          <w:rFonts w:ascii="OpenSans-Regular" w:eastAsia="Times New Roman" w:hAnsi="OpenSans-Regular" w:cs="Times New Roman"/>
          <w:spacing w:val="2"/>
          <w:sz w:val="24"/>
          <w:szCs w:val="24"/>
          <w:lang w:val="es-CL"/>
        </w:rPr>
      </w:pPr>
      <w:r w:rsidRPr="00075A16">
        <w:rPr>
          <w:rFonts w:ascii="OpenSans-Regular" w:eastAsia="Times New Roman" w:hAnsi="OpenSans-Regular" w:cs="Times New Roman"/>
          <w:spacing w:val="2"/>
          <w:sz w:val="24"/>
          <w:szCs w:val="24"/>
          <w:highlight w:val="yellow"/>
          <w:lang w:val="es-CL"/>
        </w:rPr>
        <w:t xml:space="preserve">HERRAMIENTA DE REPORTE DE CUMPLIMIENTO </w:t>
      </w:r>
      <w:commentRangeStart w:id="2"/>
      <w:r w:rsidRPr="00075A16">
        <w:rPr>
          <w:rFonts w:ascii="OpenSans-Regular" w:eastAsia="Times New Roman" w:hAnsi="OpenSans-Regular" w:cs="Times New Roman"/>
          <w:spacing w:val="2"/>
          <w:sz w:val="24"/>
          <w:szCs w:val="24"/>
          <w:highlight w:val="yellow"/>
          <w:lang w:val="es-CL"/>
        </w:rPr>
        <w:t>DE CO-BENEFICIOS.</w:t>
      </w:r>
      <w:commentRangeEnd w:id="2"/>
      <w:r>
        <w:rPr>
          <w:rStyle w:val="Refdecomentario"/>
        </w:rPr>
        <w:commentReference w:id="2"/>
      </w:r>
    </w:p>
    <w:p w14:paraId="49E01607" w14:textId="0740222C" w:rsidR="00C81DE9" w:rsidRPr="00C33ADB" w:rsidRDefault="00C81DE9" w:rsidP="00C81DE9">
      <w:pPr>
        <w:pStyle w:val="Prrafodelista"/>
        <w:numPr>
          <w:ilvl w:val="0"/>
          <w:numId w:val="11"/>
        </w:numPr>
        <w:jc w:val="both"/>
        <w:rPr>
          <w:rFonts w:ascii="OpenSans-Regular" w:eastAsia="Times New Roman" w:hAnsi="OpenSans-Regular" w:cs="Times New Roman"/>
          <w:spacing w:val="2"/>
          <w:sz w:val="24"/>
          <w:szCs w:val="24"/>
          <w:lang w:val="es-CL"/>
        </w:rPr>
      </w:pPr>
      <w:r w:rsidRPr="00C33ADB">
        <w:rPr>
          <w:rFonts w:ascii="OpenSans-Regular" w:eastAsia="Times New Roman" w:hAnsi="OpenSans-Regular" w:cs="Times New Roman"/>
          <w:spacing w:val="2"/>
          <w:sz w:val="24"/>
          <w:szCs w:val="24"/>
          <w:lang w:val="es-CL"/>
        </w:rPr>
        <w:t>Análisis y validación de Reportes por el GCI político.</w:t>
      </w:r>
    </w:p>
    <w:p w14:paraId="34B9E728" w14:textId="77777777" w:rsidR="00C81DE9" w:rsidRPr="00C33ADB" w:rsidRDefault="00C81DE9" w:rsidP="00C81DE9">
      <w:pPr>
        <w:rPr>
          <w:rFonts w:ascii="OpenSans-Regular" w:eastAsia="Times New Roman" w:hAnsi="OpenSans-Regular" w:cs="Times New Roman"/>
          <w:spacing w:val="2"/>
          <w:sz w:val="24"/>
          <w:szCs w:val="24"/>
          <w:lang w:val="es-CL"/>
        </w:rPr>
      </w:pPr>
    </w:p>
    <w:p w14:paraId="1BE5385D" w14:textId="77777777" w:rsidR="00C81DE9" w:rsidRDefault="00C81DE9" w:rsidP="00C81DE9">
      <w:pPr>
        <w:rPr>
          <w:lang w:val="es-CL"/>
        </w:rPr>
      </w:pPr>
    </w:p>
    <w:p w14:paraId="706B009A" w14:textId="135739D1" w:rsidR="009B15E2" w:rsidRPr="00D81EC9" w:rsidRDefault="009B15E2" w:rsidP="00454758">
      <w:pPr>
        <w:rPr>
          <w:lang w:val="es-ES_tradnl"/>
        </w:rPr>
      </w:pPr>
    </w:p>
    <w:p w14:paraId="41F0A1A5" w14:textId="51D1A404" w:rsidR="00990662" w:rsidRDefault="00511E06" w:rsidP="00454758">
      <w:pPr>
        <w:rPr>
          <w:lang w:val="es-CL"/>
        </w:rPr>
      </w:pPr>
      <w:r>
        <w:rPr>
          <w:noProof/>
        </w:rPr>
        <w:lastRenderedPageBreak/>
        <w:drawing>
          <wp:inline distT="0" distB="0" distL="0" distR="0" wp14:anchorId="728E0AF6" wp14:editId="652F4D81">
            <wp:extent cx="5612130" cy="3741420"/>
            <wp:effectExtent l="57150" t="0" r="64770" b="0"/>
            <wp:docPr id="1" name="Diagrama 1">
              <a:extLst xmlns:a="http://schemas.openxmlformats.org/drawingml/2006/main">
                <a:ext uri="{FF2B5EF4-FFF2-40B4-BE49-F238E27FC236}">
                  <a16:creationId xmlns:a16="http://schemas.microsoft.com/office/drawing/2014/main" id="{82A38613-FA90-4C55-B77E-6AC7B0EA3EC7}"/>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BF26A81" w14:textId="7F0B0B79" w:rsidR="00990662" w:rsidRDefault="00990662" w:rsidP="00454758">
      <w:pPr>
        <w:rPr>
          <w:lang w:val="es-CL"/>
        </w:rPr>
      </w:pPr>
    </w:p>
    <w:p w14:paraId="23A43188" w14:textId="6405C76A" w:rsidR="00990662" w:rsidRPr="0091780A" w:rsidRDefault="00990662" w:rsidP="00454758">
      <w:pPr>
        <w:rPr>
          <w:lang w:val="es-CL"/>
        </w:rPr>
      </w:pPr>
    </w:p>
    <w:sectPr w:rsidR="00990662" w:rsidRPr="0091780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laudia Garrido" w:date="2020-07-06T14:59:00Z" w:initials="CG">
    <w:p w14:paraId="354E4D30" w14:textId="27D663C3" w:rsidR="005F0145" w:rsidRDefault="005F0145">
      <w:pPr>
        <w:pStyle w:val="Textocomentario"/>
      </w:pPr>
      <w:r>
        <w:rPr>
          <w:rStyle w:val="Refdecomentario"/>
        </w:rPr>
        <w:annotationRef/>
      </w:r>
      <w:r>
        <w:t>Aquí debería ir el LINK  que redireccione al  SIS</w:t>
      </w:r>
    </w:p>
  </w:comment>
  <w:comment w:id="1" w:author="Claudia Garrido" w:date="2020-07-06T15:02:00Z" w:initials="CG">
    <w:p w14:paraId="08B17935" w14:textId="0CEC6545" w:rsidR="005F0145" w:rsidRDefault="005F0145">
      <w:pPr>
        <w:pStyle w:val="Textocomentario"/>
      </w:pPr>
      <w:r>
        <w:rPr>
          <w:rStyle w:val="Refdecomentario"/>
        </w:rPr>
        <w:annotationRef/>
      </w:r>
      <w:r>
        <w:t>Esta Tabla sería la única que podría sufrir alguna modificación</w:t>
      </w:r>
    </w:p>
  </w:comment>
  <w:comment w:id="2" w:author="Claudia Garrido" w:date="2020-07-06T15:08:00Z" w:initials="CG">
    <w:p w14:paraId="7A0FC671" w14:textId="7D67E8EE" w:rsidR="00075A16" w:rsidRDefault="00075A16">
      <w:pPr>
        <w:pStyle w:val="Textocomentario"/>
      </w:pPr>
      <w:r>
        <w:rPr>
          <w:rStyle w:val="Refdecomentario"/>
        </w:rPr>
        <w:annotationRef/>
      </w:r>
      <w:r>
        <w:t xml:space="preserve">Aquí debería estar el hipervínculo para la Herramienta de Reporte (El </w:t>
      </w:r>
      <w:proofErr w:type="spellStart"/>
      <w:r>
        <w:t>Power</w:t>
      </w:r>
      <w:proofErr w:type="spellEnd"/>
      <w:r>
        <w:t xml:space="preserve"> Bi) </w:t>
      </w:r>
      <w:hyperlink r:id="rId1" w:history="1">
        <w:r w:rsidRPr="003C1990">
          <w:rPr>
            <w:rStyle w:val="Hipervnculo"/>
          </w:rPr>
          <w:t>https://snicc.azurewebsites.net/Busqueda/Resultado?powerbi=https://app.powerbi.com/view?r=eyJrIjoiYzc5NmZmOWUtY2NhYi00NzFhLTgzYmYtMGZkMzY0MWMwODYzIiwidCI6IjhmYmFhNWJmLTJlY2MtNGRjOC1iNTZiLThmOTJlMzA3ZjA3NiIsImMiOjR9</w:t>
        </w:r>
      </w:hyperlink>
    </w:p>
    <w:p w14:paraId="55795A40" w14:textId="53979A85" w:rsidR="00075A16" w:rsidRDefault="00075A16">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4E4D30" w15:done="0"/>
  <w15:commentEx w15:paraId="08B17935" w15:done="0"/>
  <w15:commentEx w15:paraId="55795A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DBACD" w16cex:dateUtc="2020-07-06T18:59:00Z"/>
  <w16cex:commentExtensible w16cex:durableId="22ADBB8F" w16cex:dateUtc="2020-07-06T19:02:00Z"/>
  <w16cex:commentExtensible w16cex:durableId="22ADBD03" w16cex:dateUtc="2020-07-06T1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4E4D30" w16cid:durableId="22ADBACD"/>
  <w16cid:commentId w16cid:paraId="08B17935" w16cid:durableId="22ADBB8F"/>
  <w16cid:commentId w16cid:paraId="55795A40" w16cid:durableId="22ADBD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A0E92" w14:textId="77777777" w:rsidR="0012782A" w:rsidRDefault="0012782A" w:rsidP="002E0D66">
      <w:pPr>
        <w:spacing w:after="0" w:line="240" w:lineRule="auto"/>
      </w:pPr>
      <w:r>
        <w:separator/>
      </w:r>
    </w:p>
  </w:endnote>
  <w:endnote w:type="continuationSeparator" w:id="0">
    <w:p w14:paraId="068224FC" w14:textId="77777777" w:rsidR="0012782A" w:rsidRDefault="0012782A" w:rsidP="002E0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OMF D+ Neue Demos">
    <w:altName w:val="Calibri"/>
    <w:charset w:val="00"/>
    <w:family w:val="decorative"/>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ircularStd-Black">
    <w:altName w:val="Cambria"/>
    <w:panose1 w:val="00000000000000000000"/>
    <w:charset w:val="00"/>
    <w:family w:val="roman"/>
    <w:notTrueType/>
    <w:pitch w:val="default"/>
  </w:font>
  <w:font w:name="OpenSans-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79CE7" w14:textId="77777777" w:rsidR="0012782A" w:rsidRDefault="0012782A" w:rsidP="002E0D66">
      <w:pPr>
        <w:spacing w:after="0" w:line="240" w:lineRule="auto"/>
      </w:pPr>
      <w:r>
        <w:separator/>
      </w:r>
    </w:p>
  </w:footnote>
  <w:footnote w:type="continuationSeparator" w:id="0">
    <w:p w14:paraId="0F67653D" w14:textId="77777777" w:rsidR="0012782A" w:rsidRDefault="0012782A" w:rsidP="002E0D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16387"/>
    <w:multiLevelType w:val="hybridMultilevel"/>
    <w:tmpl w:val="F2E4B69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5256756"/>
    <w:multiLevelType w:val="hybridMultilevel"/>
    <w:tmpl w:val="4CE083EE"/>
    <w:lvl w:ilvl="0" w:tplc="DFE6129A">
      <w:start w:val="1"/>
      <w:numFmt w:val="bullet"/>
      <w:lvlText w:val="-"/>
      <w:lvlJc w:val="left"/>
      <w:pPr>
        <w:ind w:left="1065" w:hanging="705"/>
      </w:pPr>
      <w:rPr>
        <w:rFonts w:ascii="Calibri" w:eastAsia="Times New Roman" w:hAnsi="Calibri" w:cs="PAOMF D+ Neue Demo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A555A25"/>
    <w:multiLevelType w:val="hybridMultilevel"/>
    <w:tmpl w:val="EAA8D50C"/>
    <w:lvl w:ilvl="0" w:tplc="A432C0CA">
      <w:start w:val="1"/>
      <w:numFmt w:val="bullet"/>
      <w:lvlText w:val="-"/>
      <w:lvlJc w:val="left"/>
      <w:pPr>
        <w:ind w:left="720" w:hanging="360"/>
      </w:pPr>
      <w:rPr>
        <w:rFonts w:ascii="Calibri" w:eastAsia="Calibri" w:hAnsi="Calibri" w:cs="Symbol" w:hint="default"/>
        <w:color w:val="auto"/>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3002788A"/>
    <w:multiLevelType w:val="hybridMultilevel"/>
    <w:tmpl w:val="81866C0C"/>
    <w:lvl w:ilvl="0" w:tplc="340A000F">
      <w:start w:val="1"/>
      <w:numFmt w:val="decimal"/>
      <w:lvlText w:val="%1."/>
      <w:lvlJc w:val="left"/>
      <w:pPr>
        <w:ind w:left="720" w:hanging="360"/>
      </w:pPr>
    </w:lvl>
    <w:lvl w:ilvl="1" w:tplc="C4D22528">
      <w:start w:val="1"/>
      <w:numFmt w:val="decimal"/>
      <w:lvlText w:val="%2."/>
      <w:lvlJc w:val="left"/>
      <w:pPr>
        <w:ind w:left="1785" w:hanging="705"/>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395B14E2"/>
    <w:multiLevelType w:val="hybridMultilevel"/>
    <w:tmpl w:val="66B82D1E"/>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427E261F"/>
    <w:multiLevelType w:val="hybridMultilevel"/>
    <w:tmpl w:val="638E9E2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46A15582"/>
    <w:multiLevelType w:val="hybridMultilevel"/>
    <w:tmpl w:val="4F8C00F0"/>
    <w:lvl w:ilvl="0" w:tplc="A432C0CA">
      <w:start w:val="1"/>
      <w:numFmt w:val="bullet"/>
      <w:lvlText w:val="-"/>
      <w:lvlJc w:val="left"/>
      <w:pPr>
        <w:ind w:left="720" w:hanging="360"/>
      </w:pPr>
      <w:rPr>
        <w:rFonts w:ascii="Calibri" w:eastAsia="Calibri" w:hAnsi="Calibri" w:cs="Symbol" w:hint="default"/>
        <w:color w:val="auto"/>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7" w15:restartNumberingAfterBreak="0">
    <w:nsid w:val="643A5CFF"/>
    <w:multiLevelType w:val="hybridMultilevel"/>
    <w:tmpl w:val="FE103922"/>
    <w:lvl w:ilvl="0" w:tplc="A432C0CA">
      <w:start w:val="1"/>
      <w:numFmt w:val="bullet"/>
      <w:lvlText w:val="-"/>
      <w:lvlJc w:val="left"/>
      <w:pPr>
        <w:ind w:left="720" w:hanging="360"/>
      </w:pPr>
      <w:rPr>
        <w:rFonts w:ascii="Calibri" w:eastAsia="Calibri" w:hAnsi="Calibri" w:cs="Symbol" w:hint="default"/>
        <w:color w:val="auto"/>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8" w15:restartNumberingAfterBreak="0">
    <w:nsid w:val="69F65602"/>
    <w:multiLevelType w:val="hybridMultilevel"/>
    <w:tmpl w:val="85DAA02A"/>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70176B82"/>
    <w:multiLevelType w:val="hybridMultilevel"/>
    <w:tmpl w:val="66B82D1E"/>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0" w15:restartNumberingAfterBreak="0">
    <w:nsid w:val="702F07AB"/>
    <w:multiLevelType w:val="hybridMultilevel"/>
    <w:tmpl w:val="CC4E459E"/>
    <w:lvl w:ilvl="0" w:tplc="34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A773C1"/>
    <w:multiLevelType w:val="hybridMultilevel"/>
    <w:tmpl w:val="F51279CA"/>
    <w:lvl w:ilvl="0" w:tplc="34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AE0457"/>
    <w:multiLevelType w:val="hybridMultilevel"/>
    <w:tmpl w:val="768EC13A"/>
    <w:lvl w:ilvl="0" w:tplc="34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7"/>
  </w:num>
  <w:num w:numId="5">
    <w:abstractNumId w:val="6"/>
  </w:num>
  <w:num w:numId="6">
    <w:abstractNumId w:val="9"/>
  </w:num>
  <w:num w:numId="7">
    <w:abstractNumId w:val="8"/>
  </w:num>
  <w:num w:numId="8">
    <w:abstractNumId w:val="5"/>
  </w:num>
  <w:num w:numId="9">
    <w:abstractNumId w:val="4"/>
  </w:num>
  <w:num w:numId="10">
    <w:abstractNumId w:val="3"/>
  </w:num>
  <w:num w:numId="11">
    <w:abstractNumId w:val="10"/>
  </w:num>
  <w:num w:numId="12">
    <w:abstractNumId w:val="12"/>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laudia Garrido">
    <w15:presenceInfo w15:providerId="None" w15:userId="Claudia Garri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497"/>
    <w:rsid w:val="00075A16"/>
    <w:rsid w:val="000E553C"/>
    <w:rsid w:val="0012782A"/>
    <w:rsid w:val="00146E1C"/>
    <w:rsid w:val="001C029A"/>
    <w:rsid w:val="001D7944"/>
    <w:rsid w:val="00207E0F"/>
    <w:rsid w:val="002E0D66"/>
    <w:rsid w:val="00305B2E"/>
    <w:rsid w:val="00327F9F"/>
    <w:rsid w:val="00347801"/>
    <w:rsid w:val="00360876"/>
    <w:rsid w:val="00365497"/>
    <w:rsid w:val="003734CF"/>
    <w:rsid w:val="00454758"/>
    <w:rsid w:val="004B1A00"/>
    <w:rsid w:val="004F7222"/>
    <w:rsid w:val="00511E06"/>
    <w:rsid w:val="00584D06"/>
    <w:rsid w:val="005D6DC5"/>
    <w:rsid w:val="005F0145"/>
    <w:rsid w:val="00627D2F"/>
    <w:rsid w:val="006715FE"/>
    <w:rsid w:val="0068492D"/>
    <w:rsid w:val="00702C42"/>
    <w:rsid w:val="00704E6F"/>
    <w:rsid w:val="007F12AD"/>
    <w:rsid w:val="00822F78"/>
    <w:rsid w:val="00907DBB"/>
    <w:rsid w:val="0091780A"/>
    <w:rsid w:val="00990662"/>
    <w:rsid w:val="009A4B68"/>
    <w:rsid w:val="009B15E2"/>
    <w:rsid w:val="00A521FB"/>
    <w:rsid w:val="00BF22C9"/>
    <w:rsid w:val="00C33ADB"/>
    <w:rsid w:val="00C41A1E"/>
    <w:rsid w:val="00C81DE9"/>
    <w:rsid w:val="00CC36DC"/>
    <w:rsid w:val="00D32015"/>
    <w:rsid w:val="00D51BAC"/>
    <w:rsid w:val="00D6089D"/>
    <w:rsid w:val="00D81EC9"/>
    <w:rsid w:val="00DC070A"/>
    <w:rsid w:val="00DE4F9D"/>
    <w:rsid w:val="00E83ED6"/>
    <w:rsid w:val="00E945D3"/>
    <w:rsid w:val="00EA008A"/>
    <w:rsid w:val="00EB3DEE"/>
    <w:rsid w:val="00F23759"/>
    <w:rsid w:val="00F30901"/>
    <w:rsid w:val="00F710D1"/>
    <w:rsid w:val="00F9394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111B"/>
  <w15:chartTrackingRefBased/>
  <w15:docId w15:val="{E7E7339E-F2BC-4C8C-A684-C9C5613B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654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5497"/>
    <w:rPr>
      <w:rFonts w:ascii="Segoe UI" w:hAnsi="Segoe UI" w:cs="Segoe UI"/>
      <w:sz w:val="18"/>
      <w:szCs w:val="18"/>
      <w:lang w:val="es-419"/>
    </w:rPr>
  </w:style>
  <w:style w:type="paragraph" w:styleId="Textonotapie">
    <w:name w:val="footnote text"/>
    <w:aliases w:val="Footnote Text Char Char Char Char Char Char,Footnote Text Char Char Char Char1,Footnote Text Char Char Char Char Char1,Footnote Text Char Char Char Char Char,Footnote Text Char Char Char,Footnote Text Char Char Char Cha,DNV-FT,E Fußn,Char"/>
    <w:basedOn w:val="Normal"/>
    <w:link w:val="TextonotapieCar"/>
    <w:uiPriority w:val="99"/>
    <w:unhideWhenUsed/>
    <w:qFormat/>
    <w:rsid w:val="002E0D66"/>
    <w:pPr>
      <w:spacing w:after="0" w:line="240" w:lineRule="auto"/>
      <w:jc w:val="both"/>
    </w:pPr>
    <w:rPr>
      <w:sz w:val="20"/>
      <w:szCs w:val="20"/>
      <w:lang w:val="es-CL"/>
    </w:rPr>
  </w:style>
  <w:style w:type="character" w:customStyle="1" w:styleId="TextonotapieCar">
    <w:name w:val="Texto nota pie Car"/>
    <w:aliases w:val="Footnote Text Char Char Char Char Char Char Car,Footnote Text Char Char Char Char1 Car,Footnote Text Char Char Char Char Char1 Car,Footnote Text Char Char Char Char Char Car,Footnote Text Char Char Char Car,DNV-FT Car,E Fußn Car"/>
    <w:basedOn w:val="Fuentedeprrafopredeter"/>
    <w:link w:val="Textonotapie"/>
    <w:uiPriority w:val="99"/>
    <w:rsid w:val="002E0D66"/>
    <w:rPr>
      <w:sz w:val="20"/>
      <w:szCs w:val="20"/>
    </w:rPr>
  </w:style>
  <w:style w:type="character" w:styleId="Refdenotaalpie">
    <w:name w:val="footnote reference"/>
    <w:aliases w:val="16 Point,Superscript 6 Point,Superscript 6 Point + 11 pt,SUPERS,E FNZ,-E Fußnotenzeichen,Footnote#,ftref,Appel note de bas de page,BVI fnr,Footnote Reference Number,Footnote Reference_LVL6,Footnote Reference_LVL61,number,Ref"/>
    <w:basedOn w:val="Fuentedeprrafopredeter"/>
    <w:uiPriority w:val="99"/>
    <w:unhideWhenUsed/>
    <w:qFormat/>
    <w:rsid w:val="002E0D66"/>
    <w:rPr>
      <w:vertAlign w:val="superscript"/>
    </w:rPr>
  </w:style>
  <w:style w:type="table" w:customStyle="1" w:styleId="Tablanormal11">
    <w:name w:val="Tabla normal 11"/>
    <w:basedOn w:val="Tablanormal"/>
    <w:next w:val="Tablanormal1"/>
    <w:uiPriority w:val="41"/>
    <w:rsid w:val="002E0D66"/>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anormal1">
    <w:name w:val="Plain Table 1"/>
    <w:basedOn w:val="Tablanormal"/>
    <w:uiPriority w:val="41"/>
    <w:rsid w:val="002E0D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clara1">
    <w:name w:val="Tabla con cuadrícula clara1"/>
    <w:basedOn w:val="Tablanormal"/>
    <w:next w:val="Tablaconcuadrculaclara"/>
    <w:uiPriority w:val="40"/>
    <w:rsid w:val="00C41A1E"/>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aconcuadrculaclara">
    <w:name w:val="Grid Table Light"/>
    <w:basedOn w:val="Tablanormal"/>
    <w:uiPriority w:val="40"/>
    <w:rsid w:val="00C41A1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unhideWhenUsed/>
    <w:rsid w:val="0091780A"/>
    <w:rPr>
      <w:color w:val="0563C1" w:themeColor="hyperlink"/>
      <w:u w:val="single"/>
    </w:rPr>
  </w:style>
  <w:style w:type="character" w:styleId="Mencinsinresolver">
    <w:name w:val="Unresolved Mention"/>
    <w:basedOn w:val="Fuentedeprrafopredeter"/>
    <w:uiPriority w:val="99"/>
    <w:semiHidden/>
    <w:unhideWhenUsed/>
    <w:rsid w:val="0091780A"/>
    <w:rPr>
      <w:color w:val="605E5C"/>
      <w:shd w:val="clear" w:color="auto" w:fill="E1DFDD"/>
    </w:rPr>
  </w:style>
  <w:style w:type="character" w:styleId="Hipervnculovisitado">
    <w:name w:val="FollowedHyperlink"/>
    <w:basedOn w:val="Fuentedeprrafopredeter"/>
    <w:uiPriority w:val="99"/>
    <w:semiHidden/>
    <w:unhideWhenUsed/>
    <w:rsid w:val="001C029A"/>
    <w:rPr>
      <w:color w:val="954F72" w:themeColor="followedHyperlink"/>
      <w:u w:val="single"/>
    </w:rPr>
  </w:style>
  <w:style w:type="paragraph" w:styleId="Prrafodelista">
    <w:name w:val="List Paragraph"/>
    <w:basedOn w:val="Normal"/>
    <w:uiPriority w:val="34"/>
    <w:qFormat/>
    <w:rsid w:val="00C81DE9"/>
    <w:pPr>
      <w:ind w:left="720"/>
      <w:contextualSpacing/>
    </w:pPr>
  </w:style>
  <w:style w:type="paragraph" w:styleId="NormalWeb">
    <w:name w:val="Normal (Web)"/>
    <w:basedOn w:val="Normal"/>
    <w:uiPriority w:val="99"/>
    <w:semiHidden/>
    <w:unhideWhenUsed/>
    <w:rsid w:val="00D81EC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Refdecomentario">
    <w:name w:val="annotation reference"/>
    <w:basedOn w:val="Fuentedeprrafopredeter"/>
    <w:uiPriority w:val="99"/>
    <w:semiHidden/>
    <w:unhideWhenUsed/>
    <w:rsid w:val="005F0145"/>
    <w:rPr>
      <w:sz w:val="16"/>
      <w:szCs w:val="16"/>
    </w:rPr>
  </w:style>
  <w:style w:type="paragraph" w:styleId="Textocomentario">
    <w:name w:val="annotation text"/>
    <w:basedOn w:val="Normal"/>
    <w:link w:val="TextocomentarioCar"/>
    <w:uiPriority w:val="99"/>
    <w:semiHidden/>
    <w:unhideWhenUsed/>
    <w:rsid w:val="005F01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F0145"/>
    <w:rPr>
      <w:sz w:val="20"/>
      <w:szCs w:val="20"/>
      <w:lang w:val="es-419"/>
    </w:rPr>
  </w:style>
  <w:style w:type="paragraph" w:styleId="Asuntodelcomentario">
    <w:name w:val="annotation subject"/>
    <w:basedOn w:val="Textocomentario"/>
    <w:next w:val="Textocomentario"/>
    <w:link w:val="AsuntodelcomentarioCar"/>
    <w:uiPriority w:val="99"/>
    <w:semiHidden/>
    <w:unhideWhenUsed/>
    <w:rsid w:val="005F0145"/>
    <w:rPr>
      <w:b/>
      <w:bCs/>
    </w:rPr>
  </w:style>
  <w:style w:type="character" w:customStyle="1" w:styleId="AsuntodelcomentarioCar">
    <w:name w:val="Asunto del comentario Car"/>
    <w:basedOn w:val="TextocomentarioCar"/>
    <w:link w:val="Asuntodelcomentario"/>
    <w:uiPriority w:val="99"/>
    <w:semiHidden/>
    <w:rsid w:val="005F0145"/>
    <w:rPr>
      <w:b/>
      <w:bCs/>
      <w:sz w:val="20"/>
      <w:szCs w:val="20"/>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459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nicc.azurewebsites.net/Busqueda/Resultado?powerbi=https://app.powerbi.com/view?r=eyJrIjoiYzc5NmZmOWUtY2NhYi00NzFhLTgzYmYtMGZkMzY0MWMwODYzIiwidCI6IjhmYmFhNWJmLTJlY2MtNGRjOC1iNTZiLThmOTJlMzA3ZjA3NiIsImMiOjR9"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file:///C:\Users\Claudia\Dropbox\000%20COBENEFICIOS%20Guatemala\Cobeneficios%20INAB.xlsx" TargetMode="External"/><Relationship Id="rId18" Type="http://schemas.openxmlformats.org/officeDocument/2006/relationships/diagramLayout" Target="diagrams/layout1.xml"/><Relationship Id="rId3" Type="http://schemas.openxmlformats.org/officeDocument/2006/relationships/settings" Target="settings.xml"/><Relationship Id="rId21" Type="http://schemas.microsoft.com/office/2007/relationships/diagramDrawing" Target="diagrams/drawing1.xml"/><Relationship Id="rId7" Type="http://schemas.openxmlformats.org/officeDocument/2006/relationships/comments" Target="comments.xml"/><Relationship Id="rId12" Type="http://schemas.openxmlformats.org/officeDocument/2006/relationships/hyperlink" Target="file:///C:\Users\Claudia\Dropbox\000_GUATEMALA\Co-beneficios_SNICC\Propuesta%20priorizaci&#243;n%20de%20Indicadores%20Co-Beneficio%20Guatemala.pdf" TargetMode="External"/><Relationship Id="rId17" Type="http://schemas.openxmlformats.org/officeDocument/2006/relationships/diagramData" Target="diagrams/data1.xml"/><Relationship Id="rId2" Type="http://schemas.openxmlformats.org/officeDocument/2006/relationships/styles" Target="styles.xml"/><Relationship Id="rId16" Type="http://schemas.openxmlformats.org/officeDocument/2006/relationships/hyperlink" Target="file:///C:\Users\Claudia\Dropbox\000%20COBENEFICIOS%20Guatemala\Cobeneficios%20MARN.xlsx" TargetMode="External"/><Relationship Id="rId20"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Claudia\Dropbox\000_GUATEMALA\Co-beneficios_SNICC\Indicadores%20Fase%20I.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Users\Claudia\Dropbox\000%20COBENEFICIOS%20Guatemala\Cobeneficios%20MAGA.xlsx" TargetMode="External"/><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diagramQuickStyle" Target="diagrams/quickStyl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file:///C:\Users\Claudia\Dropbox\000%20COBENEFICIOS%20Guatemala\Cobeneficios%20CONAP.xlsx"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914B1E-8A99-48B0-AB9B-97035DB04957}" type="doc">
      <dgm:prSet loTypeId="urn:microsoft.com/office/officeart/2005/8/layout/hProcess4" loCatId="process" qsTypeId="urn:microsoft.com/office/officeart/2005/8/quickstyle/3d3" qsCatId="3D" csTypeId="urn:microsoft.com/office/officeart/2005/8/colors/colorful3" csCatId="colorful" phldr="1"/>
      <dgm:spPr/>
      <dgm:t>
        <a:bodyPr/>
        <a:lstStyle/>
        <a:p>
          <a:endParaRPr lang="en-US"/>
        </a:p>
      </dgm:t>
    </dgm:pt>
    <dgm:pt modelId="{D462D103-9F77-4ED5-9327-E497EB497502}">
      <dgm:prSet phldrT="[Texto]"/>
      <dgm:spPr>
        <a:xfrm>
          <a:off x="503836" y="3243474"/>
          <a:ext cx="2014779" cy="801211"/>
        </a:xfrm>
        <a:prstGeom prst="roundRect">
          <a:avLst>
            <a:gd name="adj" fmla="val 10000"/>
          </a:avLst>
        </a:prstGeom>
        <a:solidFill>
          <a:srgbClr val="A5A5A5">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a:buNone/>
          </a:pPr>
          <a:r>
            <a:rPr lang="es-CL" dirty="0">
              <a:solidFill>
                <a:sysClr val="window" lastClr="FFFFFF"/>
              </a:solidFill>
              <a:latin typeface="Calibri" panose="020F0502020204030204"/>
              <a:ea typeface="+mn-ea"/>
              <a:cs typeface="+mn-cs"/>
            </a:rPr>
            <a:t>Captura de datos</a:t>
          </a:r>
          <a:endParaRPr lang="en-US" dirty="0">
            <a:solidFill>
              <a:sysClr val="window" lastClr="FFFFFF"/>
            </a:solidFill>
            <a:latin typeface="Calibri" panose="020F0502020204030204"/>
            <a:ea typeface="+mn-ea"/>
            <a:cs typeface="+mn-cs"/>
          </a:endParaRPr>
        </a:p>
      </dgm:t>
    </dgm:pt>
    <dgm:pt modelId="{61125E63-589C-4A3B-AABA-D3FD0A4D1820}" type="parTrans" cxnId="{33DF5A10-B162-4A6F-BDF1-C847DC25E704}">
      <dgm:prSet/>
      <dgm:spPr/>
      <dgm:t>
        <a:bodyPr/>
        <a:lstStyle/>
        <a:p>
          <a:endParaRPr lang="en-US"/>
        </a:p>
      </dgm:t>
    </dgm:pt>
    <dgm:pt modelId="{720C0FC9-AA72-489D-A5B0-A6DED5CD9AD6}" type="sibTrans" cxnId="{33DF5A10-B162-4A6F-BDF1-C847DC25E704}">
      <dgm:prSet/>
      <dgm:spPr>
        <a:xfrm>
          <a:off x="1300946" y="2316885"/>
          <a:ext cx="2356306" cy="2356306"/>
        </a:xfrm>
        <a:prstGeom prst="leftCircularArrow">
          <a:avLst>
            <a:gd name="adj1" fmla="val 2550"/>
            <a:gd name="adj2" fmla="val 309429"/>
            <a:gd name="adj3" fmla="val 2084940"/>
            <a:gd name="adj4" fmla="val 9024489"/>
            <a:gd name="adj5" fmla="val 2975"/>
          </a:avLst>
        </a:prstGeom>
        <a:solidFill>
          <a:srgbClr val="A5A5A5">
            <a:hueOff val="0"/>
            <a:satOff val="0"/>
            <a:lumOff val="0"/>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gm:spPr>
      <dgm:t>
        <a:bodyPr/>
        <a:lstStyle/>
        <a:p>
          <a:endParaRPr lang="en-US"/>
        </a:p>
      </dgm:t>
    </dgm:pt>
    <dgm:pt modelId="{1962AAA2-9E31-40A6-87AA-B51F90F1A13F}">
      <dgm:prSet phldrT="[Texto]"/>
      <dgm:spPr>
        <a:xfrm>
          <a:off x="141" y="1774586"/>
          <a:ext cx="2266626" cy="1869493"/>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lgn="l">
            <a:buChar char="•"/>
          </a:pPr>
          <a:r>
            <a:rPr lang="es-CL" dirty="0">
              <a:solidFill>
                <a:sysClr val="windowText" lastClr="000000">
                  <a:hueOff val="0"/>
                  <a:satOff val="0"/>
                  <a:lumOff val="0"/>
                  <a:alphaOff val="0"/>
                </a:sysClr>
              </a:solidFill>
              <a:latin typeface="Calibri" panose="020F0502020204030204"/>
              <a:ea typeface="+mn-ea"/>
              <a:cs typeface="+mn-cs"/>
            </a:rPr>
            <a:t>GCI Técnico:</a:t>
          </a:r>
          <a:endParaRPr lang="en-US" dirty="0">
            <a:solidFill>
              <a:sysClr val="windowText" lastClr="000000">
                <a:hueOff val="0"/>
                <a:satOff val="0"/>
                <a:lumOff val="0"/>
                <a:alphaOff val="0"/>
              </a:sysClr>
            </a:solidFill>
            <a:latin typeface="Calibri" panose="020F0502020204030204"/>
            <a:ea typeface="+mn-ea"/>
            <a:cs typeface="+mn-cs"/>
          </a:endParaRPr>
        </a:p>
      </dgm:t>
    </dgm:pt>
    <dgm:pt modelId="{1369F11E-708D-4628-9657-416624364897}" type="parTrans" cxnId="{12335766-8854-48E3-87B8-F1834ECA850D}">
      <dgm:prSet/>
      <dgm:spPr/>
      <dgm:t>
        <a:bodyPr/>
        <a:lstStyle/>
        <a:p>
          <a:endParaRPr lang="en-US"/>
        </a:p>
      </dgm:t>
    </dgm:pt>
    <dgm:pt modelId="{E1F78180-6C58-49FA-99EE-A9F2304EE372}" type="sibTrans" cxnId="{12335766-8854-48E3-87B8-F1834ECA850D}">
      <dgm:prSet/>
      <dgm:spPr/>
      <dgm:t>
        <a:bodyPr/>
        <a:lstStyle/>
        <a:p>
          <a:endParaRPr lang="en-US"/>
        </a:p>
      </dgm:t>
    </dgm:pt>
    <dgm:pt modelId="{83CAA40B-6480-4B0F-9102-C278EF9BFF98}">
      <dgm:prSet phldrT="[Texto]"/>
      <dgm:spPr>
        <a:xfrm>
          <a:off x="3308457" y="1373981"/>
          <a:ext cx="2014779" cy="801211"/>
        </a:xfrm>
        <a:prstGeom prst="roundRect">
          <a:avLst>
            <a:gd name="adj" fmla="val 10000"/>
          </a:avLst>
        </a:prstGeom>
        <a:solidFill>
          <a:srgbClr val="A5A5A5">
            <a:hueOff val="1355300"/>
            <a:satOff val="50000"/>
            <a:lumOff val="-7353"/>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a:buNone/>
          </a:pPr>
          <a:r>
            <a:rPr lang="es-CL" dirty="0">
              <a:solidFill>
                <a:sysClr val="window" lastClr="FFFFFF"/>
              </a:solidFill>
              <a:latin typeface="Calibri" panose="020F0502020204030204"/>
              <a:ea typeface="+mn-ea"/>
              <a:cs typeface="+mn-cs"/>
            </a:rPr>
            <a:t>Integración de datos y generación de reportes</a:t>
          </a:r>
          <a:endParaRPr lang="en-US" dirty="0">
            <a:solidFill>
              <a:sysClr val="window" lastClr="FFFFFF"/>
            </a:solidFill>
            <a:latin typeface="Calibri" panose="020F0502020204030204"/>
            <a:ea typeface="+mn-ea"/>
            <a:cs typeface="+mn-cs"/>
          </a:endParaRPr>
        </a:p>
      </dgm:t>
    </dgm:pt>
    <dgm:pt modelId="{38488E54-9480-4B79-A2F6-7987720C0837}" type="parTrans" cxnId="{B3E579E9-859E-47E4-9D66-A6D81210ADDE}">
      <dgm:prSet/>
      <dgm:spPr/>
      <dgm:t>
        <a:bodyPr/>
        <a:lstStyle/>
        <a:p>
          <a:endParaRPr lang="en-US"/>
        </a:p>
      </dgm:t>
    </dgm:pt>
    <dgm:pt modelId="{5868236B-A9F9-4A30-B12B-74C51F128151}" type="sibTrans" cxnId="{B3E579E9-859E-47E4-9D66-A6D81210ADDE}">
      <dgm:prSet/>
      <dgm:spPr>
        <a:xfrm>
          <a:off x="4086679" y="672173"/>
          <a:ext cx="2645930" cy="2645930"/>
        </a:xfrm>
        <a:prstGeom prst="circularArrow">
          <a:avLst>
            <a:gd name="adj1" fmla="val 2271"/>
            <a:gd name="adj2" fmla="val 273786"/>
            <a:gd name="adj3" fmla="val 19550703"/>
            <a:gd name="adj4" fmla="val 12575511"/>
            <a:gd name="adj5" fmla="val 2650"/>
          </a:avLst>
        </a:prstGeom>
        <a:solidFill>
          <a:srgbClr val="A5A5A5">
            <a:hueOff val="2710599"/>
            <a:satOff val="100000"/>
            <a:lumOff val="-14706"/>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gm:spPr>
      <dgm:t>
        <a:bodyPr/>
        <a:lstStyle/>
        <a:p>
          <a:endParaRPr lang="en-US"/>
        </a:p>
      </dgm:t>
    </dgm:pt>
    <dgm:pt modelId="{5485F0BB-5B95-4810-A369-2A1347550E35}">
      <dgm:prSet phldrT="[Texto]" custT="1"/>
      <dgm:spPr>
        <a:xfrm>
          <a:off x="2804762" y="1774586"/>
          <a:ext cx="2266626" cy="1869493"/>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Char char="•"/>
          </a:pPr>
          <a:r>
            <a:rPr lang="es-CL" sz="1500" dirty="0">
              <a:solidFill>
                <a:sysClr val="windowText" lastClr="000000">
                  <a:hueOff val="0"/>
                  <a:satOff val="0"/>
                  <a:lumOff val="0"/>
                  <a:alphaOff val="0"/>
                </a:sysClr>
              </a:solidFill>
              <a:latin typeface="Calibri" panose="020F0502020204030204"/>
              <a:ea typeface="+mn-ea"/>
              <a:cs typeface="+mn-cs"/>
            </a:rPr>
            <a:t>Unidad Integradora del MRV-MARN</a:t>
          </a:r>
          <a:endParaRPr lang="en-US" sz="1500" dirty="0">
            <a:solidFill>
              <a:sysClr val="windowText" lastClr="000000">
                <a:hueOff val="0"/>
                <a:satOff val="0"/>
                <a:lumOff val="0"/>
                <a:alphaOff val="0"/>
              </a:sysClr>
            </a:solidFill>
            <a:latin typeface="Calibri" panose="020F0502020204030204"/>
            <a:ea typeface="+mn-ea"/>
            <a:cs typeface="+mn-cs"/>
          </a:endParaRPr>
        </a:p>
      </dgm:t>
    </dgm:pt>
    <dgm:pt modelId="{1A1C766D-5F23-44D2-9B8B-A92E2E7C53AC}" type="parTrans" cxnId="{A58B378A-9255-4309-9C79-EBB6D14A1BEF}">
      <dgm:prSet/>
      <dgm:spPr/>
      <dgm:t>
        <a:bodyPr/>
        <a:lstStyle/>
        <a:p>
          <a:endParaRPr lang="en-US"/>
        </a:p>
      </dgm:t>
    </dgm:pt>
    <dgm:pt modelId="{2DC58432-E26E-4471-9916-5D0973480B7A}" type="sibTrans" cxnId="{A58B378A-9255-4309-9C79-EBB6D14A1BEF}">
      <dgm:prSet/>
      <dgm:spPr/>
      <dgm:t>
        <a:bodyPr/>
        <a:lstStyle/>
        <a:p>
          <a:endParaRPr lang="en-US"/>
        </a:p>
      </dgm:t>
    </dgm:pt>
    <dgm:pt modelId="{345034F1-6716-44A3-958D-911C799984B6}">
      <dgm:prSet phldrT="[Texto]"/>
      <dgm:spPr>
        <a:xfrm>
          <a:off x="6113078" y="3243474"/>
          <a:ext cx="2014779" cy="801211"/>
        </a:xfrm>
        <a:prstGeom prst="roundRect">
          <a:avLst>
            <a:gd name="adj" fmla="val 10000"/>
          </a:avLst>
        </a:prstGeom>
        <a:solidFill>
          <a:srgbClr val="A5A5A5">
            <a:hueOff val="2710599"/>
            <a:satOff val="100000"/>
            <a:lumOff val="-14706"/>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a:buNone/>
          </a:pPr>
          <a:r>
            <a:rPr lang="es-CL" dirty="0">
              <a:solidFill>
                <a:sysClr val="window" lastClr="FFFFFF"/>
              </a:solidFill>
              <a:latin typeface="Calibri" panose="020F0502020204030204"/>
              <a:ea typeface="+mn-ea"/>
              <a:cs typeface="+mn-cs"/>
            </a:rPr>
            <a:t>Validación de Reportes</a:t>
          </a:r>
          <a:endParaRPr lang="en-US" dirty="0">
            <a:solidFill>
              <a:sysClr val="window" lastClr="FFFFFF"/>
            </a:solidFill>
            <a:latin typeface="Calibri" panose="020F0502020204030204"/>
            <a:ea typeface="+mn-ea"/>
            <a:cs typeface="+mn-cs"/>
          </a:endParaRPr>
        </a:p>
      </dgm:t>
    </dgm:pt>
    <dgm:pt modelId="{3A2E192A-BC87-4E1E-A3F2-2142B8E2527A}" type="parTrans" cxnId="{BF6F5D6C-AD59-4A58-B391-4E72E1C5A34B}">
      <dgm:prSet/>
      <dgm:spPr/>
      <dgm:t>
        <a:bodyPr/>
        <a:lstStyle/>
        <a:p>
          <a:endParaRPr lang="en-US"/>
        </a:p>
      </dgm:t>
    </dgm:pt>
    <dgm:pt modelId="{42489160-EE39-4DA7-ABCF-9FBFC2DF9A95}" type="sibTrans" cxnId="{BF6F5D6C-AD59-4A58-B391-4E72E1C5A34B}">
      <dgm:prSet/>
      <dgm:spPr/>
      <dgm:t>
        <a:bodyPr/>
        <a:lstStyle/>
        <a:p>
          <a:endParaRPr lang="en-US"/>
        </a:p>
      </dgm:t>
    </dgm:pt>
    <dgm:pt modelId="{5147D546-4CBE-41BE-841F-A8B4C75A932B}">
      <dgm:prSet phldrT="[Texto]"/>
      <dgm:spPr>
        <a:xfrm>
          <a:off x="5609383" y="1774586"/>
          <a:ext cx="2266626" cy="1869493"/>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Char char="•"/>
          </a:pPr>
          <a:r>
            <a:rPr lang="es-CL" dirty="0">
              <a:solidFill>
                <a:sysClr val="windowText" lastClr="000000">
                  <a:hueOff val="0"/>
                  <a:satOff val="0"/>
                  <a:lumOff val="0"/>
                  <a:alphaOff val="0"/>
                </a:sysClr>
              </a:solidFill>
              <a:latin typeface="Calibri" panose="020F0502020204030204"/>
              <a:ea typeface="+mn-ea"/>
              <a:cs typeface="+mn-cs"/>
            </a:rPr>
            <a:t>GCI Político</a:t>
          </a:r>
          <a:endParaRPr lang="en-US" dirty="0">
            <a:solidFill>
              <a:sysClr val="windowText" lastClr="000000">
                <a:hueOff val="0"/>
                <a:satOff val="0"/>
                <a:lumOff val="0"/>
                <a:alphaOff val="0"/>
              </a:sysClr>
            </a:solidFill>
            <a:latin typeface="Calibri" panose="020F0502020204030204"/>
            <a:ea typeface="+mn-ea"/>
            <a:cs typeface="+mn-cs"/>
          </a:endParaRPr>
        </a:p>
      </dgm:t>
    </dgm:pt>
    <dgm:pt modelId="{0EFB1A6C-4F17-493E-8649-DA519D2C1E6C}" type="parTrans" cxnId="{A5707565-7C6A-4725-8E6E-1006FBFACC98}">
      <dgm:prSet/>
      <dgm:spPr/>
      <dgm:t>
        <a:bodyPr/>
        <a:lstStyle/>
        <a:p>
          <a:endParaRPr lang="en-US"/>
        </a:p>
      </dgm:t>
    </dgm:pt>
    <dgm:pt modelId="{6E588AA6-A720-4F2C-A192-EF276104E11F}" type="sibTrans" cxnId="{A5707565-7C6A-4725-8E6E-1006FBFACC98}">
      <dgm:prSet/>
      <dgm:spPr/>
      <dgm:t>
        <a:bodyPr/>
        <a:lstStyle/>
        <a:p>
          <a:endParaRPr lang="en-US"/>
        </a:p>
      </dgm:t>
    </dgm:pt>
    <dgm:pt modelId="{7A7FD30B-979A-4714-9072-27FE23C4C8A4}">
      <dgm:prSet phldrT="[Texto]"/>
      <dgm:spPr>
        <a:xfrm>
          <a:off x="5609383" y="1774586"/>
          <a:ext cx="2266626" cy="1869493"/>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Char char="•"/>
          </a:pPr>
          <a:r>
            <a:rPr lang="es-CL" dirty="0">
              <a:solidFill>
                <a:sysClr val="windowText" lastClr="000000">
                  <a:hueOff val="0"/>
                  <a:satOff val="0"/>
                  <a:lumOff val="0"/>
                  <a:alphaOff val="0"/>
                </a:sysClr>
              </a:solidFill>
              <a:latin typeface="Calibri" panose="020F0502020204030204"/>
              <a:ea typeface="+mn-ea"/>
              <a:cs typeface="+mn-cs"/>
            </a:rPr>
            <a:t>INAB</a:t>
          </a:r>
          <a:endParaRPr lang="en-US" dirty="0">
            <a:solidFill>
              <a:sysClr val="windowText" lastClr="000000">
                <a:hueOff val="0"/>
                <a:satOff val="0"/>
                <a:lumOff val="0"/>
                <a:alphaOff val="0"/>
              </a:sysClr>
            </a:solidFill>
            <a:latin typeface="Calibri" panose="020F0502020204030204"/>
            <a:ea typeface="+mn-ea"/>
            <a:cs typeface="+mn-cs"/>
          </a:endParaRPr>
        </a:p>
      </dgm:t>
    </dgm:pt>
    <dgm:pt modelId="{C846EB8D-A808-4900-84B6-C94A3955B711}" type="parTrans" cxnId="{3C33F2B3-2DF0-4417-8D0A-67DDDB36DFA1}">
      <dgm:prSet/>
      <dgm:spPr/>
      <dgm:t>
        <a:bodyPr/>
        <a:lstStyle/>
        <a:p>
          <a:endParaRPr lang="en-US"/>
        </a:p>
      </dgm:t>
    </dgm:pt>
    <dgm:pt modelId="{0F691870-F59B-4724-838C-0CF624FD8D73}" type="sibTrans" cxnId="{3C33F2B3-2DF0-4417-8D0A-67DDDB36DFA1}">
      <dgm:prSet/>
      <dgm:spPr/>
      <dgm:t>
        <a:bodyPr/>
        <a:lstStyle/>
        <a:p>
          <a:endParaRPr lang="en-US"/>
        </a:p>
      </dgm:t>
    </dgm:pt>
    <dgm:pt modelId="{9451B81E-D45A-462D-B9CE-F69E7E953500}">
      <dgm:prSet phldrT="[Texto]"/>
      <dgm:spPr>
        <a:xfrm>
          <a:off x="141" y="1774586"/>
          <a:ext cx="2266626" cy="1869493"/>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lgn="l">
            <a:buChar char="•"/>
          </a:pPr>
          <a:r>
            <a:rPr lang="es-CL" dirty="0">
              <a:solidFill>
                <a:sysClr val="windowText" lastClr="000000">
                  <a:hueOff val="0"/>
                  <a:satOff val="0"/>
                  <a:lumOff val="0"/>
                  <a:alphaOff val="0"/>
                </a:sysClr>
              </a:solidFill>
              <a:latin typeface="Calibri" panose="020F0502020204030204"/>
              <a:ea typeface="+mn-ea"/>
              <a:cs typeface="+mn-cs"/>
            </a:rPr>
            <a:t>MARN</a:t>
          </a:r>
          <a:endParaRPr lang="en-US" dirty="0">
            <a:solidFill>
              <a:sysClr val="windowText" lastClr="000000">
                <a:hueOff val="0"/>
                <a:satOff val="0"/>
                <a:lumOff val="0"/>
                <a:alphaOff val="0"/>
              </a:sysClr>
            </a:solidFill>
            <a:latin typeface="Calibri" panose="020F0502020204030204"/>
            <a:ea typeface="+mn-ea"/>
            <a:cs typeface="+mn-cs"/>
          </a:endParaRPr>
        </a:p>
      </dgm:t>
    </dgm:pt>
    <dgm:pt modelId="{E81E8AC4-3AFA-412F-B065-DFAD87D3A367}" type="parTrans" cxnId="{9AD88568-B79B-455E-9017-07D8B3EAE725}">
      <dgm:prSet/>
      <dgm:spPr/>
      <dgm:t>
        <a:bodyPr/>
        <a:lstStyle/>
        <a:p>
          <a:endParaRPr lang="en-US"/>
        </a:p>
      </dgm:t>
    </dgm:pt>
    <dgm:pt modelId="{530095A9-73CB-4BD8-8004-3B92E3002F33}" type="sibTrans" cxnId="{9AD88568-B79B-455E-9017-07D8B3EAE725}">
      <dgm:prSet/>
      <dgm:spPr/>
      <dgm:t>
        <a:bodyPr/>
        <a:lstStyle/>
        <a:p>
          <a:endParaRPr lang="en-US"/>
        </a:p>
      </dgm:t>
    </dgm:pt>
    <dgm:pt modelId="{C80D3ACA-2A9E-4067-85AF-805C27B2D964}">
      <dgm:prSet phldrT="[Texto]"/>
      <dgm:spPr>
        <a:xfrm>
          <a:off x="141" y="1774586"/>
          <a:ext cx="2266626" cy="1869493"/>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lgn="l">
            <a:buChar char="•"/>
          </a:pPr>
          <a:r>
            <a:rPr lang="es-CL" dirty="0">
              <a:solidFill>
                <a:sysClr val="windowText" lastClr="000000">
                  <a:hueOff val="0"/>
                  <a:satOff val="0"/>
                  <a:lumOff val="0"/>
                  <a:alphaOff val="0"/>
                </a:sysClr>
              </a:solidFill>
              <a:latin typeface="Calibri" panose="020F0502020204030204"/>
              <a:ea typeface="+mn-ea"/>
              <a:cs typeface="+mn-cs"/>
            </a:rPr>
            <a:t>MAGA</a:t>
          </a:r>
          <a:endParaRPr lang="en-US" dirty="0">
            <a:solidFill>
              <a:sysClr val="windowText" lastClr="000000">
                <a:hueOff val="0"/>
                <a:satOff val="0"/>
                <a:lumOff val="0"/>
                <a:alphaOff val="0"/>
              </a:sysClr>
            </a:solidFill>
            <a:latin typeface="Calibri" panose="020F0502020204030204"/>
            <a:ea typeface="+mn-ea"/>
            <a:cs typeface="+mn-cs"/>
          </a:endParaRPr>
        </a:p>
      </dgm:t>
    </dgm:pt>
    <dgm:pt modelId="{F1CF7081-7069-4CBF-8D5B-57853C98E4F0}" type="parTrans" cxnId="{E4D6DA96-C5E1-48EE-90C5-502604F829C4}">
      <dgm:prSet/>
      <dgm:spPr/>
      <dgm:t>
        <a:bodyPr/>
        <a:lstStyle/>
        <a:p>
          <a:endParaRPr lang="en-US"/>
        </a:p>
      </dgm:t>
    </dgm:pt>
    <dgm:pt modelId="{3DBC93D2-1312-4A8C-A47F-0BD5287DCC5E}" type="sibTrans" cxnId="{E4D6DA96-C5E1-48EE-90C5-502604F829C4}">
      <dgm:prSet/>
      <dgm:spPr/>
      <dgm:t>
        <a:bodyPr/>
        <a:lstStyle/>
        <a:p>
          <a:endParaRPr lang="en-US"/>
        </a:p>
      </dgm:t>
    </dgm:pt>
    <dgm:pt modelId="{C045108A-175E-40E4-83A7-B4F6495683FE}">
      <dgm:prSet phldrT="[Texto]"/>
      <dgm:spPr>
        <a:xfrm>
          <a:off x="141" y="1774586"/>
          <a:ext cx="2266626" cy="1869493"/>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lgn="l">
            <a:buChar char="•"/>
          </a:pPr>
          <a:r>
            <a:rPr lang="es-CL" dirty="0">
              <a:solidFill>
                <a:sysClr val="windowText" lastClr="000000">
                  <a:hueOff val="0"/>
                  <a:satOff val="0"/>
                  <a:lumOff val="0"/>
                  <a:alphaOff val="0"/>
                </a:sysClr>
              </a:solidFill>
              <a:latin typeface="Calibri" panose="020F0502020204030204"/>
              <a:ea typeface="+mn-ea"/>
              <a:cs typeface="+mn-cs"/>
            </a:rPr>
            <a:t>CONAP</a:t>
          </a:r>
          <a:endParaRPr lang="en-US" dirty="0">
            <a:solidFill>
              <a:sysClr val="windowText" lastClr="000000">
                <a:hueOff val="0"/>
                <a:satOff val="0"/>
                <a:lumOff val="0"/>
                <a:alphaOff val="0"/>
              </a:sysClr>
            </a:solidFill>
            <a:latin typeface="Calibri" panose="020F0502020204030204"/>
            <a:ea typeface="+mn-ea"/>
            <a:cs typeface="+mn-cs"/>
          </a:endParaRPr>
        </a:p>
      </dgm:t>
    </dgm:pt>
    <dgm:pt modelId="{3D9B194B-31D3-4746-A03A-CF4FB10B2CA6}" type="parTrans" cxnId="{52294EBF-D91A-4495-8D6F-0AA5616DDE43}">
      <dgm:prSet/>
      <dgm:spPr/>
      <dgm:t>
        <a:bodyPr/>
        <a:lstStyle/>
        <a:p>
          <a:endParaRPr lang="en-US"/>
        </a:p>
      </dgm:t>
    </dgm:pt>
    <dgm:pt modelId="{621858C4-4D64-4755-BE6D-90EE710CEB59}" type="sibTrans" cxnId="{52294EBF-D91A-4495-8D6F-0AA5616DDE43}">
      <dgm:prSet/>
      <dgm:spPr/>
      <dgm:t>
        <a:bodyPr/>
        <a:lstStyle/>
        <a:p>
          <a:endParaRPr lang="en-US"/>
        </a:p>
      </dgm:t>
    </dgm:pt>
    <dgm:pt modelId="{851AE870-031C-4E67-BACF-4F6E5455AD08}">
      <dgm:prSet phldrT="[Texto]"/>
      <dgm:spPr>
        <a:xfrm>
          <a:off x="141" y="1774586"/>
          <a:ext cx="2266626" cy="1869493"/>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lgn="l">
            <a:buChar char="•"/>
          </a:pPr>
          <a:endParaRPr lang="en-US" dirty="0">
            <a:solidFill>
              <a:sysClr val="windowText" lastClr="000000">
                <a:hueOff val="0"/>
                <a:satOff val="0"/>
                <a:lumOff val="0"/>
                <a:alphaOff val="0"/>
              </a:sysClr>
            </a:solidFill>
            <a:latin typeface="Calibri" panose="020F0502020204030204"/>
            <a:ea typeface="+mn-ea"/>
            <a:cs typeface="+mn-cs"/>
          </a:endParaRPr>
        </a:p>
      </dgm:t>
    </dgm:pt>
    <dgm:pt modelId="{764910B1-31ED-4F4B-9256-763D7B67A248}" type="parTrans" cxnId="{77DA322C-25BA-4EAC-8147-F7C30A3378E1}">
      <dgm:prSet/>
      <dgm:spPr/>
      <dgm:t>
        <a:bodyPr/>
        <a:lstStyle/>
        <a:p>
          <a:endParaRPr lang="en-US"/>
        </a:p>
      </dgm:t>
    </dgm:pt>
    <dgm:pt modelId="{24D7F495-A993-42A2-AA39-F16B09F95B51}" type="sibTrans" cxnId="{77DA322C-25BA-4EAC-8147-F7C30A3378E1}">
      <dgm:prSet/>
      <dgm:spPr/>
      <dgm:t>
        <a:bodyPr/>
        <a:lstStyle/>
        <a:p>
          <a:endParaRPr lang="en-US"/>
        </a:p>
      </dgm:t>
    </dgm:pt>
    <dgm:pt modelId="{24DCA42C-4D06-4622-A368-97F78F88BF27}">
      <dgm:prSet phldrT="[Texto]"/>
      <dgm:spPr>
        <a:xfrm>
          <a:off x="141" y="1774586"/>
          <a:ext cx="2266626" cy="1869493"/>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lgn="l">
            <a:buChar char="•"/>
          </a:pPr>
          <a:r>
            <a:rPr lang="es-CL" dirty="0">
              <a:solidFill>
                <a:sysClr val="windowText" lastClr="000000">
                  <a:hueOff val="0"/>
                  <a:satOff val="0"/>
                  <a:lumOff val="0"/>
                  <a:alphaOff val="0"/>
                </a:sysClr>
              </a:solidFill>
              <a:latin typeface="Calibri" panose="020F0502020204030204"/>
              <a:ea typeface="+mn-ea"/>
              <a:cs typeface="+mn-cs"/>
            </a:rPr>
            <a:t>INAB</a:t>
          </a:r>
          <a:endParaRPr lang="en-US" dirty="0">
            <a:solidFill>
              <a:sysClr val="windowText" lastClr="000000">
                <a:hueOff val="0"/>
                <a:satOff val="0"/>
                <a:lumOff val="0"/>
                <a:alphaOff val="0"/>
              </a:sysClr>
            </a:solidFill>
            <a:latin typeface="Calibri" panose="020F0502020204030204"/>
            <a:ea typeface="+mn-ea"/>
            <a:cs typeface="+mn-cs"/>
          </a:endParaRPr>
        </a:p>
      </dgm:t>
    </dgm:pt>
    <dgm:pt modelId="{A07E12E7-5F7D-4FD7-91CB-D654689C58BD}" type="parTrans" cxnId="{029BE026-DB17-4871-875C-F61585C245EB}">
      <dgm:prSet/>
      <dgm:spPr/>
      <dgm:t>
        <a:bodyPr/>
        <a:lstStyle/>
        <a:p>
          <a:endParaRPr lang="en-US"/>
        </a:p>
      </dgm:t>
    </dgm:pt>
    <dgm:pt modelId="{9DAC58CD-11FF-40EB-8BCB-F64BF8E9EB16}" type="sibTrans" cxnId="{029BE026-DB17-4871-875C-F61585C245EB}">
      <dgm:prSet/>
      <dgm:spPr/>
      <dgm:t>
        <a:bodyPr/>
        <a:lstStyle/>
        <a:p>
          <a:endParaRPr lang="en-US"/>
        </a:p>
      </dgm:t>
    </dgm:pt>
    <dgm:pt modelId="{D9A20DDD-32AF-4CAE-9032-1A61ABC4474A}">
      <dgm:prSet phldrT="[Texto]"/>
      <dgm:spPr>
        <a:xfrm>
          <a:off x="5609383" y="1774586"/>
          <a:ext cx="2266626" cy="1869493"/>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Char char="•"/>
          </a:pPr>
          <a:r>
            <a:rPr lang="es-CL" dirty="0">
              <a:solidFill>
                <a:sysClr val="windowText" lastClr="000000">
                  <a:hueOff val="0"/>
                  <a:satOff val="0"/>
                  <a:lumOff val="0"/>
                  <a:alphaOff val="0"/>
                </a:sysClr>
              </a:solidFill>
              <a:latin typeface="Calibri" panose="020F0502020204030204"/>
              <a:ea typeface="+mn-ea"/>
              <a:cs typeface="+mn-cs"/>
            </a:rPr>
            <a:t>MARN</a:t>
          </a:r>
          <a:endParaRPr lang="en-US" dirty="0">
            <a:solidFill>
              <a:sysClr val="windowText" lastClr="000000">
                <a:hueOff val="0"/>
                <a:satOff val="0"/>
                <a:lumOff val="0"/>
                <a:alphaOff val="0"/>
              </a:sysClr>
            </a:solidFill>
            <a:latin typeface="Calibri" panose="020F0502020204030204"/>
            <a:ea typeface="+mn-ea"/>
            <a:cs typeface="+mn-cs"/>
          </a:endParaRPr>
        </a:p>
      </dgm:t>
    </dgm:pt>
    <dgm:pt modelId="{06E121F1-AE11-4A00-B434-1CD480745FB6}" type="parTrans" cxnId="{7E1F2BBF-C707-418C-BE6E-2B2C1918D31C}">
      <dgm:prSet/>
      <dgm:spPr/>
      <dgm:t>
        <a:bodyPr/>
        <a:lstStyle/>
        <a:p>
          <a:endParaRPr lang="en-US"/>
        </a:p>
      </dgm:t>
    </dgm:pt>
    <dgm:pt modelId="{6D8F5B2D-7831-4D77-BE62-414D864F61BC}" type="sibTrans" cxnId="{7E1F2BBF-C707-418C-BE6E-2B2C1918D31C}">
      <dgm:prSet/>
      <dgm:spPr/>
      <dgm:t>
        <a:bodyPr/>
        <a:lstStyle/>
        <a:p>
          <a:endParaRPr lang="en-US"/>
        </a:p>
      </dgm:t>
    </dgm:pt>
    <dgm:pt modelId="{44A29BB9-2F35-45CA-9A3E-5BB0C1236A4F}">
      <dgm:prSet phldrT="[Texto]"/>
      <dgm:spPr>
        <a:xfrm>
          <a:off x="5609383" y="1774586"/>
          <a:ext cx="2266626" cy="1869493"/>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Char char="•"/>
          </a:pPr>
          <a:r>
            <a:rPr lang="es-CL" dirty="0">
              <a:solidFill>
                <a:sysClr val="windowText" lastClr="000000">
                  <a:hueOff val="0"/>
                  <a:satOff val="0"/>
                  <a:lumOff val="0"/>
                  <a:alphaOff val="0"/>
                </a:sysClr>
              </a:solidFill>
              <a:latin typeface="Calibri" panose="020F0502020204030204"/>
              <a:ea typeface="+mn-ea"/>
              <a:cs typeface="+mn-cs"/>
            </a:rPr>
            <a:t>MAGA</a:t>
          </a:r>
          <a:endParaRPr lang="en-US" dirty="0">
            <a:solidFill>
              <a:sysClr val="windowText" lastClr="000000">
                <a:hueOff val="0"/>
                <a:satOff val="0"/>
                <a:lumOff val="0"/>
                <a:alphaOff val="0"/>
              </a:sysClr>
            </a:solidFill>
            <a:latin typeface="Calibri" panose="020F0502020204030204"/>
            <a:ea typeface="+mn-ea"/>
            <a:cs typeface="+mn-cs"/>
          </a:endParaRPr>
        </a:p>
      </dgm:t>
    </dgm:pt>
    <dgm:pt modelId="{40DC4F4C-4EA0-4E9A-BDD1-A581ACE2A40E}" type="parTrans" cxnId="{F54C9C39-D87C-4633-8499-9450B0B02119}">
      <dgm:prSet/>
      <dgm:spPr/>
      <dgm:t>
        <a:bodyPr/>
        <a:lstStyle/>
        <a:p>
          <a:endParaRPr lang="en-US"/>
        </a:p>
      </dgm:t>
    </dgm:pt>
    <dgm:pt modelId="{51B639C7-5EF6-40CE-B656-A277136BCE32}" type="sibTrans" cxnId="{F54C9C39-D87C-4633-8499-9450B0B02119}">
      <dgm:prSet/>
      <dgm:spPr/>
      <dgm:t>
        <a:bodyPr/>
        <a:lstStyle/>
        <a:p>
          <a:endParaRPr lang="en-US"/>
        </a:p>
      </dgm:t>
    </dgm:pt>
    <dgm:pt modelId="{50444B46-D902-4381-8631-2BCD710872B9}">
      <dgm:prSet phldrT="[Texto]"/>
      <dgm:spPr>
        <a:xfrm>
          <a:off x="5609383" y="1774586"/>
          <a:ext cx="2266626" cy="1869493"/>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Char char="•"/>
          </a:pPr>
          <a:endParaRPr lang="en-US" dirty="0">
            <a:solidFill>
              <a:sysClr val="windowText" lastClr="000000">
                <a:hueOff val="0"/>
                <a:satOff val="0"/>
                <a:lumOff val="0"/>
                <a:alphaOff val="0"/>
              </a:sysClr>
            </a:solidFill>
            <a:latin typeface="Calibri" panose="020F0502020204030204"/>
            <a:ea typeface="+mn-ea"/>
            <a:cs typeface="+mn-cs"/>
          </a:endParaRPr>
        </a:p>
      </dgm:t>
    </dgm:pt>
    <dgm:pt modelId="{2B39C297-7991-4085-8886-015B24755898}" type="parTrans" cxnId="{AC159026-999B-401A-97E6-78423BD21A10}">
      <dgm:prSet/>
      <dgm:spPr/>
      <dgm:t>
        <a:bodyPr/>
        <a:lstStyle/>
        <a:p>
          <a:endParaRPr lang="en-US"/>
        </a:p>
      </dgm:t>
    </dgm:pt>
    <dgm:pt modelId="{FCD5FEA9-C7FD-464F-91B3-5375C4E09429}" type="sibTrans" cxnId="{AC159026-999B-401A-97E6-78423BD21A10}">
      <dgm:prSet/>
      <dgm:spPr/>
      <dgm:t>
        <a:bodyPr/>
        <a:lstStyle/>
        <a:p>
          <a:endParaRPr lang="en-US"/>
        </a:p>
      </dgm:t>
    </dgm:pt>
    <dgm:pt modelId="{B1586B33-13B0-4ABB-9019-92CC37141A46}">
      <dgm:prSet phldrT="[Texto]"/>
      <dgm:spPr>
        <a:xfrm>
          <a:off x="5609383" y="1774586"/>
          <a:ext cx="2266626" cy="1869493"/>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Char char="•"/>
          </a:pPr>
          <a:r>
            <a:rPr lang="es-CL" dirty="0">
              <a:solidFill>
                <a:sysClr val="windowText" lastClr="000000">
                  <a:hueOff val="0"/>
                  <a:satOff val="0"/>
                  <a:lumOff val="0"/>
                  <a:alphaOff val="0"/>
                </a:sysClr>
              </a:solidFill>
              <a:latin typeface="Calibri" panose="020F0502020204030204"/>
              <a:ea typeface="+mn-ea"/>
              <a:cs typeface="+mn-cs"/>
            </a:rPr>
            <a:t>CONAP</a:t>
          </a:r>
          <a:endParaRPr lang="en-US" dirty="0">
            <a:solidFill>
              <a:sysClr val="windowText" lastClr="000000">
                <a:hueOff val="0"/>
                <a:satOff val="0"/>
                <a:lumOff val="0"/>
                <a:alphaOff val="0"/>
              </a:sysClr>
            </a:solidFill>
            <a:latin typeface="Calibri" panose="020F0502020204030204"/>
            <a:ea typeface="+mn-ea"/>
            <a:cs typeface="+mn-cs"/>
          </a:endParaRPr>
        </a:p>
      </dgm:t>
    </dgm:pt>
    <dgm:pt modelId="{77A71EFE-CF09-4196-9882-BCB387F87963}" type="parTrans" cxnId="{EBDE086B-BF63-41E8-B0E7-E7826C294F23}">
      <dgm:prSet/>
      <dgm:spPr/>
      <dgm:t>
        <a:bodyPr/>
        <a:lstStyle/>
        <a:p>
          <a:endParaRPr lang="en-US"/>
        </a:p>
      </dgm:t>
    </dgm:pt>
    <dgm:pt modelId="{538A46A3-0068-44A8-BB07-F62B0BDD952C}" type="sibTrans" cxnId="{EBDE086B-BF63-41E8-B0E7-E7826C294F23}">
      <dgm:prSet/>
      <dgm:spPr/>
      <dgm:t>
        <a:bodyPr/>
        <a:lstStyle/>
        <a:p>
          <a:endParaRPr lang="en-US"/>
        </a:p>
      </dgm:t>
    </dgm:pt>
    <dgm:pt modelId="{A8E1949D-2F97-464E-992D-C8D0AB89DD51}" type="pres">
      <dgm:prSet presAssocID="{C4914B1E-8A99-48B0-AB9B-97035DB04957}" presName="Name0" presStyleCnt="0">
        <dgm:presLayoutVars>
          <dgm:dir/>
          <dgm:animLvl val="lvl"/>
          <dgm:resizeHandles val="exact"/>
        </dgm:presLayoutVars>
      </dgm:prSet>
      <dgm:spPr/>
    </dgm:pt>
    <dgm:pt modelId="{A56B480A-1340-4399-A370-ADA1BEFB3BBB}" type="pres">
      <dgm:prSet presAssocID="{C4914B1E-8A99-48B0-AB9B-97035DB04957}" presName="tSp" presStyleCnt="0"/>
      <dgm:spPr/>
    </dgm:pt>
    <dgm:pt modelId="{D32827AB-DA5A-4564-8A55-AA4C7C1092B5}" type="pres">
      <dgm:prSet presAssocID="{C4914B1E-8A99-48B0-AB9B-97035DB04957}" presName="bSp" presStyleCnt="0"/>
      <dgm:spPr/>
    </dgm:pt>
    <dgm:pt modelId="{F24A1EB8-3ECD-4E35-95F6-670378290273}" type="pres">
      <dgm:prSet presAssocID="{C4914B1E-8A99-48B0-AB9B-97035DB04957}" presName="process" presStyleCnt="0"/>
      <dgm:spPr/>
    </dgm:pt>
    <dgm:pt modelId="{3393C57A-6B13-4B64-9150-30FC0518584B}" type="pres">
      <dgm:prSet presAssocID="{D462D103-9F77-4ED5-9327-E497EB497502}" presName="composite1" presStyleCnt="0"/>
      <dgm:spPr/>
    </dgm:pt>
    <dgm:pt modelId="{F9EDA140-13C8-45E0-8995-D0A7F833BB1B}" type="pres">
      <dgm:prSet presAssocID="{D462D103-9F77-4ED5-9327-E497EB497502}" presName="dummyNode1" presStyleLbl="node1" presStyleIdx="0" presStyleCnt="3"/>
      <dgm:spPr/>
    </dgm:pt>
    <dgm:pt modelId="{96AD4FCA-BCFC-4D0C-8291-4FC3A115933B}" type="pres">
      <dgm:prSet presAssocID="{D462D103-9F77-4ED5-9327-E497EB497502}" presName="childNode1" presStyleLbl="bgAcc1" presStyleIdx="0" presStyleCnt="3">
        <dgm:presLayoutVars>
          <dgm:bulletEnabled val="1"/>
        </dgm:presLayoutVars>
      </dgm:prSet>
      <dgm:spPr/>
    </dgm:pt>
    <dgm:pt modelId="{94056A32-1DA4-4A25-B906-A2DA4D50DBCC}" type="pres">
      <dgm:prSet presAssocID="{D462D103-9F77-4ED5-9327-E497EB497502}" presName="childNode1tx" presStyleLbl="bgAcc1" presStyleIdx="0" presStyleCnt="3">
        <dgm:presLayoutVars>
          <dgm:bulletEnabled val="1"/>
        </dgm:presLayoutVars>
      </dgm:prSet>
      <dgm:spPr/>
    </dgm:pt>
    <dgm:pt modelId="{B3379E86-ABC0-40DD-A17A-54CF72DC0AA8}" type="pres">
      <dgm:prSet presAssocID="{D462D103-9F77-4ED5-9327-E497EB497502}" presName="parentNode1" presStyleLbl="node1" presStyleIdx="0" presStyleCnt="3">
        <dgm:presLayoutVars>
          <dgm:chMax val="1"/>
          <dgm:bulletEnabled val="1"/>
        </dgm:presLayoutVars>
      </dgm:prSet>
      <dgm:spPr/>
    </dgm:pt>
    <dgm:pt modelId="{3BF7A8F8-7C33-4AC4-B326-6DA7E6137856}" type="pres">
      <dgm:prSet presAssocID="{D462D103-9F77-4ED5-9327-E497EB497502}" presName="connSite1" presStyleCnt="0"/>
      <dgm:spPr/>
    </dgm:pt>
    <dgm:pt modelId="{F4FD4408-FF1B-4363-A92A-BBF536EF1FCF}" type="pres">
      <dgm:prSet presAssocID="{720C0FC9-AA72-489D-A5B0-A6DED5CD9AD6}" presName="Name9" presStyleLbl="sibTrans2D1" presStyleIdx="0" presStyleCnt="2"/>
      <dgm:spPr/>
    </dgm:pt>
    <dgm:pt modelId="{B5EE48A9-1173-446F-B0A5-B56311BC6D19}" type="pres">
      <dgm:prSet presAssocID="{83CAA40B-6480-4B0F-9102-C278EF9BFF98}" presName="composite2" presStyleCnt="0"/>
      <dgm:spPr/>
    </dgm:pt>
    <dgm:pt modelId="{33B9ECCA-3376-40DE-A63F-F96791A8119B}" type="pres">
      <dgm:prSet presAssocID="{83CAA40B-6480-4B0F-9102-C278EF9BFF98}" presName="dummyNode2" presStyleLbl="node1" presStyleIdx="0" presStyleCnt="3"/>
      <dgm:spPr/>
    </dgm:pt>
    <dgm:pt modelId="{F6DB4B0C-3A3F-4239-9AD6-C7E432DBDFE7}" type="pres">
      <dgm:prSet presAssocID="{83CAA40B-6480-4B0F-9102-C278EF9BFF98}" presName="childNode2" presStyleLbl="bgAcc1" presStyleIdx="1" presStyleCnt="3">
        <dgm:presLayoutVars>
          <dgm:bulletEnabled val="1"/>
        </dgm:presLayoutVars>
      </dgm:prSet>
      <dgm:spPr/>
    </dgm:pt>
    <dgm:pt modelId="{4C9ABF1A-3A92-49A2-9932-ABDBFC0169D1}" type="pres">
      <dgm:prSet presAssocID="{83CAA40B-6480-4B0F-9102-C278EF9BFF98}" presName="childNode2tx" presStyleLbl="bgAcc1" presStyleIdx="1" presStyleCnt="3">
        <dgm:presLayoutVars>
          <dgm:bulletEnabled val="1"/>
        </dgm:presLayoutVars>
      </dgm:prSet>
      <dgm:spPr/>
    </dgm:pt>
    <dgm:pt modelId="{A1DC4455-7DA3-4852-AD62-449DFC39BDB9}" type="pres">
      <dgm:prSet presAssocID="{83CAA40B-6480-4B0F-9102-C278EF9BFF98}" presName="parentNode2" presStyleLbl="node1" presStyleIdx="1" presStyleCnt="3">
        <dgm:presLayoutVars>
          <dgm:chMax val="0"/>
          <dgm:bulletEnabled val="1"/>
        </dgm:presLayoutVars>
      </dgm:prSet>
      <dgm:spPr/>
    </dgm:pt>
    <dgm:pt modelId="{9CACC773-90E6-446D-B9BE-0501B6765EC1}" type="pres">
      <dgm:prSet presAssocID="{83CAA40B-6480-4B0F-9102-C278EF9BFF98}" presName="connSite2" presStyleCnt="0"/>
      <dgm:spPr/>
    </dgm:pt>
    <dgm:pt modelId="{F4DEFEFF-1845-4DF0-847C-5F825D21627D}" type="pres">
      <dgm:prSet presAssocID="{5868236B-A9F9-4A30-B12B-74C51F128151}" presName="Name18" presStyleLbl="sibTrans2D1" presStyleIdx="1" presStyleCnt="2"/>
      <dgm:spPr/>
    </dgm:pt>
    <dgm:pt modelId="{031DF98F-B33B-4EF3-B02B-50358A8FFEDF}" type="pres">
      <dgm:prSet presAssocID="{345034F1-6716-44A3-958D-911C799984B6}" presName="composite1" presStyleCnt="0"/>
      <dgm:spPr/>
    </dgm:pt>
    <dgm:pt modelId="{415B1ED7-7CE7-4660-952C-50D1A726A2D0}" type="pres">
      <dgm:prSet presAssocID="{345034F1-6716-44A3-958D-911C799984B6}" presName="dummyNode1" presStyleLbl="node1" presStyleIdx="1" presStyleCnt="3"/>
      <dgm:spPr/>
    </dgm:pt>
    <dgm:pt modelId="{27FEE731-B578-43E3-9BC8-C2016921BA6A}" type="pres">
      <dgm:prSet presAssocID="{345034F1-6716-44A3-958D-911C799984B6}" presName="childNode1" presStyleLbl="bgAcc1" presStyleIdx="2" presStyleCnt="3">
        <dgm:presLayoutVars>
          <dgm:bulletEnabled val="1"/>
        </dgm:presLayoutVars>
      </dgm:prSet>
      <dgm:spPr/>
    </dgm:pt>
    <dgm:pt modelId="{1F9FD495-C55D-4848-B348-E6BF14DB431C}" type="pres">
      <dgm:prSet presAssocID="{345034F1-6716-44A3-958D-911C799984B6}" presName="childNode1tx" presStyleLbl="bgAcc1" presStyleIdx="2" presStyleCnt="3">
        <dgm:presLayoutVars>
          <dgm:bulletEnabled val="1"/>
        </dgm:presLayoutVars>
      </dgm:prSet>
      <dgm:spPr/>
    </dgm:pt>
    <dgm:pt modelId="{9B4CF184-7F24-43F9-90B0-3B5BD5B21C9A}" type="pres">
      <dgm:prSet presAssocID="{345034F1-6716-44A3-958D-911C799984B6}" presName="parentNode1" presStyleLbl="node1" presStyleIdx="2" presStyleCnt="3">
        <dgm:presLayoutVars>
          <dgm:chMax val="1"/>
          <dgm:bulletEnabled val="1"/>
        </dgm:presLayoutVars>
      </dgm:prSet>
      <dgm:spPr/>
    </dgm:pt>
    <dgm:pt modelId="{EB649B38-56C9-4F33-9555-7919DECC11B2}" type="pres">
      <dgm:prSet presAssocID="{345034F1-6716-44A3-958D-911C799984B6}" presName="connSite1" presStyleCnt="0"/>
      <dgm:spPr/>
    </dgm:pt>
  </dgm:ptLst>
  <dgm:cxnLst>
    <dgm:cxn modelId="{10840B03-4802-40F0-8952-7B90FB962FEF}" type="presOf" srcId="{D462D103-9F77-4ED5-9327-E497EB497502}" destId="{B3379E86-ABC0-40DD-A17A-54CF72DC0AA8}" srcOrd="0" destOrd="0" presId="urn:microsoft.com/office/officeart/2005/8/layout/hProcess4"/>
    <dgm:cxn modelId="{9E345609-8E86-4780-818E-65D3898C4ADC}" type="presOf" srcId="{24DCA42C-4D06-4622-A368-97F78F88BF27}" destId="{96AD4FCA-BCFC-4D0C-8291-4FC3A115933B}" srcOrd="0" destOrd="2" presId="urn:microsoft.com/office/officeart/2005/8/layout/hProcess4"/>
    <dgm:cxn modelId="{395FDA0A-4672-49B4-8F7B-29F2917A75EA}" type="presOf" srcId="{5868236B-A9F9-4A30-B12B-74C51F128151}" destId="{F4DEFEFF-1845-4DF0-847C-5F825D21627D}" srcOrd="0" destOrd="0" presId="urn:microsoft.com/office/officeart/2005/8/layout/hProcess4"/>
    <dgm:cxn modelId="{33DF5A10-B162-4A6F-BDF1-C847DC25E704}" srcId="{C4914B1E-8A99-48B0-AB9B-97035DB04957}" destId="{D462D103-9F77-4ED5-9327-E497EB497502}" srcOrd="0" destOrd="0" parTransId="{61125E63-589C-4A3B-AABA-D3FD0A4D1820}" sibTransId="{720C0FC9-AA72-489D-A5B0-A6DED5CD9AD6}"/>
    <dgm:cxn modelId="{D30C2917-D8E8-481B-8D75-66BD72E7D730}" type="presOf" srcId="{9451B81E-D45A-462D-B9CE-F69E7E953500}" destId="{94056A32-1DA4-4A25-B906-A2DA4D50DBCC}" srcOrd="1" destOrd="3" presId="urn:microsoft.com/office/officeart/2005/8/layout/hProcess4"/>
    <dgm:cxn modelId="{54F4F118-044F-4DC8-AFF7-6463D544B45C}" type="presOf" srcId="{345034F1-6716-44A3-958D-911C799984B6}" destId="{9B4CF184-7F24-43F9-90B0-3B5BD5B21C9A}" srcOrd="0" destOrd="0" presId="urn:microsoft.com/office/officeart/2005/8/layout/hProcess4"/>
    <dgm:cxn modelId="{F1FACF1C-2421-41B2-864F-76C426DC6423}" type="presOf" srcId="{851AE870-031C-4E67-BACF-4F6E5455AD08}" destId="{94056A32-1DA4-4A25-B906-A2DA4D50DBCC}" srcOrd="1" destOrd="0" presId="urn:microsoft.com/office/officeart/2005/8/layout/hProcess4"/>
    <dgm:cxn modelId="{B2B05F21-CFC3-4773-9B48-8E9AA9016D43}" type="presOf" srcId="{5485F0BB-5B95-4810-A369-2A1347550E35}" destId="{4C9ABF1A-3A92-49A2-9932-ABDBFC0169D1}" srcOrd="1" destOrd="0" presId="urn:microsoft.com/office/officeart/2005/8/layout/hProcess4"/>
    <dgm:cxn modelId="{AC159026-999B-401A-97E6-78423BD21A10}" srcId="{345034F1-6716-44A3-958D-911C799984B6}" destId="{50444B46-D902-4381-8631-2BCD710872B9}" srcOrd="5" destOrd="0" parTransId="{2B39C297-7991-4085-8886-015B24755898}" sibTransId="{FCD5FEA9-C7FD-464F-91B3-5375C4E09429}"/>
    <dgm:cxn modelId="{029BE026-DB17-4871-875C-F61585C245EB}" srcId="{D462D103-9F77-4ED5-9327-E497EB497502}" destId="{24DCA42C-4D06-4622-A368-97F78F88BF27}" srcOrd="2" destOrd="0" parTransId="{A07E12E7-5F7D-4FD7-91CB-D654689C58BD}" sibTransId="{9DAC58CD-11FF-40EB-8BCB-F64BF8E9EB16}"/>
    <dgm:cxn modelId="{77DA322C-25BA-4EAC-8147-F7C30A3378E1}" srcId="{D462D103-9F77-4ED5-9327-E497EB497502}" destId="{851AE870-031C-4E67-BACF-4F6E5455AD08}" srcOrd="0" destOrd="0" parTransId="{764910B1-31ED-4F4B-9256-763D7B67A248}" sibTransId="{24D7F495-A993-42A2-AA39-F16B09F95B51}"/>
    <dgm:cxn modelId="{BAD20033-ABD4-439C-A0E0-5E0C82B6D7EC}" type="presOf" srcId="{50444B46-D902-4381-8631-2BCD710872B9}" destId="{1F9FD495-C55D-4848-B348-E6BF14DB431C}" srcOrd="1" destOrd="5" presId="urn:microsoft.com/office/officeart/2005/8/layout/hProcess4"/>
    <dgm:cxn modelId="{F54C9C39-D87C-4633-8499-9450B0B02119}" srcId="{345034F1-6716-44A3-958D-911C799984B6}" destId="{44A29BB9-2F35-45CA-9A3E-5BB0C1236A4F}" srcOrd="3" destOrd="0" parTransId="{40DC4F4C-4EA0-4E9A-BDD1-A581ACE2A40E}" sibTransId="{51B639C7-5EF6-40CE-B656-A277136BCE32}"/>
    <dgm:cxn modelId="{FA096E5F-812B-41A8-B869-5FCC94EDE24A}" type="presOf" srcId="{B1586B33-13B0-4ABB-9019-92CC37141A46}" destId="{27FEE731-B578-43E3-9BC8-C2016921BA6A}" srcOrd="0" destOrd="4" presId="urn:microsoft.com/office/officeart/2005/8/layout/hProcess4"/>
    <dgm:cxn modelId="{80F54465-3E74-4A5C-A0FC-A9B133ACBCAC}" type="presOf" srcId="{D9A20DDD-32AF-4CAE-9032-1A61ABC4474A}" destId="{1F9FD495-C55D-4848-B348-E6BF14DB431C}" srcOrd="1" destOrd="2" presId="urn:microsoft.com/office/officeart/2005/8/layout/hProcess4"/>
    <dgm:cxn modelId="{A5707565-7C6A-4725-8E6E-1006FBFACC98}" srcId="{345034F1-6716-44A3-958D-911C799984B6}" destId="{5147D546-4CBE-41BE-841F-A8B4C75A932B}" srcOrd="0" destOrd="0" parTransId="{0EFB1A6C-4F17-493E-8649-DA519D2C1E6C}" sibTransId="{6E588AA6-A720-4F2C-A192-EF276104E11F}"/>
    <dgm:cxn modelId="{12335766-8854-48E3-87B8-F1834ECA850D}" srcId="{D462D103-9F77-4ED5-9327-E497EB497502}" destId="{1962AAA2-9E31-40A6-87AA-B51F90F1A13F}" srcOrd="1" destOrd="0" parTransId="{1369F11E-708D-4628-9657-416624364897}" sibTransId="{E1F78180-6C58-49FA-99EE-A9F2304EE372}"/>
    <dgm:cxn modelId="{F3847867-2720-4977-B7EC-63359D5E4813}" type="presOf" srcId="{B1586B33-13B0-4ABB-9019-92CC37141A46}" destId="{1F9FD495-C55D-4848-B348-E6BF14DB431C}" srcOrd="1" destOrd="4" presId="urn:microsoft.com/office/officeart/2005/8/layout/hProcess4"/>
    <dgm:cxn modelId="{9AD88568-B79B-455E-9017-07D8B3EAE725}" srcId="{D462D103-9F77-4ED5-9327-E497EB497502}" destId="{9451B81E-D45A-462D-B9CE-F69E7E953500}" srcOrd="3" destOrd="0" parTransId="{E81E8AC4-3AFA-412F-B065-DFAD87D3A367}" sibTransId="{530095A9-73CB-4BD8-8004-3B92E3002F33}"/>
    <dgm:cxn modelId="{8FDF4749-7304-4616-A047-13706D1A4041}" type="presOf" srcId="{7A7FD30B-979A-4714-9072-27FE23C4C8A4}" destId="{27FEE731-B578-43E3-9BC8-C2016921BA6A}" srcOrd="0" destOrd="1" presId="urn:microsoft.com/office/officeart/2005/8/layout/hProcess4"/>
    <dgm:cxn modelId="{EBDE086B-BF63-41E8-B0E7-E7826C294F23}" srcId="{345034F1-6716-44A3-958D-911C799984B6}" destId="{B1586B33-13B0-4ABB-9019-92CC37141A46}" srcOrd="4" destOrd="0" parTransId="{77A71EFE-CF09-4196-9882-BCB387F87963}" sibTransId="{538A46A3-0068-44A8-BB07-F62B0BDD952C}"/>
    <dgm:cxn modelId="{9995164B-2AA6-4DC9-8DCC-0863DE7B056C}" type="presOf" srcId="{1962AAA2-9E31-40A6-87AA-B51F90F1A13F}" destId="{94056A32-1DA4-4A25-B906-A2DA4D50DBCC}" srcOrd="1" destOrd="1" presId="urn:microsoft.com/office/officeart/2005/8/layout/hProcess4"/>
    <dgm:cxn modelId="{7FC6424B-4A87-4356-A93C-091CF0E594D2}" type="presOf" srcId="{83CAA40B-6480-4B0F-9102-C278EF9BFF98}" destId="{A1DC4455-7DA3-4852-AD62-449DFC39BDB9}" srcOrd="0" destOrd="0" presId="urn:microsoft.com/office/officeart/2005/8/layout/hProcess4"/>
    <dgm:cxn modelId="{BF6F5D6C-AD59-4A58-B391-4E72E1C5A34B}" srcId="{C4914B1E-8A99-48B0-AB9B-97035DB04957}" destId="{345034F1-6716-44A3-958D-911C799984B6}" srcOrd="2" destOrd="0" parTransId="{3A2E192A-BC87-4E1E-A3F2-2142B8E2527A}" sibTransId="{42489160-EE39-4DA7-ABCF-9FBFC2DF9A95}"/>
    <dgm:cxn modelId="{55776375-F627-4C47-861D-577E99646BED}" type="presOf" srcId="{C4914B1E-8A99-48B0-AB9B-97035DB04957}" destId="{A8E1949D-2F97-464E-992D-C8D0AB89DD51}" srcOrd="0" destOrd="0" presId="urn:microsoft.com/office/officeart/2005/8/layout/hProcess4"/>
    <dgm:cxn modelId="{1B439D7C-411C-4243-BF16-0C41FE1F793B}" type="presOf" srcId="{24DCA42C-4D06-4622-A368-97F78F88BF27}" destId="{94056A32-1DA4-4A25-B906-A2DA4D50DBCC}" srcOrd="1" destOrd="2" presId="urn:microsoft.com/office/officeart/2005/8/layout/hProcess4"/>
    <dgm:cxn modelId="{A58B378A-9255-4309-9C79-EBB6D14A1BEF}" srcId="{83CAA40B-6480-4B0F-9102-C278EF9BFF98}" destId="{5485F0BB-5B95-4810-A369-2A1347550E35}" srcOrd="0" destOrd="0" parTransId="{1A1C766D-5F23-44D2-9B8B-A92E2E7C53AC}" sibTransId="{2DC58432-E26E-4471-9916-5D0973480B7A}"/>
    <dgm:cxn modelId="{74D9E98F-3124-4726-9EDE-26E974BD25A1}" type="presOf" srcId="{1962AAA2-9E31-40A6-87AA-B51F90F1A13F}" destId="{96AD4FCA-BCFC-4D0C-8291-4FC3A115933B}" srcOrd="0" destOrd="1" presId="urn:microsoft.com/office/officeart/2005/8/layout/hProcess4"/>
    <dgm:cxn modelId="{E4D6DA96-C5E1-48EE-90C5-502604F829C4}" srcId="{D462D103-9F77-4ED5-9327-E497EB497502}" destId="{C80D3ACA-2A9E-4067-85AF-805C27B2D964}" srcOrd="4" destOrd="0" parTransId="{F1CF7081-7069-4CBF-8D5B-57853C98E4F0}" sibTransId="{3DBC93D2-1312-4A8C-A47F-0BD5287DCC5E}"/>
    <dgm:cxn modelId="{67A3F79A-E537-482C-87F8-398AADC672CC}" type="presOf" srcId="{C80D3ACA-2A9E-4067-85AF-805C27B2D964}" destId="{96AD4FCA-BCFC-4D0C-8291-4FC3A115933B}" srcOrd="0" destOrd="4" presId="urn:microsoft.com/office/officeart/2005/8/layout/hProcess4"/>
    <dgm:cxn modelId="{C32CE19B-20CE-4876-B8DC-BF0510014410}" type="presOf" srcId="{5147D546-4CBE-41BE-841F-A8B4C75A932B}" destId="{1F9FD495-C55D-4848-B348-E6BF14DB431C}" srcOrd="1" destOrd="0" presId="urn:microsoft.com/office/officeart/2005/8/layout/hProcess4"/>
    <dgm:cxn modelId="{992F0C9C-71C4-4477-BB33-CDA48CFE042F}" type="presOf" srcId="{44A29BB9-2F35-45CA-9A3E-5BB0C1236A4F}" destId="{1F9FD495-C55D-4848-B348-E6BF14DB431C}" srcOrd="1" destOrd="3" presId="urn:microsoft.com/office/officeart/2005/8/layout/hProcess4"/>
    <dgm:cxn modelId="{881E8CA0-8F8E-4495-995B-2AA2BBC9461A}" type="presOf" srcId="{5147D546-4CBE-41BE-841F-A8B4C75A932B}" destId="{27FEE731-B578-43E3-9BC8-C2016921BA6A}" srcOrd="0" destOrd="0" presId="urn:microsoft.com/office/officeart/2005/8/layout/hProcess4"/>
    <dgm:cxn modelId="{F1FE3CA2-7D62-4910-9A44-F2028CA52EA9}" type="presOf" srcId="{50444B46-D902-4381-8631-2BCD710872B9}" destId="{27FEE731-B578-43E3-9BC8-C2016921BA6A}" srcOrd="0" destOrd="5" presId="urn:microsoft.com/office/officeart/2005/8/layout/hProcess4"/>
    <dgm:cxn modelId="{20F06CA8-47CE-4641-B707-10D08FDB3993}" type="presOf" srcId="{C045108A-175E-40E4-83A7-B4F6495683FE}" destId="{96AD4FCA-BCFC-4D0C-8291-4FC3A115933B}" srcOrd="0" destOrd="5" presId="urn:microsoft.com/office/officeart/2005/8/layout/hProcess4"/>
    <dgm:cxn modelId="{D0657DAC-DC0A-44E0-81A7-A133551DA5B6}" type="presOf" srcId="{44A29BB9-2F35-45CA-9A3E-5BB0C1236A4F}" destId="{27FEE731-B578-43E3-9BC8-C2016921BA6A}" srcOrd="0" destOrd="3" presId="urn:microsoft.com/office/officeart/2005/8/layout/hProcess4"/>
    <dgm:cxn modelId="{3C33F2B3-2DF0-4417-8D0A-67DDDB36DFA1}" srcId="{345034F1-6716-44A3-958D-911C799984B6}" destId="{7A7FD30B-979A-4714-9072-27FE23C4C8A4}" srcOrd="1" destOrd="0" parTransId="{C846EB8D-A808-4900-84B6-C94A3955B711}" sibTransId="{0F691870-F59B-4724-838C-0CF624FD8D73}"/>
    <dgm:cxn modelId="{24F90ABA-25C3-42E8-8B2B-0C5AE3178774}" type="presOf" srcId="{7A7FD30B-979A-4714-9072-27FE23C4C8A4}" destId="{1F9FD495-C55D-4848-B348-E6BF14DB431C}" srcOrd="1" destOrd="1" presId="urn:microsoft.com/office/officeart/2005/8/layout/hProcess4"/>
    <dgm:cxn modelId="{DB7BB9BE-F958-472D-A676-C36797CD8757}" type="presOf" srcId="{851AE870-031C-4E67-BACF-4F6E5455AD08}" destId="{96AD4FCA-BCFC-4D0C-8291-4FC3A115933B}" srcOrd="0" destOrd="0" presId="urn:microsoft.com/office/officeart/2005/8/layout/hProcess4"/>
    <dgm:cxn modelId="{3874EABE-A126-4D07-A319-7DD5A28529D4}" type="presOf" srcId="{C045108A-175E-40E4-83A7-B4F6495683FE}" destId="{94056A32-1DA4-4A25-B906-A2DA4D50DBCC}" srcOrd="1" destOrd="5" presId="urn:microsoft.com/office/officeart/2005/8/layout/hProcess4"/>
    <dgm:cxn modelId="{7E1F2BBF-C707-418C-BE6E-2B2C1918D31C}" srcId="{345034F1-6716-44A3-958D-911C799984B6}" destId="{D9A20DDD-32AF-4CAE-9032-1A61ABC4474A}" srcOrd="2" destOrd="0" parTransId="{06E121F1-AE11-4A00-B434-1CD480745FB6}" sibTransId="{6D8F5B2D-7831-4D77-BE62-414D864F61BC}"/>
    <dgm:cxn modelId="{52294EBF-D91A-4495-8D6F-0AA5616DDE43}" srcId="{D462D103-9F77-4ED5-9327-E497EB497502}" destId="{C045108A-175E-40E4-83A7-B4F6495683FE}" srcOrd="5" destOrd="0" parTransId="{3D9B194B-31D3-4746-A03A-CF4FB10B2CA6}" sibTransId="{621858C4-4D64-4755-BE6D-90EE710CEB59}"/>
    <dgm:cxn modelId="{7CF8CCCB-42F9-432E-95EC-86E625C7EFB2}" type="presOf" srcId="{9451B81E-D45A-462D-B9CE-F69E7E953500}" destId="{96AD4FCA-BCFC-4D0C-8291-4FC3A115933B}" srcOrd="0" destOrd="3" presId="urn:microsoft.com/office/officeart/2005/8/layout/hProcess4"/>
    <dgm:cxn modelId="{E8A159CC-66DC-4A70-BAF2-A048DE26601C}" type="presOf" srcId="{C80D3ACA-2A9E-4067-85AF-805C27B2D964}" destId="{94056A32-1DA4-4A25-B906-A2DA4D50DBCC}" srcOrd="1" destOrd="4" presId="urn:microsoft.com/office/officeart/2005/8/layout/hProcess4"/>
    <dgm:cxn modelId="{2C870AE2-8727-4383-A81F-35030817A720}" type="presOf" srcId="{720C0FC9-AA72-489D-A5B0-A6DED5CD9AD6}" destId="{F4FD4408-FF1B-4363-A92A-BBF536EF1FCF}" srcOrd="0" destOrd="0" presId="urn:microsoft.com/office/officeart/2005/8/layout/hProcess4"/>
    <dgm:cxn modelId="{8D8436E8-AE80-4433-A4BA-D2489C790C54}" type="presOf" srcId="{5485F0BB-5B95-4810-A369-2A1347550E35}" destId="{F6DB4B0C-3A3F-4239-9AD6-C7E432DBDFE7}" srcOrd="0" destOrd="0" presId="urn:microsoft.com/office/officeart/2005/8/layout/hProcess4"/>
    <dgm:cxn modelId="{B3E579E9-859E-47E4-9D66-A6D81210ADDE}" srcId="{C4914B1E-8A99-48B0-AB9B-97035DB04957}" destId="{83CAA40B-6480-4B0F-9102-C278EF9BFF98}" srcOrd="1" destOrd="0" parTransId="{38488E54-9480-4B79-A2F6-7987720C0837}" sibTransId="{5868236B-A9F9-4A30-B12B-74C51F128151}"/>
    <dgm:cxn modelId="{E27A0BF4-F2EA-4E25-8D4A-8E210CECBC8A}" type="presOf" srcId="{D9A20DDD-32AF-4CAE-9032-1A61ABC4474A}" destId="{27FEE731-B578-43E3-9BC8-C2016921BA6A}" srcOrd="0" destOrd="2" presId="urn:microsoft.com/office/officeart/2005/8/layout/hProcess4"/>
    <dgm:cxn modelId="{0A9D484D-EC7E-45EC-B860-FC2D6AAE7C41}" type="presParOf" srcId="{A8E1949D-2F97-464E-992D-C8D0AB89DD51}" destId="{A56B480A-1340-4399-A370-ADA1BEFB3BBB}" srcOrd="0" destOrd="0" presId="urn:microsoft.com/office/officeart/2005/8/layout/hProcess4"/>
    <dgm:cxn modelId="{B38B6555-CB14-4B51-81BD-B16F2A9F8920}" type="presParOf" srcId="{A8E1949D-2F97-464E-992D-C8D0AB89DD51}" destId="{D32827AB-DA5A-4564-8A55-AA4C7C1092B5}" srcOrd="1" destOrd="0" presId="urn:microsoft.com/office/officeart/2005/8/layout/hProcess4"/>
    <dgm:cxn modelId="{7A11BDE3-D6FA-4638-AB63-9BCF5FE4314B}" type="presParOf" srcId="{A8E1949D-2F97-464E-992D-C8D0AB89DD51}" destId="{F24A1EB8-3ECD-4E35-95F6-670378290273}" srcOrd="2" destOrd="0" presId="urn:microsoft.com/office/officeart/2005/8/layout/hProcess4"/>
    <dgm:cxn modelId="{DBE06186-137A-47F3-BE4E-C517E3010A91}" type="presParOf" srcId="{F24A1EB8-3ECD-4E35-95F6-670378290273}" destId="{3393C57A-6B13-4B64-9150-30FC0518584B}" srcOrd="0" destOrd="0" presId="urn:microsoft.com/office/officeart/2005/8/layout/hProcess4"/>
    <dgm:cxn modelId="{4585B3A1-CA2F-406E-B0AD-3FCA85598E7B}" type="presParOf" srcId="{3393C57A-6B13-4B64-9150-30FC0518584B}" destId="{F9EDA140-13C8-45E0-8995-D0A7F833BB1B}" srcOrd="0" destOrd="0" presId="urn:microsoft.com/office/officeart/2005/8/layout/hProcess4"/>
    <dgm:cxn modelId="{3678C3F7-3BA1-43CC-A24B-DDE33EC0C03C}" type="presParOf" srcId="{3393C57A-6B13-4B64-9150-30FC0518584B}" destId="{96AD4FCA-BCFC-4D0C-8291-4FC3A115933B}" srcOrd="1" destOrd="0" presId="urn:microsoft.com/office/officeart/2005/8/layout/hProcess4"/>
    <dgm:cxn modelId="{57876646-3DC6-4166-BEF8-1F89A1DB3E53}" type="presParOf" srcId="{3393C57A-6B13-4B64-9150-30FC0518584B}" destId="{94056A32-1DA4-4A25-B906-A2DA4D50DBCC}" srcOrd="2" destOrd="0" presId="urn:microsoft.com/office/officeart/2005/8/layout/hProcess4"/>
    <dgm:cxn modelId="{FB8BB119-83CF-4551-9FC6-0CACA0F25D05}" type="presParOf" srcId="{3393C57A-6B13-4B64-9150-30FC0518584B}" destId="{B3379E86-ABC0-40DD-A17A-54CF72DC0AA8}" srcOrd="3" destOrd="0" presId="urn:microsoft.com/office/officeart/2005/8/layout/hProcess4"/>
    <dgm:cxn modelId="{84E5C012-C163-4A86-8628-26E9F0A26408}" type="presParOf" srcId="{3393C57A-6B13-4B64-9150-30FC0518584B}" destId="{3BF7A8F8-7C33-4AC4-B326-6DA7E6137856}" srcOrd="4" destOrd="0" presId="urn:microsoft.com/office/officeart/2005/8/layout/hProcess4"/>
    <dgm:cxn modelId="{A292FA08-1406-4822-9FF1-F85B222DB370}" type="presParOf" srcId="{F24A1EB8-3ECD-4E35-95F6-670378290273}" destId="{F4FD4408-FF1B-4363-A92A-BBF536EF1FCF}" srcOrd="1" destOrd="0" presId="urn:microsoft.com/office/officeart/2005/8/layout/hProcess4"/>
    <dgm:cxn modelId="{E644D4AD-929B-4C3E-8E49-D5850191A28E}" type="presParOf" srcId="{F24A1EB8-3ECD-4E35-95F6-670378290273}" destId="{B5EE48A9-1173-446F-B0A5-B56311BC6D19}" srcOrd="2" destOrd="0" presId="urn:microsoft.com/office/officeart/2005/8/layout/hProcess4"/>
    <dgm:cxn modelId="{AE1E7479-AB8F-4205-85FE-1857E4E7F283}" type="presParOf" srcId="{B5EE48A9-1173-446F-B0A5-B56311BC6D19}" destId="{33B9ECCA-3376-40DE-A63F-F96791A8119B}" srcOrd="0" destOrd="0" presId="urn:microsoft.com/office/officeart/2005/8/layout/hProcess4"/>
    <dgm:cxn modelId="{932CCD0A-F761-4868-AF4A-1589FBDCBDB0}" type="presParOf" srcId="{B5EE48A9-1173-446F-B0A5-B56311BC6D19}" destId="{F6DB4B0C-3A3F-4239-9AD6-C7E432DBDFE7}" srcOrd="1" destOrd="0" presId="urn:microsoft.com/office/officeart/2005/8/layout/hProcess4"/>
    <dgm:cxn modelId="{20B755C0-C775-474E-B107-1297EDBB52E7}" type="presParOf" srcId="{B5EE48A9-1173-446F-B0A5-B56311BC6D19}" destId="{4C9ABF1A-3A92-49A2-9932-ABDBFC0169D1}" srcOrd="2" destOrd="0" presId="urn:microsoft.com/office/officeart/2005/8/layout/hProcess4"/>
    <dgm:cxn modelId="{C09602FC-F4DE-4230-A33D-01E45D8B5004}" type="presParOf" srcId="{B5EE48A9-1173-446F-B0A5-B56311BC6D19}" destId="{A1DC4455-7DA3-4852-AD62-449DFC39BDB9}" srcOrd="3" destOrd="0" presId="urn:microsoft.com/office/officeart/2005/8/layout/hProcess4"/>
    <dgm:cxn modelId="{DF0C6D2C-3F8C-4E28-A1D1-C90A04868751}" type="presParOf" srcId="{B5EE48A9-1173-446F-B0A5-B56311BC6D19}" destId="{9CACC773-90E6-446D-B9BE-0501B6765EC1}" srcOrd="4" destOrd="0" presId="urn:microsoft.com/office/officeart/2005/8/layout/hProcess4"/>
    <dgm:cxn modelId="{94B97D86-127A-43E6-A8E5-78A711E92A89}" type="presParOf" srcId="{F24A1EB8-3ECD-4E35-95F6-670378290273}" destId="{F4DEFEFF-1845-4DF0-847C-5F825D21627D}" srcOrd="3" destOrd="0" presId="urn:microsoft.com/office/officeart/2005/8/layout/hProcess4"/>
    <dgm:cxn modelId="{51F793FA-BC16-4677-B56D-D00A45C1D468}" type="presParOf" srcId="{F24A1EB8-3ECD-4E35-95F6-670378290273}" destId="{031DF98F-B33B-4EF3-B02B-50358A8FFEDF}" srcOrd="4" destOrd="0" presId="urn:microsoft.com/office/officeart/2005/8/layout/hProcess4"/>
    <dgm:cxn modelId="{58BDED43-581F-46E8-B716-0B54A4D71250}" type="presParOf" srcId="{031DF98F-B33B-4EF3-B02B-50358A8FFEDF}" destId="{415B1ED7-7CE7-4660-952C-50D1A726A2D0}" srcOrd="0" destOrd="0" presId="urn:microsoft.com/office/officeart/2005/8/layout/hProcess4"/>
    <dgm:cxn modelId="{F4645B4C-6EB1-4EB0-9D45-D6B677945D0B}" type="presParOf" srcId="{031DF98F-B33B-4EF3-B02B-50358A8FFEDF}" destId="{27FEE731-B578-43E3-9BC8-C2016921BA6A}" srcOrd="1" destOrd="0" presId="urn:microsoft.com/office/officeart/2005/8/layout/hProcess4"/>
    <dgm:cxn modelId="{B599EBE3-6A65-460A-9F34-E4AB858437FF}" type="presParOf" srcId="{031DF98F-B33B-4EF3-B02B-50358A8FFEDF}" destId="{1F9FD495-C55D-4848-B348-E6BF14DB431C}" srcOrd="2" destOrd="0" presId="urn:microsoft.com/office/officeart/2005/8/layout/hProcess4"/>
    <dgm:cxn modelId="{C577EB00-2F28-413C-9BE4-41E1DC444596}" type="presParOf" srcId="{031DF98F-B33B-4EF3-B02B-50358A8FFEDF}" destId="{9B4CF184-7F24-43F9-90B0-3B5BD5B21C9A}" srcOrd="3" destOrd="0" presId="urn:microsoft.com/office/officeart/2005/8/layout/hProcess4"/>
    <dgm:cxn modelId="{6AE03C84-26F7-47C2-A714-A8D56C029EF3}" type="presParOf" srcId="{031DF98F-B33B-4EF3-B02B-50358A8FFEDF}" destId="{EB649B38-56C9-4F33-9555-7919DECC11B2}" srcOrd="4" destOrd="0" presId="urn:microsoft.com/office/officeart/2005/8/layout/hProcess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AD4FCA-BCFC-4D0C-8291-4FC3A115933B}">
      <dsp:nvSpPr>
        <dsp:cNvPr id="0" name=""/>
        <dsp:cNvSpPr/>
      </dsp:nvSpPr>
      <dsp:spPr>
        <a:xfrm>
          <a:off x="98" y="1225296"/>
          <a:ext cx="1565034" cy="1290826"/>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endParaRPr lang="en-US" sz="900" kern="1200" dirty="0">
            <a:solidFill>
              <a:sysClr val="windowText" lastClr="000000">
                <a:hueOff val="0"/>
                <a:satOff val="0"/>
                <a:lumOff val="0"/>
                <a:alphaOff val="0"/>
              </a:sysClr>
            </a:solidFill>
            <a:latin typeface="Calibri" panose="020F0502020204030204"/>
            <a:ea typeface="+mn-ea"/>
            <a:cs typeface="+mn-cs"/>
          </a:endParaRPr>
        </a:p>
        <a:p>
          <a:pPr marL="57150" lvl="1" indent="-57150" algn="l" defTabSz="400050">
            <a:lnSpc>
              <a:spcPct val="90000"/>
            </a:lnSpc>
            <a:spcBef>
              <a:spcPct val="0"/>
            </a:spcBef>
            <a:spcAft>
              <a:spcPct val="15000"/>
            </a:spcAft>
            <a:buChar char="•"/>
          </a:pPr>
          <a:r>
            <a:rPr lang="es-CL" sz="900" kern="1200" dirty="0">
              <a:solidFill>
                <a:sysClr val="windowText" lastClr="000000">
                  <a:hueOff val="0"/>
                  <a:satOff val="0"/>
                  <a:lumOff val="0"/>
                  <a:alphaOff val="0"/>
                </a:sysClr>
              </a:solidFill>
              <a:latin typeface="Calibri" panose="020F0502020204030204"/>
              <a:ea typeface="+mn-ea"/>
              <a:cs typeface="+mn-cs"/>
            </a:rPr>
            <a:t>GCI Técnico:</a:t>
          </a:r>
          <a:endParaRPr lang="en-US" sz="900" kern="1200" dirty="0">
            <a:solidFill>
              <a:sysClr val="windowText" lastClr="000000">
                <a:hueOff val="0"/>
                <a:satOff val="0"/>
                <a:lumOff val="0"/>
                <a:alphaOff val="0"/>
              </a:sysClr>
            </a:solidFill>
            <a:latin typeface="Calibri" panose="020F0502020204030204"/>
            <a:ea typeface="+mn-ea"/>
            <a:cs typeface="+mn-cs"/>
          </a:endParaRPr>
        </a:p>
        <a:p>
          <a:pPr marL="57150" lvl="1" indent="-57150" algn="l" defTabSz="400050">
            <a:lnSpc>
              <a:spcPct val="90000"/>
            </a:lnSpc>
            <a:spcBef>
              <a:spcPct val="0"/>
            </a:spcBef>
            <a:spcAft>
              <a:spcPct val="15000"/>
            </a:spcAft>
            <a:buChar char="•"/>
          </a:pPr>
          <a:r>
            <a:rPr lang="es-CL" sz="900" kern="1200" dirty="0">
              <a:solidFill>
                <a:sysClr val="windowText" lastClr="000000">
                  <a:hueOff val="0"/>
                  <a:satOff val="0"/>
                  <a:lumOff val="0"/>
                  <a:alphaOff val="0"/>
                </a:sysClr>
              </a:solidFill>
              <a:latin typeface="Calibri" panose="020F0502020204030204"/>
              <a:ea typeface="+mn-ea"/>
              <a:cs typeface="+mn-cs"/>
            </a:rPr>
            <a:t>INAB</a:t>
          </a:r>
          <a:endParaRPr lang="en-US" sz="900" kern="1200" dirty="0">
            <a:solidFill>
              <a:sysClr val="windowText" lastClr="000000">
                <a:hueOff val="0"/>
                <a:satOff val="0"/>
                <a:lumOff val="0"/>
                <a:alphaOff val="0"/>
              </a:sysClr>
            </a:solidFill>
            <a:latin typeface="Calibri" panose="020F0502020204030204"/>
            <a:ea typeface="+mn-ea"/>
            <a:cs typeface="+mn-cs"/>
          </a:endParaRPr>
        </a:p>
        <a:p>
          <a:pPr marL="57150" lvl="1" indent="-57150" algn="l" defTabSz="400050">
            <a:lnSpc>
              <a:spcPct val="90000"/>
            </a:lnSpc>
            <a:spcBef>
              <a:spcPct val="0"/>
            </a:spcBef>
            <a:spcAft>
              <a:spcPct val="15000"/>
            </a:spcAft>
            <a:buChar char="•"/>
          </a:pPr>
          <a:r>
            <a:rPr lang="es-CL" sz="900" kern="1200" dirty="0">
              <a:solidFill>
                <a:sysClr val="windowText" lastClr="000000">
                  <a:hueOff val="0"/>
                  <a:satOff val="0"/>
                  <a:lumOff val="0"/>
                  <a:alphaOff val="0"/>
                </a:sysClr>
              </a:solidFill>
              <a:latin typeface="Calibri" panose="020F0502020204030204"/>
              <a:ea typeface="+mn-ea"/>
              <a:cs typeface="+mn-cs"/>
            </a:rPr>
            <a:t>MARN</a:t>
          </a:r>
          <a:endParaRPr lang="en-US" sz="900" kern="1200" dirty="0">
            <a:solidFill>
              <a:sysClr val="windowText" lastClr="000000">
                <a:hueOff val="0"/>
                <a:satOff val="0"/>
                <a:lumOff val="0"/>
                <a:alphaOff val="0"/>
              </a:sysClr>
            </a:solidFill>
            <a:latin typeface="Calibri" panose="020F0502020204030204"/>
            <a:ea typeface="+mn-ea"/>
            <a:cs typeface="+mn-cs"/>
          </a:endParaRPr>
        </a:p>
        <a:p>
          <a:pPr marL="57150" lvl="1" indent="-57150" algn="l" defTabSz="400050">
            <a:lnSpc>
              <a:spcPct val="90000"/>
            </a:lnSpc>
            <a:spcBef>
              <a:spcPct val="0"/>
            </a:spcBef>
            <a:spcAft>
              <a:spcPct val="15000"/>
            </a:spcAft>
            <a:buChar char="•"/>
          </a:pPr>
          <a:r>
            <a:rPr lang="es-CL" sz="900" kern="1200" dirty="0">
              <a:solidFill>
                <a:sysClr val="windowText" lastClr="000000">
                  <a:hueOff val="0"/>
                  <a:satOff val="0"/>
                  <a:lumOff val="0"/>
                  <a:alphaOff val="0"/>
                </a:sysClr>
              </a:solidFill>
              <a:latin typeface="Calibri" panose="020F0502020204030204"/>
              <a:ea typeface="+mn-ea"/>
              <a:cs typeface="+mn-cs"/>
            </a:rPr>
            <a:t>MAGA</a:t>
          </a:r>
          <a:endParaRPr lang="en-US" sz="900" kern="1200" dirty="0">
            <a:solidFill>
              <a:sysClr val="windowText" lastClr="000000">
                <a:hueOff val="0"/>
                <a:satOff val="0"/>
                <a:lumOff val="0"/>
                <a:alphaOff val="0"/>
              </a:sysClr>
            </a:solidFill>
            <a:latin typeface="Calibri" panose="020F0502020204030204"/>
            <a:ea typeface="+mn-ea"/>
            <a:cs typeface="+mn-cs"/>
          </a:endParaRPr>
        </a:p>
        <a:p>
          <a:pPr marL="57150" lvl="1" indent="-57150" algn="l" defTabSz="400050">
            <a:lnSpc>
              <a:spcPct val="90000"/>
            </a:lnSpc>
            <a:spcBef>
              <a:spcPct val="0"/>
            </a:spcBef>
            <a:spcAft>
              <a:spcPct val="15000"/>
            </a:spcAft>
            <a:buChar char="•"/>
          </a:pPr>
          <a:r>
            <a:rPr lang="es-CL" sz="900" kern="1200" dirty="0">
              <a:solidFill>
                <a:sysClr val="windowText" lastClr="000000">
                  <a:hueOff val="0"/>
                  <a:satOff val="0"/>
                  <a:lumOff val="0"/>
                  <a:alphaOff val="0"/>
                </a:sysClr>
              </a:solidFill>
              <a:latin typeface="Calibri" panose="020F0502020204030204"/>
              <a:ea typeface="+mn-ea"/>
              <a:cs typeface="+mn-cs"/>
            </a:rPr>
            <a:t>CONAP</a:t>
          </a:r>
          <a:endParaRPr lang="en-US" sz="900" kern="1200" dirty="0">
            <a:solidFill>
              <a:sysClr val="windowText" lastClr="000000">
                <a:hueOff val="0"/>
                <a:satOff val="0"/>
                <a:lumOff val="0"/>
                <a:alphaOff val="0"/>
              </a:sysClr>
            </a:solidFill>
            <a:latin typeface="Calibri" panose="020F0502020204030204"/>
            <a:ea typeface="+mn-ea"/>
            <a:cs typeface="+mn-cs"/>
          </a:endParaRPr>
        </a:p>
      </dsp:txBody>
      <dsp:txXfrm>
        <a:off x="29803" y="1255001"/>
        <a:ext cx="1505624" cy="954810"/>
      </dsp:txXfrm>
    </dsp:sp>
    <dsp:sp modelId="{F4FD4408-FF1B-4363-A92A-BBF536EF1FCF}">
      <dsp:nvSpPr>
        <dsp:cNvPr id="0" name=""/>
        <dsp:cNvSpPr/>
      </dsp:nvSpPr>
      <dsp:spPr>
        <a:xfrm>
          <a:off x="898263" y="1599737"/>
          <a:ext cx="1626955" cy="1626955"/>
        </a:xfrm>
        <a:prstGeom prst="leftCircularArrow">
          <a:avLst>
            <a:gd name="adj1" fmla="val 2550"/>
            <a:gd name="adj2" fmla="val 309429"/>
            <a:gd name="adj3" fmla="val 2084940"/>
            <a:gd name="adj4" fmla="val 9024489"/>
            <a:gd name="adj5" fmla="val 2975"/>
          </a:avLst>
        </a:prstGeom>
        <a:solidFill>
          <a:srgbClr val="A5A5A5">
            <a:hueOff val="0"/>
            <a:satOff val="0"/>
            <a:lumOff val="0"/>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sp>
    <dsp:sp modelId="{B3379E86-ABC0-40DD-A17A-54CF72DC0AA8}">
      <dsp:nvSpPr>
        <dsp:cNvPr id="0" name=""/>
        <dsp:cNvSpPr/>
      </dsp:nvSpPr>
      <dsp:spPr>
        <a:xfrm>
          <a:off x="347883" y="2239517"/>
          <a:ext cx="1391142" cy="553211"/>
        </a:xfrm>
        <a:prstGeom prst="roundRect">
          <a:avLst>
            <a:gd name="adj" fmla="val 10000"/>
          </a:avLst>
        </a:prstGeom>
        <a:solidFill>
          <a:srgbClr val="A5A5A5">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s-CL" sz="1100" kern="1200" dirty="0">
              <a:solidFill>
                <a:sysClr val="window" lastClr="FFFFFF"/>
              </a:solidFill>
              <a:latin typeface="Calibri" panose="020F0502020204030204"/>
              <a:ea typeface="+mn-ea"/>
              <a:cs typeface="+mn-cs"/>
            </a:rPr>
            <a:t>Captura de datos</a:t>
          </a:r>
          <a:endParaRPr lang="en-US" sz="1100" kern="1200" dirty="0">
            <a:solidFill>
              <a:sysClr val="window" lastClr="FFFFFF"/>
            </a:solidFill>
            <a:latin typeface="Calibri" panose="020F0502020204030204"/>
            <a:ea typeface="+mn-ea"/>
            <a:cs typeface="+mn-cs"/>
          </a:endParaRPr>
        </a:p>
      </dsp:txBody>
      <dsp:txXfrm>
        <a:off x="364086" y="2255720"/>
        <a:ext cx="1358736" cy="520805"/>
      </dsp:txXfrm>
    </dsp:sp>
    <dsp:sp modelId="{F6DB4B0C-3A3F-4239-9AD6-C7E432DBDFE7}">
      <dsp:nvSpPr>
        <dsp:cNvPr id="0" name=""/>
        <dsp:cNvSpPr/>
      </dsp:nvSpPr>
      <dsp:spPr>
        <a:xfrm>
          <a:off x="1936601" y="1225296"/>
          <a:ext cx="1565034" cy="1290826"/>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114300" lvl="1" indent="-114300" algn="l" defTabSz="666750">
            <a:lnSpc>
              <a:spcPct val="90000"/>
            </a:lnSpc>
            <a:spcBef>
              <a:spcPct val="0"/>
            </a:spcBef>
            <a:spcAft>
              <a:spcPct val="15000"/>
            </a:spcAft>
            <a:buChar char="•"/>
          </a:pPr>
          <a:r>
            <a:rPr lang="es-CL" sz="1500" kern="1200" dirty="0">
              <a:solidFill>
                <a:sysClr val="windowText" lastClr="000000">
                  <a:hueOff val="0"/>
                  <a:satOff val="0"/>
                  <a:lumOff val="0"/>
                  <a:alphaOff val="0"/>
                </a:sysClr>
              </a:solidFill>
              <a:latin typeface="Calibri" panose="020F0502020204030204"/>
              <a:ea typeface="+mn-ea"/>
              <a:cs typeface="+mn-cs"/>
            </a:rPr>
            <a:t>Unidad Integradora del MRV-MARN</a:t>
          </a:r>
          <a:endParaRPr lang="en-US" sz="1500" kern="1200" dirty="0">
            <a:solidFill>
              <a:sysClr val="windowText" lastClr="000000">
                <a:hueOff val="0"/>
                <a:satOff val="0"/>
                <a:lumOff val="0"/>
                <a:alphaOff val="0"/>
              </a:sysClr>
            </a:solidFill>
            <a:latin typeface="Calibri" panose="020F0502020204030204"/>
            <a:ea typeface="+mn-ea"/>
            <a:cs typeface="+mn-cs"/>
          </a:endParaRPr>
        </a:p>
      </dsp:txBody>
      <dsp:txXfrm>
        <a:off x="1966306" y="1531607"/>
        <a:ext cx="1505624" cy="954810"/>
      </dsp:txXfrm>
    </dsp:sp>
    <dsp:sp modelId="{F4DEFEFF-1845-4DF0-847C-5F825D21627D}">
      <dsp:nvSpPr>
        <dsp:cNvPr id="0" name=""/>
        <dsp:cNvSpPr/>
      </dsp:nvSpPr>
      <dsp:spPr>
        <a:xfrm>
          <a:off x="2821724" y="464114"/>
          <a:ext cx="1826932" cy="1826932"/>
        </a:xfrm>
        <a:prstGeom prst="circularArrow">
          <a:avLst>
            <a:gd name="adj1" fmla="val 2271"/>
            <a:gd name="adj2" fmla="val 273786"/>
            <a:gd name="adj3" fmla="val 19550703"/>
            <a:gd name="adj4" fmla="val 12575511"/>
            <a:gd name="adj5" fmla="val 2650"/>
          </a:avLst>
        </a:prstGeom>
        <a:solidFill>
          <a:srgbClr val="A5A5A5">
            <a:hueOff val="2710599"/>
            <a:satOff val="100000"/>
            <a:lumOff val="-14706"/>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sp>
    <dsp:sp modelId="{A1DC4455-7DA3-4852-AD62-449DFC39BDB9}">
      <dsp:nvSpPr>
        <dsp:cNvPr id="0" name=""/>
        <dsp:cNvSpPr/>
      </dsp:nvSpPr>
      <dsp:spPr>
        <a:xfrm>
          <a:off x="2284386" y="948691"/>
          <a:ext cx="1391142" cy="553211"/>
        </a:xfrm>
        <a:prstGeom prst="roundRect">
          <a:avLst>
            <a:gd name="adj" fmla="val 10000"/>
          </a:avLst>
        </a:prstGeom>
        <a:solidFill>
          <a:srgbClr val="A5A5A5">
            <a:hueOff val="1355300"/>
            <a:satOff val="50000"/>
            <a:lumOff val="-7353"/>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s-CL" sz="1100" kern="1200" dirty="0">
              <a:solidFill>
                <a:sysClr val="window" lastClr="FFFFFF"/>
              </a:solidFill>
              <a:latin typeface="Calibri" panose="020F0502020204030204"/>
              <a:ea typeface="+mn-ea"/>
              <a:cs typeface="+mn-cs"/>
            </a:rPr>
            <a:t>Integración de datos y generación de reportes</a:t>
          </a:r>
          <a:endParaRPr lang="en-US" sz="1100" kern="1200" dirty="0">
            <a:solidFill>
              <a:sysClr val="window" lastClr="FFFFFF"/>
            </a:solidFill>
            <a:latin typeface="Calibri" panose="020F0502020204030204"/>
            <a:ea typeface="+mn-ea"/>
            <a:cs typeface="+mn-cs"/>
          </a:endParaRPr>
        </a:p>
      </dsp:txBody>
      <dsp:txXfrm>
        <a:off x="2300589" y="964894"/>
        <a:ext cx="1358736" cy="520805"/>
      </dsp:txXfrm>
    </dsp:sp>
    <dsp:sp modelId="{27FEE731-B578-43E3-9BC8-C2016921BA6A}">
      <dsp:nvSpPr>
        <dsp:cNvPr id="0" name=""/>
        <dsp:cNvSpPr/>
      </dsp:nvSpPr>
      <dsp:spPr>
        <a:xfrm>
          <a:off x="3873104" y="1225296"/>
          <a:ext cx="1565034" cy="1290826"/>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s-CL" sz="900" kern="1200" dirty="0">
              <a:solidFill>
                <a:sysClr val="windowText" lastClr="000000">
                  <a:hueOff val="0"/>
                  <a:satOff val="0"/>
                  <a:lumOff val="0"/>
                  <a:alphaOff val="0"/>
                </a:sysClr>
              </a:solidFill>
              <a:latin typeface="Calibri" panose="020F0502020204030204"/>
              <a:ea typeface="+mn-ea"/>
              <a:cs typeface="+mn-cs"/>
            </a:rPr>
            <a:t>GCI Político</a:t>
          </a:r>
          <a:endParaRPr lang="en-US" sz="900" kern="1200" dirty="0">
            <a:solidFill>
              <a:sysClr val="windowText" lastClr="000000">
                <a:hueOff val="0"/>
                <a:satOff val="0"/>
                <a:lumOff val="0"/>
                <a:alphaOff val="0"/>
              </a:sysClr>
            </a:solidFill>
            <a:latin typeface="Calibri" panose="020F0502020204030204"/>
            <a:ea typeface="+mn-ea"/>
            <a:cs typeface="+mn-cs"/>
          </a:endParaRPr>
        </a:p>
        <a:p>
          <a:pPr marL="57150" lvl="1" indent="-57150" algn="l" defTabSz="400050">
            <a:lnSpc>
              <a:spcPct val="90000"/>
            </a:lnSpc>
            <a:spcBef>
              <a:spcPct val="0"/>
            </a:spcBef>
            <a:spcAft>
              <a:spcPct val="15000"/>
            </a:spcAft>
            <a:buChar char="•"/>
          </a:pPr>
          <a:r>
            <a:rPr lang="es-CL" sz="900" kern="1200" dirty="0">
              <a:solidFill>
                <a:sysClr val="windowText" lastClr="000000">
                  <a:hueOff val="0"/>
                  <a:satOff val="0"/>
                  <a:lumOff val="0"/>
                  <a:alphaOff val="0"/>
                </a:sysClr>
              </a:solidFill>
              <a:latin typeface="Calibri" panose="020F0502020204030204"/>
              <a:ea typeface="+mn-ea"/>
              <a:cs typeface="+mn-cs"/>
            </a:rPr>
            <a:t>INAB</a:t>
          </a:r>
          <a:endParaRPr lang="en-US" sz="900" kern="1200" dirty="0">
            <a:solidFill>
              <a:sysClr val="windowText" lastClr="000000">
                <a:hueOff val="0"/>
                <a:satOff val="0"/>
                <a:lumOff val="0"/>
                <a:alphaOff val="0"/>
              </a:sysClr>
            </a:solidFill>
            <a:latin typeface="Calibri" panose="020F0502020204030204"/>
            <a:ea typeface="+mn-ea"/>
            <a:cs typeface="+mn-cs"/>
          </a:endParaRPr>
        </a:p>
        <a:p>
          <a:pPr marL="57150" lvl="1" indent="-57150" algn="l" defTabSz="400050">
            <a:lnSpc>
              <a:spcPct val="90000"/>
            </a:lnSpc>
            <a:spcBef>
              <a:spcPct val="0"/>
            </a:spcBef>
            <a:spcAft>
              <a:spcPct val="15000"/>
            </a:spcAft>
            <a:buChar char="•"/>
          </a:pPr>
          <a:r>
            <a:rPr lang="es-CL" sz="900" kern="1200" dirty="0">
              <a:solidFill>
                <a:sysClr val="windowText" lastClr="000000">
                  <a:hueOff val="0"/>
                  <a:satOff val="0"/>
                  <a:lumOff val="0"/>
                  <a:alphaOff val="0"/>
                </a:sysClr>
              </a:solidFill>
              <a:latin typeface="Calibri" panose="020F0502020204030204"/>
              <a:ea typeface="+mn-ea"/>
              <a:cs typeface="+mn-cs"/>
            </a:rPr>
            <a:t>MARN</a:t>
          </a:r>
          <a:endParaRPr lang="en-US" sz="900" kern="1200" dirty="0">
            <a:solidFill>
              <a:sysClr val="windowText" lastClr="000000">
                <a:hueOff val="0"/>
                <a:satOff val="0"/>
                <a:lumOff val="0"/>
                <a:alphaOff val="0"/>
              </a:sysClr>
            </a:solidFill>
            <a:latin typeface="Calibri" panose="020F0502020204030204"/>
            <a:ea typeface="+mn-ea"/>
            <a:cs typeface="+mn-cs"/>
          </a:endParaRPr>
        </a:p>
        <a:p>
          <a:pPr marL="57150" lvl="1" indent="-57150" algn="l" defTabSz="400050">
            <a:lnSpc>
              <a:spcPct val="90000"/>
            </a:lnSpc>
            <a:spcBef>
              <a:spcPct val="0"/>
            </a:spcBef>
            <a:spcAft>
              <a:spcPct val="15000"/>
            </a:spcAft>
            <a:buChar char="•"/>
          </a:pPr>
          <a:r>
            <a:rPr lang="es-CL" sz="900" kern="1200" dirty="0">
              <a:solidFill>
                <a:sysClr val="windowText" lastClr="000000">
                  <a:hueOff val="0"/>
                  <a:satOff val="0"/>
                  <a:lumOff val="0"/>
                  <a:alphaOff val="0"/>
                </a:sysClr>
              </a:solidFill>
              <a:latin typeface="Calibri" panose="020F0502020204030204"/>
              <a:ea typeface="+mn-ea"/>
              <a:cs typeface="+mn-cs"/>
            </a:rPr>
            <a:t>MAGA</a:t>
          </a:r>
          <a:endParaRPr lang="en-US" sz="900" kern="1200" dirty="0">
            <a:solidFill>
              <a:sysClr val="windowText" lastClr="000000">
                <a:hueOff val="0"/>
                <a:satOff val="0"/>
                <a:lumOff val="0"/>
                <a:alphaOff val="0"/>
              </a:sysClr>
            </a:solidFill>
            <a:latin typeface="Calibri" panose="020F0502020204030204"/>
            <a:ea typeface="+mn-ea"/>
            <a:cs typeface="+mn-cs"/>
          </a:endParaRPr>
        </a:p>
        <a:p>
          <a:pPr marL="57150" lvl="1" indent="-57150" algn="l" defTabSz="400050">
            <a:lnSpc>
              <a:spcPct val="90000"/>
            </a:lnSpc>
            <a:spcBef>
              <a:spcPct val="0"/>
            </a:spcBef>
            <a:spcAft>
              <a:spcPct val="15000"/>
            </a:spcAft>
            <a:buChar char="•"/>
          </a:pPr>
          <a:r>
            <a:rPr lang="es-CL" sz="900" kern="1200" dirty="0">
              <a:solidFill>
                <a:sysClr val="windowText" lastClr="000000">
                  <a:hueOff val="0"/>
                  <a:satOff val="0"/>
                  <a:lumOff val="0"/>
                  <a:alphaOff val="0"/>
                </a:sysClr>
              </a:solidFill>
              <a:latin typeface="Calibri" panose="020F0502020204030204"/>
              <a:ea typeface="+mn-ea"/>
              <a:cs typeface="+mn-cs"/>
            </a:rPr>
            <a:t>CONAP</a:t>
          </a:r>
          <a:endParaRPr lang="en-US" sz="900" kern="1200" dirty="0">
            <a:solidFill>
              <a:sysClr val="windowText" lastClr="000000">
                <a:hueOff val="0"/>
                <a:satOff val="0"/>
                <a:lumOff val="0"/>
                <a:alphaOff val="0"/>
              </a:sysClr>
            </a:solidFill>
            <a:latin typeface="Calibri" panose="020F0502020204030204"/>
            <a:ea typeface="+mn-ea"/>
            <a:cs typeface="+mn-cs"/>
          </a:endParaRPr>
        </a:p>
        <a:p>
          <a:pPr marL="57150" lvl="1" indent="-57150" algn="l" defTabSz="400050">
            <a:lnSpc>
              <a:spcPct val="90000"/>
            </a:lnSpc>
            <a:spcBef>
              <a:spcPct val="0"/>
            </a:spcBef>
            <a:spcAft>
              <a:spcPct val="15000"/>
            </a:spcAft>
            <a:buChar char="•"/>
          </a:pPr>
          <a:endParaRPr lang="en-US" sz="900" kern="1200" dirty="0">
            <a:solidFill>
              <a:sysClr val="windowText" lastClr="000000">
                <a:hueOff val="0"/>
                <a:satOff val="0"/>
                <a:lumOff val="0"/>
                <a:alphaOff val="0"/>
              </a:sysClr>
            </a:solidFill>
            <a:latin typeface="Calibri" panose="020F0502020204030204"/>
            <a:ea typeface="+mn-ea"/>
            <a:cs typeface="+mn-cs"/>
          </a:endParaRPr>
        </a:p>
      </dsp:txBody>
      <dsp:txXfrm>
        <a:off x="3902809" y="1255001"/>
        <a:ext cx="1505624" cy="954810"/>
      </dsp:txXfrm>
    </dsp:sp>
    <dsp:sp modelId="{9B4CF184-7F24-43F9-90B0-3B5BD5B21C9A}">
      <dsp:nvSpPr>
        <dsp:cNvPr id="0" name=""/>
        <dsp:cNvSpPr/>
      </dsp:nvSpPr>
      <dsp:spPr>
        <a:xfrm>
          <a:off x="4220889" y="2239517"/>
          <a:ext cx="1391142" cy="553211"/>
        </a:xfrm>
        <a:prstGeom prst="roundRect">
          <a:avLst>
            <a:gd name="adj" fmla="val 10000"/>
          </a:avLst>
        </a:prstGeom>
        <a:solidFill>
          <a:srgbClr val="A5A5A5">
            <a:hueOff val="2710599"/>
            <a:satOff val="100000"/>
            <a:lumOff val="-14706"/>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s-CL" sz="1100" kern="1200" dirty="0">
              <a:solidFill>
                <a:sysClr val="window" lastClr="FFFFFF"/>
              </a:solidFill>
              <a:latin typeface="Calibri" panose="020F0502020204030204"/>
              <a:ea typeface="+mn-ea"/>
              <a:cs typeface="+mn-cs"/>
            </a:rPr>
            <a:t>Validación de Reportes</a:t>
          </a:r>
          <a:endParaRPr lang="en-US" sz="1100" kern="1200" dirty="0">
            <a:solidFill>
              <a:sysClr val="window" lastClr="FFFFFF"/>
            </a:solidFill>
            <a:latin typeface="Calibri" panose="020F0502020204030204"/>
            <a:ea typeface="+mn-ea"/>
            <a:cs typeface="+mn-cs"/>
          </a:endParaRPr>
        </a:p>
      </dsp:txBody>
      <dsp:txXfrm>
        <a:off x="4237092" y="2255720"/>
        <a:ext cx="1358736" cy="52080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1402</Words>
  <Characters>7995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Garrido</dc:creator>
  <cp:keywords/>
  <dc:description/>
  <cp:lastModifiedBy>Claudia Garrido</cp:lastModifiedBy>
  <cp:revision>4</cp:revision>
  <dcterms:created xsi:type="dcterms:W3CDTF">2020-07-06T02:24:00Z</dcterms:created>
  <dcterms:modified xsi:type="dcterms:W3CDTF">2020-07-06T19:09:00Z</dcterms:modified>
</cp:coreProperties>
</file>