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5.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FAA95" w14:textId="06E116F8" w:rsidR="00E26CD2" w:rsidRPr="00E26CD2" w:rsidRDefault="00380142" w:rsidP="00257018">
      <w:pPr>
        <w:rPr>
          <w:rStyle w:val="hps"/>
          <w:b/>
          <w:bCs/>
          <w:sz w:val="22"/>
          <w:szCs w:val="28"/>
          <w:lang w:val="es-SV"/>
        </w:rPr>
      </w:pPr>
      <w:r>
        <w:rPr>
          <w:rStyle w:val="hps"/>
          <w:b/>
          <w:bCs/>
          <w:sz w:val="22"/>
          <w:szCs w:val="28"/>
          <w:lang w:val="es-SV"/>
        </w:rPr>
        <w:t>Causas de Deforestación y Degradación de Bosques</w:t>
      </w:r>
    </w:p>
    <w:p w14:paraId="5CE4E010" w14:textId="77777777" w:rsidR="00380142" w:rsidRPr="00380142" w:rsidRDefault="00380142" w:rsidP="00380142">
      <w:pPr>
        <w:spacing w:after="160" w:line="259" w:lineRule="auto"/>
        <w:rPr>
          <w:rFonts w:ascii="Calibri" w:eastAsia="Calibri" w:hAnsi="Calibri" w:cs="Times New Roman"/>
          <w:sz w:val="22"/>
          <w:szCs w:val="22"/>
          <w:lang w:val="es-CL"/>
        </w:rPr>
      </w:pPr>
      <w:r w:rsidRPr="00380142">
        <w:rPr>
          <w:rFonts w:ascii="Calibri" w:eastAsia="Calibri" w:hAnsi="Calibri" w:cs="Times New Roman"/>
          <w:noProof/>
          <w:sz w:val="22"/>
          <w:szCs w:val="22"/>
          <w:lang w:val="es-CL"/>
        </w:rPr>
        <mc:AlternateContent>
          <mc:Choice Requires="wps">
            <w:drawing>
              <wp:anchor distT="45720" distB="45720" distL="114300" distR="114300" simplePos="0" relativeHeight="251678720" behindDoc="0" locked="0" layoutInCell="1" allowOverlap="1" wp14:anchorId="18EDF246" wp14:editId="3269FA5E">
                <wp:simplePos x="0" y="0"/>
                <wp:positionH relativeFrom="margin">
                  <wp:align>left</wp:align>
                </wp:positionH>
                <wp:positionV relativeFrom="paragraph">
                  <wp:posOffset>7368</wp:posOffset>
                </wp:positionV>
                <wp:extent cx="2360930" cy="859155"/>
                <wp:effectExtent l="0" t="0" r="3175"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59316"/>
                        </a:xfrm>
                        <a:prstGeom prst="rect">
                          <a:avLst/>
                        </a:prstGeom>
                        <a:solidFill>
                          <a:srgbClr val="FFFFFF"/>
                        </a:solidFill>
                        <a:ln w="9525">
                          <a:noFill/>
                          <a:miter lim="800000"/>
                          <a:headEnd/>
                          <a:tailEnd/>
                        </a:ln>
                      </wps:spPr>
                      <wps:txbx>
                        <w:txbxContent>
                          <w:p w14:paraId="11EC3F71" w14:textId="77777777" w:rsidR="00380142" w:rsidRPr="00380142" w:rsidRDefault="00380142" w:rsidP="00380142">
                            <w:pPr>
                              <w:rPr>
                                <w:color w:val="385623"/>
                                <w:lang w:val="es-CL"/>
                              </w:rPr>
                            </w:pPr>
                            <w:r w:rsidRPr="00380142">
                              <w:rPr>
                                <w:color w:val="385623"/>
                                <w:lang w:val="es-CL"/>
                              </w:rPr>
                              <w:t>La deforestación es la transformación de las tierras forestales a cualquier otro uso de la tierra, como consecuencia de acciones antropogénicas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8EDF246" id="_x0000_t202" coordsize="21600,21600" o:spt="202" path="m,l,21600r21600,l21600,xe">
                <v:stroke joinstyle="miter"/>
                <v:path gradientshapeok="t" o:connecttype="rect"/>
              </v:shapetype>
              <v:shape id="Cuadro de texto 2" o:spid="_x0000_s1026" type="#_x0000_t202" style="position:absolute;left:0;text-align:left;margin-left:0;margin-top:.6pt;width:185.9pt;height:67.65pt;z-index:25167872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" stroked="f">
                <v:textbox>
                  <w:txbxContent>
                    <w:p w14:paraId="11EC3F71" w14:textId="77777777" w:rsidR="00380142" w:rsidRPr="00380142" w:rsidRDefault="00380142" w:rsidP="00380142">
                      <w:pPr>
                        <w:rPr>
                          <w:color w:val="385623"/>
                          <w:lang w:val="es-CL"/>
                        </w:rPr>
                      </w:pPr>
                      <w:r w:rsidRPr="00380142">
                        <w:rPr>
                          <w:color w:val="385623"/>
                          <w:lang w:val="es-CL"/>
                        </w:rPr>
                        <w:t>La deforestación es la transformación de las tierras forestales a cualquier otro uso de la tierra, como consecuencia de acciones antropogénicas</w:t>
                      </w:r>
                    </w:p>
                  </w:txbxContent>
                </v:textbox>
                <w10:wrap type="square" anchorx="margin"/>
              </v:shape>
            </w:pict>
          </mc:Fallback>
        </mc:AlternateContent>
      </w:r>
      <w:r w:rsidRPr="00380142">
        <w:rPr>
          <w:rFonts w:ascii="Calibri" w:eastAsia="Calibri" w:hAnsi="Calibri" w:cs="Times New Roman"/>
          <w:sz w:val="22"/>
          <w:szCs w:val="22"/>
          <w:lang w:val="es-CL"/>
        </w:rPr>
        <w:t>De acuerdo al análisis multitemporal de Cambio de Uso y Cobertura del Suelo, durante el período 2006-2016, se deforestaron 383,560 ha de bosques (38,356 ha anuales) en Guatemala.  Paralelamente, durante este período se reportaron ganancias de tierras forestales que corresponden a aumentos de stock de carbono. Las ganancias de tierras forestales correspondieron a  176,436 ha de las cuales el 83% correspondió a bosques (146,710 ha) y el 17%  (29,726 ha)  a plantaciones forestales.</w:t>
      </w:r>
    </w:p>
    <w:p w14:paraId="5374BEE5" w14:textId="77777777" w:rsidR="00380142" w:rsidRPr="00380142" w:rsidRDefault="00380142" w:rsidP="00380142">
      <w:pPr>
        <w:spacing w:after="160" w:line="259" w:lineRule="auto"/>
        <w:rPr>
          <w:rFonts w:ascii="Calibri" w:eastAsia="Calibri" w:hAnsi="Calibri" w:cs="Times New Roman"/>
          <w:sz w:val="22"/>
          <w:szCs w:val="22"/>
          <w:lang w:val="es-CL"/>
        </w:rPr>
      </w:pPr>
      <w:r w:rsidRPr="00380142">
        <w:rPr>
          <w:rFonts w:ascii="Calibri" w:eastAsia="Calibri" w:hAnsi="Calibri" w:cs="Times New Roman"/>
          <w:sz w:val="22"/>
          <w:szCs w:val="22"/>
          <w:lang w:val="es-CL"/>
        </w:rPr>
        <w:t>Considerando las pérdidas (383,560 ha) y las ganancias (176,436 ha) de tierras forestales, la deforestación neta de bosques en Guatemala para el período 2006-2016 corresponde a 207,124 ha que se traduce en una deforestación neta anual de 20,712 ha y a una tasa de deforestación anual neta del 0.54% de los bosques de Guatemala. Si no se consideran las plantaciones forestales, anualmente se deforestan  23,685 ha, con una tasa de deforestación anual neta del 0.67%.</w:t>
      </w:r>
    </w:p>
    <w:p w14:paraId="40CC4569" w14:textId="77777777" w:rsidR="00380142" w:rsidRPr="00380142" w:rsidRDefault="00380142" w:rsidP="00380142">
      <w:pPr>
        <w:spacing w:after="160" w:line="259" w:lineRule="auto"/>
        <w:rPr>
          <w:rFonts w:ascii="Calibri" w:eastAsia="Calibri" w:hAnsi="Calibri" w:cs="Times New Roman"/>
          <w:sz w:val="22"/>
          <w:szCs w:val="22"/>
          <w:lang w:val="es-CL" w:bidi="ar-SA"/>
        </w:rPr>
      </w:pPr>
      <w:bookmarkStart w:id="0" w:name="_Hlk34323914"/>
      <w:r w:rsidRPr="00380142">
        <w:rPr>
          <w:rFonts w:ascii="Calibri" w:eastAsia="Calibri" w:hAnsi="Calibri" w:cs="Times New Roman"/>
          <w:noProof/>
          <w:sz w:val="22"/>
          <w:szCs w:val="22"/>
          <w:lang w:val="es-CL"/>
        </w:rPr>
        <mc:AlternateContent>
          <mc:Choice Requires="wps">
            <w:drawing>
              <wp:anchor distT="45720" distB="45720" distL="114300" distR="114300" simplePos="0" relativeHeight="251677696" behindDoc="0" locked="0" layoutInCell="1" allowOverlap="1" wp14:anchorId="32A5EC05" wp14:editId="556FBC55">
                <wp:simplePos x="0" y="0"/>
                <wp:positionH relativeFrom="margin">
                  <wp:align>right</wp:align>
                </wp:positionH>
                <wp:positionV relativeFrom="paragraph">
                  <wp:posOffset>9525</wp:posOffset>
                </wp:positionV>
                <wp:extent cx="2360930" cy="1002030"/>
                <wp:effectExtent l="0" t="0" r="3175" b="762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02535"/>
                        </a:xfrm>
                        <a:prstGeom prst="rect">
                          <a:avLst/>
                        </a:prstGeom>
                        <a:solidFill>
                          <a:srgbClr val="FFFFFF"/>
                        </a:solidFill>
                        <a:ln w="9525">
                          <a:noFill/>
                          <a:miter lim="800000"/>
                          <a:headEnd/>
                          <a:tailEnd/>
                        </a:ln>
                      </wps:spPr>
                      <wps:txbx>
                        <w:txbxContent>
                          <w:p w14:paraId="5A6FAC83" w14:textId="77777777" w:rsidR="00380142" w:rsidRPr="00380142" w:rsidRDefault="00380142" w:rsidP="00380142">
                            <w:pPr>
                              <w:rPr>
                                <w:color w:val="385623"/>
                                <w:lang w:val="es-CL"/>
                              </w:rPr>
                            </w:pPr>
                            <w:r w:rsidRPr="00380142">
                              <w:rPr>
                                <w:color w:val="385623"/>
                                <w:lang w:val="es-CL"/>
                              </w:rPr>
                              <w:t>La degradación sucede en cualquiera de las subcategorías en tierras forestales que permanecen como tierras forestales pero con pérdida de más del 30% de su cobertura.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A5EC05" id="_x0000_s1027" type="#_x0000_t202" style="position:absolute;left:0;text-align:left;margin-left:134.7pt;margin-top:.75pt;width:185.9pt;height:78.9pt;z-index:25167769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" stroked="f">
                <v:textbox>
                  <w:txbxContent>
                    <w:p w14:paraId="5A6FAC83" w14:textId="77777777" w:rsidR="00380142" w:rsidRPr="00380142" w:rsidRDefault="00380142" w:rsidP="00380142">
                      <w:pPr>
                        <w:rPr>
                          <w:color w:val="385623"/>
                          <w:lang w:val="es-CL"/>
                        </w:rPr>
                      </w:pPr>
                      <w:r w:rsidRPr="00380142">
                        <w:rPr>
                          <w:color w:val="385623"/>
                          <w:lang w:val="es-CL"/>
                        </w:rPr>
                        <w:t>La degradación sucede en cualquiera de las subcategorías en tierras forestales que permanecen como tierras forestales pero con pérdida de más del 30% de su cobertura.</w:t>
                      </w:r>
                    </w:p>
                  </w:txbxContent>
                </v:textbox>
                <w10:wrap type="square" anchorx="margin"/>
              </v:shape>
            </w:pict>
          </mc:Fallback>
        </mc:AlternateContent>
      </w:r>
      <w:r w:rsidRPr="00380142">
        <w:rPr>
          <w:rFonts w:ascii="Calibri" w:eastAsia="Calibri" w:hAnsi="Calibri" w:cs="Times New Roman"/>
          <w:sz w:val="22"/>
          <w:szCs w:val="22"/>
          <w:lang w:val="es-CL" w:bidi="ar-SA"/>
        </w:rPr>
        <w:t xml:space="preserve">La </w:t>
      </w:r>
      <w:r w:rsidRPr="00380142">
        <w:rPr>
          <w:rFonts w:ascii="Calibri" w:eastAsia="Calibri" w:hAnsi="Calibri" w:cs="Times New Roman"/>
          <w:b/>
          <w:sz w:val="22"/>
          <w:szCs w:val="22"/>
          <w:lang w:val="es-CL" w:bidi="ar-SA"/>
        </w:rPr>
        <w:t>degradación</w:t>
      </w:r>
      <w:r w:rsidRPr="00380142">
        <w:rPr>
          <w:rFonts w:ascii="Calibri" w:eastAsia="Calibri" w:hAnsi="Calibri" w:cs="Times New Roman"/>
          <w:sz w:val="22"/>
          <w:szCs w:val="22"/>
          <w:lang w:val="es-CL" w:bidi="ar-SA"/>
        </w:rPr>
        <w:t xml:space="preserve"> de bosques no se caracteriza por la disminución de la superficie forestal sino de la calidad de su estado, respecto a uno o más elementos del ecosistema forestal (estrato vegetal, fauna, suelo), a las interacciones entre estos componentes y, más generalmente a su funcionamiento (Lanly, 2003)</w:t>
      </w:r>
      <w:r w:rsidRPr="00380142">
        <w:rPr>
          <w:rFonts w:ascii="Calibri" w:eastAsia="Calibri" w:hAnsi="Calibri" w:cs="Times New Roman"/>
          <w:sz w:val="22"/>
          <w:szCs w:val="22"/>
          <w:vertAlign w:val="superscript"/>
          <w:lang w:val="es-CL" w:bidi="ar-SA"/>
        </w:rPr>
        <w:footnoteReference w:id="1"/>
      </w:r>
      <w:r w:rsidRPr="00380142">
        <w:rPr>
          <w:rFonts w:ascii="Calibri" w:eastAsia="Calibri" w:hAnsi="Calibri" w:cs="Times New Roman"/>
          <w:sz w:val="22"/>
          <w:szCs w:val="22"/>
          <w:lang w:val="es-CL" w:bidi="ar-SA"/>
        </w:rPr>
        <w:t xml:space="preserve">. </w:t>
      </w:r>
      <w:bookmarkEnd w:id="0"/>
      <w:r w:rsidRPr="00380142">
        <w:rPr>
          <w:rFonts w:ascii="Calibri" w:eastAsia="Calibri" w:hAnsi="Calibri" w:cs="Times New Roman"/>
          <w:sz w:val="22"/>
          <w:szCs w:val="22"/>
          <w:lang w:val="es-CL" w:bidi="ar-SA"/>
        </w:rPr>
        <w:t>En la mayoría de los casos, la degradación se traduce en la disminución gradual de la biomasa (INAB, 2015)</w:t>
      </w:r>
      <w:r w:rsidRPr="00380142">
        <w:rPr>
          <w:rFonts w:ascii="Calibri" w:eastAsia="Calibri" w:hAnsi="Calibri" w:cs="Times New Roman"/>
          <w:sz w:val="22"/>
          <w:szCs w:val="22"/>
          <w:vertAlign w:val="superscript"/>
          <w:lang w:val="es-CL" w:bidi="ar-SA"/>
        </w:rPr>
        <w:footnoteReference w:id="2"/>
      </w:r>
      <w:r w:rsidRPr="00380142">
        <w:rPr>
          <w:rFonts w:ascii="Calibri" w:eastAsia="Calibri" w:hAnsi="Calibri" w:cs="Times New Roman"/>
          <w:sz w:val="22"/>
          <w:szCs w:val="22"/>
          <w:lang w:val="es-CL" w:bidi="ar-SA"/>
        </w:rPr>
        <w:t>.</w:t>
      </w:r>
      <w:r w:rsidRPr="00380142">
        <w:rPr>
          <w:rFonts w:ascii="Calibri" w:eastAsia="Calibri" w:hAnsi="Calibri" w:cs="Times New Roman"/>
          <w:noProof/>
          <w:sz w:val="22"/>
          <w:szCs w:val="22"/>
          <w:lang w:val="es-CL" w:bidi="ar-SA"/>
        </w:rPr>
        <w:t xml:space="preserve"> </w:t>
      </w:r>
    </w:p>
    <w:p w14:paraId="778FAE66" w14:textId="043985BE" w:rsid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En Guatemala, la degradación se estimó respecto a la disminución del estrato vegetal</w:t>
      </w:r>
      <w:r w:rsidRPr="00380142">
        <w:rPr>
          <w:rFonts w:ascii="Calibri" w:eastAsia="Calibri" w:hAnsi="Calibri" w:cs="Times New Roman"/>
          <w:sz w:val="22"/>
          <w:szCs w:val="22"/>
          <w:vertAlign w:val="superscript"/>
          <w:lang w:val="es-CL" w:bidi="ar-SA"/>
        </w:rPr>
        <w:footnoteReference w:id="3"/>
      </w:r>
      <w:r w:rsidRPr="00380142">
        <w:rPr>
          <w:rFonts w:ascii="Calibri" w:eastAsia="Calibri" w:hAnsi="Calibri" w:cs="Times New Roman"/>
          <w:sz w:val="22"/>
          <w:szCs w:val="22"/>
          <w:lang w:val="es-CL" w:bidi="ar-SA"/>
        </w:rPr>
        <w:t xml:space="preserve"> (un bosque se consideró degradado cuando perdió más del 30% de la cobertura (árboles) en el período 2006-2016). En este contexto, cerca de 169,724 ha de bosque fueron degradadas en el periodo 2006-2016). </w:t>
      </w:r>
    </w:p>
    <w:p w14:paraId="2DCC8AFD" w14:textId="77777777" w:rsidR="00380142" w:rsidRPr="00380142" w:rsidRDefault="00380142" w:rsidP="00380142">
      <w:pPr>
        <w:spacing w:after="160" w:line="259" w:lineRule="auto"/>
        <w:rPr>
          <w:rFonts w:ascii="Calibri" w:eastAsia="Calibri" w:hAnsi="Calibri" w:cs="Times New Roman"/>
          <w:sz w:val="22"/>
          <w:szCs w:val="22"/>
          <w:lang w:val="es-CL" w:bidi="ar-SA"/>
        </w:rPr>
      </w:pPr>
    </w:p>
    <w:p w14:paraId="5E22766A" w14:textId="77777777" w:rsidR="00380142" w:rsidRPr="00380142" w:rsidRDefault="00380142" w:rsidP="00380142">
      <w:pPr>
        <w:rPr>
          <w:rFonts w:ascii="Calibri" w:eastAsia="Calibri" w:hAnsi="Calibri" w:cs="Times New Roman"/>
          <w:smallCaps/>
          <w:spacing w:val="5"/>
          <w:sz w:val="22"/>
          <w:szCs w:val="22"/>
          <w:u w:val="single"/>
          <w:lang w:val="es-ES"/>
        </w:rPr>
      </w:pPr>
      <w:bookmarkStart w:id="1" w:name="_Toc39711589"/>
      <w:r w:rsidRPr="00380142">
        <w:rPr>
          <w:rFonts w:ascii="Calibri" w:eastAsia="Calibri" w:hAnsi="Calibri" w:cs="Times New Roman"/>
          <w:smallCaps/>
          <w:spacing w:val="5"/>
          <w:sz w:val="22"/>
          <w:szCs w:val="22"/>
          <w:u w:val="single"/>
          <w:lang w:val="es-ES"/>
        </w:rPr>
        <w:t>Principales causas de deforestación en Guatemala</w:t>
      </w:r>
      <w:bookmarkEnd w:id="1"/>
    </w:p>
    <w:p w14:paraId="6B25A7FB" w14:textId="77777777" w:rsidR="00380142" w:rsidRPr="00380142" w:rsidRDefault="00380142" w:rsidP="00380142">
      <w:pPr>
        <w:spacing w:after="160" w:line="259" w:lineRule="auto"/>
        <w:rPr>
          <w:rFonts w:ascii="Calibri" w:eastAsia="Calibri" w:hAnsi="Calibri" w:cs="Times New Roman"/>
          <w:sz w:val="22"/>
          <w:szCs w:val="22"/>
          <w:lang w:val="es-ES" w:bidi="ar-SA"/>
        </w:rPr>
      </w:pPr>
      <w:r w:rsidRPr="00380142">
        <w:rPr>
          <w:rFonts w:ascii="Calibri" w:eastAsia="Calibri" w:hAnsi="Calibri" w:cs="Times New Roman"/>
          <w:sz w:val="22"/>
          <w:szCs w:val="22"/>
          <w:lang w:val="es-ES" w:bidi="ar-SA"/>
        </w:rPr>
        <w:t>La identificación de las causas de deforestación y degradación en Guatemala se  realizó mediante los siguientes pasos:</w:t>
      </w:r>
    </w:p>
    <w:p w14:paraId="1EAA4278" w14:textId="77777777" w:rsidR="00380142" w:rsidRPr="00380142" w:rsidRDefault="00380142" w:rsidP="00AF63FB">
      <w:pPr>
        <w:numPr>
          <w:ilvl w:val="0"/>
          <w:numId w:val="5"/>
        </w:numPr>
        <w:spacing w:after="160" w:line="259" w:lineRule="auto"/>
        <w:contextualSpacing/>
        <w:rPr>
          <w:rFonts w:ascii="Calibri" w:eastAsia="Calibri" w:hAnsi="Calibri" w:cs="Times New Roman"/>
          <w:sz w:val="22"/>
          <w:szCs w:val="22"/>
          <w:lang w:val="es-ES" w:bidi="ar-SA"/>
        </w:rPr>
      </w:pPr>
      <w:r w:rsidRPr="00380142">
        <w:rPr>
          <w:rFonts w:ascii="Calibri" w:eastAsia="Calibri" w:hAnsi="Calibri" w:cs="Times New Roman"/>
          <w:noProof/>
          <w:sz w:val="22"/>
          <w:szCs w:val="22"/>
          <w:lang w:val="es-CL"/>
        </w:rPr>
        <mc:AlternateContent>
          <mc:Choice Requires="wps">
            <w:drawing>
              <wp:anchor distT="45720" distB="45720" distL="114300" distR="114300" simplePos="0" relativeHeight="251680768" behindDoc="0" locked="0" layoutInCell="1" allowOverlap="1" wp14:anchorId="3A2C51FC" wp14:editId="5151F900">
                <wp:simplePos x="0" y="0"/>
                <wp:positionH relativeFrom="margin">
                  <wp:posOffset>3442335</wp:posOffset>
                </wp:positionH>
                <wp:positionV relativeFrom="paragraph">
                  <wp:posOffset>10795</wp:posOffset>
                </wp:positionV>
                <wp:extent cx="2360930" cy="1404620"/>
                <wp:effectExtent l="0" t="0" r="3175" b="8255"/>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3DDFA35" w14:textId="77777777" w:rsidR="00380142" w:rsidRPr="00380142" w:rsidRDefault="00380142" w:rsidP="00380142">
                            <w:pPr>
                              <w:rPr>
                                <w:color w:val="385623"/>
                                <w:lang w:val="es-CL"/>
                              </w:rPr>
                            </w:pPr>
                            <w:r w:rsidRPr="00380142">
                              <w:rPr>
                                <w:color w:val="385623"/>
                                <w:lang w:val="es-CL"/>
                              </w:rPr>
                              <w:t>Causa directa: se relaciona a actividades humanas que eliminan la cobertura forestal para dar paso a otros usos.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2C51FC" id="_x0000_s1028" type="#_x0000_t202" style="position:absolute;left:0;text-align:left;margin-left:271.05pt;margin-top:.85pt;width:185.9pt;height:110.6pt;z-index:2516807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" stroked="f">
                <v:textbox style="mso-fit-shape-to-text:t">
                  <w:txbxContent>
                    <w:p w14:paraId="13DDFA35" w14:textId="77777777" w:rsidR="00380142" w:rsidRPr="00380142" w:rsidRDefault="00380142" w:rsidP="00380142">
                      <w:pPr>
                        <w:rPr>
                          <w:color w:val="385623"/>
                          <w:lang w:val="es-CL"/>
                        </w:rPr>
                      </w:pPr>
                      <w:r w:rsidRPr="00380142">
                        <w:rPr>
                          <w:color w:val="385623"/>
                          <w:lang w:val="es-CL"/>
                        </w:rPr>
                        <w:t>Causa directa: se relaciona a actividades humanas que eliminan la cobertura forestal para dar paso a otros usos.</w:t>
                      </w:r>
                    </w:p>
                  </w:txbxContent>
                </v:textbox>
                <w10:wrap type="square" anchorx="margin"/>
              </v:shape>
            </w:pict>
          </mc:Fallback>
        </mc:AlternateContent>
      </w:r>
      <w:r w:rsidRPr="00380142">
        <w:rPr>
          <w:rFonts w:ascii="Calibri" w:eastAsia="Calibri" w:hAnsi="Calibri" w:cs="Times New Roman"/>
          <w:sz w:val="22"/>
          <w:szCs w:val="22"/>
          <w:lang w:val="es-ES" w:bidi="ar-SA"/>
        </w:rPr>
        <w:t>Identificación participativa de las causas directas y subyacentes de deforestación y degradación mediante talleres de diálogo regionales.</w:t>
      </w:r>
    </w:p>
    <w:p w14:paraId="04C4B9DB" w14:textId="77777777" w:rsidR="00380142" w:rsidRPr="00380142" w:rsidRDefault="00380142" w:rsidP="00AF63FB">
      <w:pPr>
        <w:numPr>
          <w:ilvl w:val="0"/>
          <w:numId w:val="5"/>
        </w:numPr>
        <w:spacing w:after="160" w:line="259" w:lineRule="auto"/>
        <w:contextualSpacing/>
        <w:rPr>
          <w:rFonts w:ascii="Calibri" w:eastAsia="Calibri" w:hAnsi="Calibri" w:cs="Times New Roman"/>
          <w:sz w:val="22"/>
          <w:szCs w:val="22"/>
          <w:lang w:val="es-ES" w:bidi="ar-SA"/>
        </w:rPr>
      </w:pPr>
      <w:r w:rsidRPr="00380142">
        <w:rPr>
          <w:rFonts w:ascii="Calibri" w:eastAsia="Calibri" w:hAnsi="Calibri" w:cs="Times New Roman"/>
          <w:sz w:val="22"/>
          <w:szCs w:val="22"/>
          <w:lang w:val="es-ES" w:bidi="ar-SA"/>
        </w:rPr>
        <w:t>Homologación de principales causas de deforestación y degradación.</w:t>
      </w:r>
    </w:p>
    <w:p w14:paraId="0A1ACC3F" w14:textId="77777777" w:rsidR="00380142" w:rsidRPr="00380142" w:rsidRDefault="00380142" w:rsidP="00AF63FB">
      <w:pPr>
        <w:numPr>
          <w:ilvl w:val="0"/>
          <w:numId w:val="5"/>
        </w:numPr>
        <w:spacing w:after="160" w:line="259" w:lineRule="auto"/>
        <w:contextualSpacing/>
        <w:rPr>
          <w:rFonts w:ascii="Calibri" w:eastAsia="Calibri" w:hAnsi="Calibri" w:cs="Times New Roman"/>
          <w:sz w:val="22"/>
          <w:szCs w:val="22"/>
          <w:lang w:val="es-ES" w:bidi="ar-SA"/>
        </w:rPr>
      </w:pPr>
      <w:r w:rsidRPr="00380142">
        <w:rPr>
          <w:rFonts w:ascii="Calibri" w:eastAsia="Calibri" w:hAnsi="Calibri" w:cs="Times New Roman"/>
          <w:sz w:val="22"/>
          <w:szCs w:val="22"/>
          <w:lang w:val="es-ES" w:bidi="ar-SA"/>
        </w:rPr>
        <w:lastRenderedPageBreak/>
        <w:t>Análisis espacial, cuantificación y caracterización de las principales causas directas de deforestación según cambio de uso de la tierra.</w:t>
      </w:r>
    </w:p>
    <w:p w14:paraId="411A3D84" w14:textId="77777777" w:rsidR="00380142" w:rsidRPr="00380142" w:rsidRDefault="00380142" w:rsidP="00AF63FB">
      <w:pPr>
        <w:numPr>
          <w:ilvl w:val="0"/>
          <w:numId w:val="5"/>
        </w:numPr>
        <w:spacing w:after="160" w:line="259" w:lineRule="auto"/>
        <w:contextualSpacing/>
        <w:rPr>
          <w:rFonts w:ascii="Calibri" w:eastAsia="Calibri" w:hAnsi="Calibri" w:cs="Times New Roman"/>
          <w:sz w:val="22"/>
          <w:szCs w:val="22"/>
          <w:lang w:val="es-ES" w:bidi="ar-SA"/>
        </w:rPr>
      </w:pPr>
      <w:r w:rsidRPr="00380142">
        <w:rPr>
          <w:rFonts w:ascii="Calibri" w:eastAsia="Calibri" w:hAnsi="Calibri" w:cs="Times New Roman"/>
          <w:noProof/>
          <w:sz w:val="22"/>
          <w:szCs w:val="22"/>
          <w:lang w:val="es-CL"/>
        </w:rPr>
        <mc:AlternateContent>
          <mc:Choice Requires="wps">
            <w:drawing>
              <wp:anchor distT="45720" distB="45720" distL="114300" distR="114300" simplePos="0" relativeHeight="251679744" behindDoc="0" locked="0" layoutInCell="1" allowOverlap="1" wp14:anchorId="50CA67A4" wp14:editId="7FF6D4F8">
                <wp:simplePos x="0" y="0"/>
                <wp:positionH relativeFrom="margin">
                  <wp:posOffset>3415665</wp:posOffset>
                </wp:positionH>
                <wp:positionV relativeFrom="paragraph">
                  <wp:posOffset>143510</wp:posOffset>
                </wp:positionV>
                <wp:extent cx="2360930" cy="1028700"/>
                <wp:effectExtent l="0" t="0" r="3175"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28700"/>
                        </a:xfrm>
                        <a:prstGeom prst="rect">
                          <a:avLst/>
                        </a:prstGeom>
                        <a:solidFill>
                          <a:srgbClr val="FFFFFF"/>
                        </a:solidFill>
                        <a:ln w="9525">
                          <a:noFill/>
                          <a:miter lim="800000"/>
                          <a:headEnd/>
                          <a:tailEnd/>
                        </a:ln>
                      </wps:spPr>
                      <wps:txbx>
                        <w:txbxContent>
                          <w:p w14:paraId="054B798C" w14:textId="77777777" w:rsidR="00380142" w:rsidRPr="00380142" w:rsidRDefault="00380142" w:rsidP="00380142">
                            <w:pPr>
                              <w:rPr>
                                <w:color w:val="385623"/>
                                <w:lang w:val="es-CL"/>
                              </w:rPr>
                            </w:pPr>
                            <w:r w:rsidRPr="00380142">
                              <w:rPr>
                                <w:color w:val="385623"/>
                                <w:lang w:val="es-CL"/>
                              </w:rPr>
                              <w:t>Causa subyacente: son interacciones sociales, económicas, políticas ,culturales y tecnológicas que refuerzan las causas directas de la deforestación.</w:t>
                            </w:r>
                          </w:p>
                          <w:p w14:paraId="3B8296F9" w14:textId="77777777" w:rsidR="00380142" w:rsidRPr="00380142" w:rsidRDefault="00380142" w:rsidP="00380142">
                            <w:pPr>
                              <w:rPr>
                                <w:color w:val="385623"/>
                                <w:lang w:val="es-CL"/>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0CA67A4" id="_x0000_s1029" type="#_x0000_t202" style="position:absolute;left:0;text-align:left;margin-left:268.95pt;margin-top:11.3pt;width:185.9pt;height:81pt;z-index:2516797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" stroked="f">
                <v:textbox>
                  <w:txbxContent>
                    <w:p w14:paraId="054B798C" w14:textId="77777777" w:rsidR="00380142" w:rsidRPr="00380142" w:rsidRDefault="00380142" w:rsidP="00380142">
                      <w:pPr>
                        <w:rPr>
                          <w:color w:val="385623"/>
                          <w:lang w:val="es-CL"/>
                        </w:rPr>
                      </w:pPr>
                      <w:r w:rsidRPr="00380142">
                        <w:rPr>
                          <w:color w:val="385623"/>
                          <w:lang w:val="es-CL"/>
                        </w:rPr>
                        <w:t>Causa subyacente: son interacciones sociales, económicas, políticas ,culturales y tecnológicas que refuerzan las causas directas de la deforestación.</w:t>
                      </w:r>
                    </w:p>
                    <w:p w14:paraId="3B8296F9" w14:textId="77777777" w:rsidR="00380142" w:rsidRPr="00380142" w:rsidRDefault="00380142" w:rsidP="00380142">
                      <w:pPr>
                        <w:rPr>
                          <w:color w:val="385623"/>
                          <w:lang w:val="es-CL"/>
                        </w:rPr>
                      </w:pPr>
                    </w:p>
                  </w:txbxContent>
                </v:textbox>
                <w10:wrap type="square" anchorx="margin"/>
              </v:shape>
            </w:pict>
          </mc:Fallback>
        </mc:AlternateContent>
      </w:r>
      <w:r w:rsidRPr="00380142">
        <w:rPr>
          <w:rFonts w:ascii="Calibri" w:eastAsia="Calibri" w:hAnsi="Calibri" w:cs="Times New Roman"/>
          <w:sz w:val="22"/>
          <w:szCs w:val="22"/>
          <w:lang w:val="es-ES" w:bidi="ar-SA"/>
        </w:rPr>
        <w:t>Análisis correlacional  y multivariable de las causas directas de deforestación y degradación y variables socioeconómicas para la identificación de causas subyacentes.</w:t>
      </w:r>
    </w:p>
    <w:p w14:paraId="26B6C660" w14:textId="77777777" w:rsidR="00380142" w:rsidRPr="00380142" w:rsidRDefault="00380142" w:rsidP="00AF63FB">
      <w:pPr>
        <w:numPr>
          <w:ilvl w:val="0"/>
          <w:numId w:val="5"/>
        </w:numPr>
        <w:spacing w:after="160" w:line="259" w:lineRule="auto"/>
        <w:contextualSpacing/>
        <w:rPr>
          <w:rFonts w:ascii="Calibri" w:eastAsia="Calibri" w:hAnsi="Calibri" w:cs="Times New Roman"/>
          <w:sz w:val="22"/>
          <w:szCs w:val="22"/>
          <w:lang w:val="es-ES" w:bidi="ar-SA"/>
        </w:rPr>
      </w:pPr>
      <w:r w:rsidRPr="00380142">
        <w:rPr>
          <w:rFonts w:ascii="Calibri" w:eastAsia="Calibri" w:hAnsi="Calibri" w:cs="Times New Roman"/>
          <w:sz w:val="22"/>
          <w:szCs w:val="22"/>
          <w:lang w:val="es-ES" w:bidi="ar-SA"/>
        </w:rPr>
        <w:t>Identificación de principales barreras para abordar las causas de deforestación.</w:t>
      </w:r>
    </w:p>
    <w:p w14:paraId="47ED0A3E" w14:textId="77777777" w:rsidR="00380142" w:rsidRDefault="00380142" w:rsidP="00380142">
      <w:pPr>
        <w:spacing w:after="160" w:line="259" w:lineRule="auto"/>
        <w:rPr>
          <w:rFonts w:ascii="Calibri" w:eastAsia="Calibri" w:hAnsi="Calibri" w:cs="Times New Roman"/>
          <w:sz w:val="22"/>
          <w:szCs w:val="22"/>
          <w:lang w:val="es-ES" w:bidi="ar-SA"/>
        </w:rPr>
      </w:pPr>
    </w:p>
    <w:p w14:paraId="4CE5070C" w14:textId="26B6A538" w:rsidR="00380142" w:rsidRPr="00380142" w:rsidRDefault="00380142" w:rsidP="00380142">
      <w:pPr>
        <w:spacing w:after="160" w:line="259" w:lineRule="auto"/>
        <w:rPr>
          <w:rFonts w:ascii="Calibri" w:eastAsia="Calibri" w:hAnsi="Calibri" w:cs="Times New Roman"/>
          <w:sz w:val="22"/>
          <w:szCs w:val="22"/>
          <w:lang w:val="es-ES" w:bidi="ar-SA"/>
        </w:rPr>
      </w:pPr>
      <w:r w:rsidRPr="00380142">
        <w:rPr>
          <w:rFonts w:ascii="Calibri" w:eastAsia="Calibri" w:hAnsi="Calibri" w:cs="Times New Roman"/>
          <w:sz w:val="22"/>
          <w:szCs w:val="22"/>
          <w:lang w:val="es-ES" w:bidi="ar-SA"/>
        </w:rPr>
        <w:t xml:space="preserve">Las principales causas de deforestación homologadas con base en los procesos de diálogo y participación realizados durante la preparación de la Estrategia Nacional REDD+ son: </w:t>
      </w:r>
    </w:p>
    <w:tbl>
      <w:tblPr>
        <w:tblStyle w:val="Tablaconcuadrcula11"/>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9"/>
        <w:gridCol w:w="2229"/>
      </w:tblGrid>
      <w:tr w:rsidR="00380142" w:rsidRPr="00380142" w14:paraId="06F5E8A9" w14:textId="77777777" w:rsidTr="001D1CF3">
        <w:trPr>
          <w:trHeight w:val="300"/>
        </w:trPr>
        <w:tc>
          <w:tcPr>
            <w:tcW w:w="3739" w:type="pct"/>
            <w:tcBorders>
              <w:top w:val="single" w:sz="4" w:space="0" w:color="auto"/>
              <w:bottom w:val="single" w:sz="4" w:space="0" w:color="auto"/>
            </w:tcBorders>
            <w:noWrap/>
            <w:vAlign w:val="center"/>
          </w:tcPr>
          <w:p w14:paraId="094C3DB7" w14:textId="77777777" w:rsidR="00380142" w:rsidRPr="00380142" w:rsidRDefault="00380142" w:rsidP="00380142">
            <w:pPr>
              <w:spacing w:line="360" w:lineRule="auto"/>
              <w:jc w:val="center"/>
              <w:rPr>
                <w:rFonts w:ascii="Calibri" w:hAnsi="Calibri" w:cs="Times New Roman"/>
              </w:rPr>
            </w:pPr>
            <w:r w:rsidRPr="00380142">
              <w:rPr>
                <w:rFonts w:ascii="Calibri" w:hAnsi="Calibri" w:cs="Times New Roman"/>
              </w:rPr>
              <w:t>Causas directas de deforestación</w:t>
            </w:r>
          </w:p>
        </w:tc>
        <w:tc>
          <w:tcPr>
            <w:tcW w:w="1261" w:type="pct"/>
            <w:tcBorders>
              <w:top w:val="single" w:sz="4" w:space="0" w:color="auto"/>
              <w:bottom w:val="single" w:sz="4" w:space="0" w:color="auto"/>
            </w:tcBorders>
            <w:noWrap/>
            <w:vAlign w:val="center"/>
          </w:tcPr>
          <w:p w14:paraId="4CE84D9A" w14:textId="77777777" w:rsidR="00380142" w:rsidRPr="00380142" w:rsidRDefault="00380142" w:rsidP="00380142">
            <w:pPr>
              <w:spacing w:line="360" w:lineRule="auto"/>
              <w:jc w:val="center"/>
              <w:rPr>
                <w:rFonts w:ascii="Calibri" w:hAnsi="Calibri" w:cs="Times New Roman"/>
              </w:rPr>
            </w:pPr>
            <w:r w:rsidRPr="00380142">
              <w:rPr>
                <w:rFonts w:ascii="Calibri" w:hAnsi="Calibri" w:cs="Times New Roman"/>
              </w:rPr>
              <w:t>Proporción menciones</w:t>
            </w:r>
          </w:p>
        </w:tc>
      </w:tr>
      <w:tr w:rsidR="00380142" w:rsidRPr="00380142" w14:paraId="0B669A99" w14:textId="77777777" w:rsidTr="001D1CF3">
        <w:trPr>
          <w:trHeight w:val="300"/>
        </w:trPr>
        <w:tc>
          <w:tcPr>
            <w:tcW w:w="3739" w:type="pct"/>
            <w:tcBorders>
              <w:top w:val="single" w:sz="4" w:space="0" w:color="auto"/>
            </w:tcBorders>
            <w:noWrap/>
            <w:hideMark/>
          </w:tcPr>
          <w:p w14:paraId="22EB5B76" w14:textId="77777777" w:rsidR="00380142" w:rsidRPr="00380142" w:rsidRDefault="00380142" w:rsidP="00AF63FB">
            <w:pPr>
              <w:numPr>
                <w:ilvl w:val="0"/>
                <w:numId w:val="6"/>
              </w:numPr>
              <w:spacing w:line="360" w:lineRule="auto"/>
              <w:contextualSpacing/>
              <w:jc w:val="both"/>
              <w:rPr>
                <w:rFonts w:ascii="Calibri" w:hAnsi="Calibri" w:cs="Times New Roman"/>
              </w:rPr>
            </w:pPr>
            <w:r w:rsidRPr="00380142">
              <w:rPr>
                <w:rFonts w:ascii="Calibri" w:hAnsi="Calibri" w:cs="Times New Roman"/>
              </w:rPr>
              <w:t>Expansión de actividad agrícola</w:t>
            </w:r>
          </w:p>
        </w:tc>
        <w:tc>
          <w:tcPr>
            <w:tcW w:w="1261" w:type="pct"/>
            <w:tcBorders>
              <w:top w:val="single" w:sz="4" w:space="0" w:color="auto"/>
            </w:tcBorders>
            <w:noWrap/>
            <w:hideMark/>
          </w:tcPr>
          <w:p w14:paraId="3A207CF5" w14:textId="77777777" w:rsidR="00380142" w:rsidRPr="00380142" w:rsidRDefault="00380142" w:rsidP="00380142">
            <w:pPr>
              <w:spacing w:line="360" w:lineRule="auto"/>
              <w:jc w:val="center"/>
              <w:rPr>
                <w:rFonts w:ascii="Calibri" w:hAnsi="Calibri" w:cs="Times New Roman"/>
              </w:rPr>
            </w:pPr>
            <w:r w:rsidRPr="00380142">
              <w:rPr>
                <w:rFonts w:ascii="Calibri" w:hAnsi="Calibri" w:cs="Times New Roman"/>
              </w:rPr>
              <w:t>38%</w:t>
            </w:r>
          </w:p>
        </w:tc>
      </w:tr>
      <w:tr w:rsidR="00380142" w:rsidRPr="00380142" w14:paraId="3CCDA5D0" w14:textId="77777777" w:rsidTr="001D1CF3">
        <w:trPr>
          <w:trHeight w:val="300"/>
        </w:trPr>
        <w:tc>
          <w:tcPr>
            <w:tcW w:w="3739" w:type="pct"/>
            <w:noWrap/>
            <w:hideMark/>
          </w:tcPr>
          <w:p w14:paraId="7A45A004" w14:textId="77777777" w:rsidR="00380142" w:rsidRPr="00380142" w:rsidRDefault="00380142" w:rsidP="00AF63FB">
            <w:pPr>
              <w:numPr>
                <w:ilvl w:val="0"/>
                <w:numId w:val="6"/>
              </w:numPr>
              <w:spacing w:line="360" w:lineRule="auto"/>
              <w:contextualSpacing/>
              <w:jc w:val="both"/>
              <w:rPr>
                <w:rFonts w:ascii="Calibri" w:hAnsi="Calibri" w:cs="Times New Roman"/>
              </w:rPr>
            </w:pPr>
            <w:r w:rsidRPr="00380142">
              <w:rPr>
                <w:rFonts w:ascii="Calibri" w:hAnsi="Calibri" w:cs="Times New Roman"/>
              </w:rPr>
              <w:t>Expansión de infraestructura urbana</w:t>
            </w:r>
          </w:p>
        </w:tc>
        <w:tc>
          <w:tcPr>
            <w:tcW w:w="1261" w:type="pct"/>
            <w:noWrap/>
            <w:hideMark/>
          </w:tcPr>
          <w:p w14:paraId="5C18C1BF" w14:textId="77777777" w:rsidR="00380142" w:rsidRPr="00380142" w:rsidRDefault="00380142" w:rsidP="00380142">
            <w:pPr>
              <w:spacing w:line="360" w:lineRule="auto"/>
              <w:jc w:val="center"/>
              <w:rPr>
                <w:rFonts w:ascii="Calibri" w:hAnsi="Calibri" w:cs="Times New Roman"/>
              </w:rPr>
            </w:pPr>
            <w:r w:rsidRPr="00380142">
              <w:rPr>
                <w:rFonts w:ascii="Calibri" w:hAnsi="Calibri" w:cs="Times New Roman"/>
              </w:rPr>
              <w:t>20%</w:t>
            </w:r>
          </w:p>
        </w:tc>
      </w:tr>
      <w:tr w:rsidR="00380142" w:rsidRPr="00380142" w14:paraId="5B5DA4E8" w14:textId="77777777" w:rsidTr="001D1CF3">
        <w:trPr>
          <w:trHeight w:val="300"/>
        </w:trPr>
        <w:tc>
          <w:tcPr>
            <w:tcW w:w="3739" w:type="pct"/>
            <w:noWrap/>
            <w:hideMark/>
          </w:tcPr>
          <w:p w14:paraId="385EE5D8" w14:textId="77777777" w:rsidR="00380142" w:rsidRPr="00380142" w:rsidRDefault="00380142" w:rsidP="00AF63FB">
            <w:pPr>
              <w:numPr>
                <w:ilvl w:val="0"/>
                <w:numId w:val="6"/>
              </w:numPr>
              <w:spacing w:line="360" w:lineRule="auto"/>
              <w:contextualSpacing/>
              <w:jc w:val="both"/>
              <w:rPr>
                <w:rFonts w:ascii="Calibri" w:hAnsi="Calibri" w:cs="Times New Roman"/>
              </w:rPr>
            </w:pPr>
            <w:r w:rsidRPr="00380142">
              <w:rPr>
                <w:rFonts w:ascii="Calibri" w:hAnsi="Calibri" w:cs="Times New Roman"/>
              </w:rPr>
              <w:t>Expansión de actividad ganadera</w:t>
            </w:r>
          </w:p>
        </w:tc>
        <w:tc>
          <w:tcPr>
            <w:tcW w:w="1261" w:type="pct"/>
            <w:noWrap/>
            <w:hideMark/>
          </w:tcPr>
          <w:p w14:paraId="2BA45BAC" w14:textId="77777777" w:rsidR="00380142" w:rsidRPr="00380142" w:rsidRDefault="00380142" w:rsidP="00380142">
            <w:pPr>
              <w:spacing w:line="360" w:lineRule="auto"/>
              <w:jc w:val="center"/>
              <w:rPr>
                <w:rFonts w:ascii="Calibri" w:hAnsi="Calibri" w:cs="Times New Roman"/>
              </w:rPr>
            </w:pPr>
            <w:r w:rsidRPr="00380142">
              <w:rPr>
                <w:rFonts w:ascii="Calibri" w:hAnsi="Calibri" w:cs="Times New Roman"/>
              </w:rPr>
              <w:t>17%</w:t>
            </w:r>
          </w:p>
        </w:tc>
      </w:tr>
      <w:tr w:rsidR="00380142" w:rsidRPr="00380142" w14:paraId="6AF3F409" w14:textId="77777777" w:rsidTr="001D1CF3">
        <w:trPr>
          <w:trHeight w:val="300"/>
        </w:trPr>
        <w:tc>
          <w:tcPr>
            <w:tcW w:w="3739" w:type="pct"/>
            <w:noWrap/>
            <w:hideMark/>
          </w:tcPr>
          <w:p w14:paraId="328C46CD" w14:textId="77777777" w:rsidR="00380142" w:rsidRPr="00380142" w:rsidRDefault="00380142" w:rsidP="00AF63FB">
            <w:pPr>
              <w:numPr>
                <w:ilvl w:val="0"/>
                <w:numId w:val="6"/>
              </w:numPr>
              <w:spacing w:line="360" w:lineRule="auto"/>
              <w:contextualSpacing/>
              <w:jc w:val="both"/>
              <w:rPr>
                <w:rFonts w:ascii="Calibri" w:hAnsi="Calibri" w:cs="Times New Roman"/>
              </w:rPr>
            </w:pPr>
            <w:r w:rsidRPr="00380142">
              <w:rPr>
                <w:rFonts w:ascii="Calibri" w:hAnsi="Calibri" w:cs="Times New Roman"/>
              </w:rPr>
              <w:t>Aprovechamiento no sostenible de productos forestales.</w:t>
            </w:r>
          </w:p>
        </w:tc>
        <w:tc>
          <w:tcPr>
            <w:tcW w:w="1261" w:type="pct"/>
            <w:noWrap/>
            <w:hideMark/>
          </w:tcPr>
          <w:p w14:paraId="4A84FD3D" w14:textId="77777777" w:rsidR="00380142" w:rsidRPr="00380142" w:rsidRDefault="00380142" w:rsidP="00380142">
            <w:pPr>
              <w:spacing w:line="360" w:lineRule="auto"/>
              <w:jc w:val="center"/>
              <w:rPr>
                <w:rFonts w:ascii="Calibri" w:hAnsi="Calibri" w:cs="Times New Roman"/>
              </w:rPr>
            </w:pPr>
            <w:r w:rsidRPr="00380142">
              <w:rPr>
                <w:rFonts w:ascii="Calibri" w:hAnsi="Calibri" w:cs="Times New Roman"/>
              </w:rPr>
              <w:t>16%</w:t>
            </w:r>
          </w:p>
        </w:tc>
      </w:tr>
      <w:tr w:rsidR="00380142" w:rsidRPr="00380142" w14:paraId="1C4741E2" w14:textId="77777777" w:rsidTr="001D1CF3">
        <w:trPr>
          <w:trHeight w:val="300"/>
        </w:trPr>
        <w:tc>
          <w:tcPr>
            <w:tcW w:w="3739" w:type="pct"/>
            <w:noWrap/>
            <w:hideMark/>
          </w:tcPr>
          <w:p w14:paraId="2BE5E62C" w14:textId="77777777" w:rsidR="00380142" w:rsidRPr="00380142" w:rsidRDefault="00380142" w:rsidP="00AF63FB">
            <w:pPr>
              <w:numPr>
                <w:ilvl w:val="0"/>
                <w:numId w:val="6"/>
              </w:numPr>
              <w:spacing w:line="360" w:lineRule="auto"/>
              <w:contextualSpacing/>
              <w:jc w:val="both"/>
              <w:rPr>
                <w:rFonts w:ascii="Calibri" w:hAnsi="Calibri" w:cs="Times New Roman"/>
              </w:rPr>
            </w:pPr>
            <w:r w:rsidRPr="00380142">
              <w:rPr>
                <w:rFonts w:ascii="Calibri" w:hAnsi="Calibri" w:cs="Times New Roman"/>
              </w:rPr>
              <w:t>Expansión de infraestructura industrial</w:t>
            </w:r>
          </w:p>
        </w:tc>
        <w:tc>
          <w:tcPr>
            <w:tcW w:w="1261" w:type="pct"/>
            <w:noWrap/>
            <w:hideMark/>
          </w:tcPr>
          <w:p w14:paraId="2DBBE4DA" w14:textId="77777777" w:rsidR="00380142" w:rsidRPr="00380142" w:rsidRDefault="00380142" w:rsidP="00380142">
            <w:pPr>
              <w:spacing w:line="360" w:lineRule="auto"/>
              <w:jc w:val="center"/>
              <w:rPr>
                <w:rFonts w:ascii="Calibri" w:hAnsi="Calibri" w:cs="Times New Roman"/>
              </w:rPr>
            </w:pPr>
            <w:r w:rsidRPr="00380142">
              <w:rPr>
                <w:rFonts w:ascii="Calibri" w:hAnsi="Calibri" w:cs="Times New Roman"/>
              </w:rPr>
              <w:t>9%</w:t>
            </w:r>
          </w:p>
        </w:tc>
      </w:tr>
    </w:tbl>
    <w:p w14:paraId="74B747E6" w14:textId="77777777" w:rsidR="00380142" w:rsidRPr="00380142" w:rsidRDefault="00380142" w:rsidP="00380142">
      <w:pPr>
        <w:pBdr>
          <w:top w:val="single" w:sz="4" w:space="1" w:color="auto"/>
          <w:bottom w:val="single" w:sz="4" w:space="1" w:color="auto"/>
        </w:pBdr>
        <w:spacing w:before="120" w:after="0"/>
        <w:ind w:left="851" w:hanging="851"/>
        <w:rPr>
          <w:rFonts w:ascii="Calibri" w:eastAsia="Calibri" w:hAnsi="Calibri" w:cs="Times New Roman"/>
          <w:i/>
          <w:iCs/>
          <w:smallCaps/>
          <w:sz w:val="18"/>
          <w:lang w:val="es-ES" w:eastAsia="es-ES_tradnl" w:bidi="ar-SA"/>
        </w:rPr>
      </w:pPr>
      <w:bookmarkStart w:id="2" w:name="_Toc26896408"/>
      <w:r w:rsidRPr="00380142">
        <w:rPr>
          <w:rFonts w:ascii="Calibri" w:eastAsia="Calibri" w:hAnsi="Calibri" w:cs="Times New Roman"/>
          <w:i/>
          <w:iCs/>
          <w:smallCaps/>
          <w:sz w:val="18"/>
          <w:lang w:val="es-ES" w:eastAsia="es-ES_tradnl" w:bidi="ar-SA"/>
        </w:rPr>
        <w:t xml:space="preserve">Tabla </w:t>
      </w:r>
      <w:r w:rsidRPr="00380142">
        <w:rPr>
          <w:rFonts w:ascii="Calibri" w:eastAsia="Calibri" w:hAnsi="Calibri" w:cs="Times New Roman"/>
          <w:i/>
          <w:iCs/>
          <w:smallCaps/>
          <w:sz w:val="18"/>
          <w:lang w:val="es-ES" w:eastAsia="es-ES_tradnl" w:bidi="ar-SA"/>
        </w:rPr>
        <w:fldChar w:fldCharType="begin"/>
      </w:r>
      <w:r w:rsidRPr="00380142">
        <w:rPr>
          <w:rFonts w:ascii="Calibri" w:eastAsia="Calibri" w:hAnsi="Calibri" w:cs="Times New Roman"/>
          <w:i/>
          <w:iCs/>
          <w:smallCaps/>
          <w:sz w:val="18"/>
          <w:lang w:val="es-ES" w:eastAsia="es-ES_tradnl" w:bidi="ar-SA"/>
        </w:rPr>
        <w:instrText xml:space="preserve"> SEQ Tabla \* ARABIC </w:instrText>
      </w:r>
      <w:r w:rsidRPr="00380142">
        <w:rPr>
          <w:rFonts w:ascii="Calibri" w:eastAsia="Calibri" w:hAnsi="Calibri" w:cs="Times New Roman"/>
          <w:i/>
          <w:iCs/>
          <w:smallCaps/>
          <w:sz w:val="18"/>
          <w:lang w:val="es-ES" w:eastAsia="es-ES_tradnl" w:bidi="ar-SA"/>
        </w:rPr>
        <w:fldChar w:fldCharType="separate"/>
      </w:r>
      <w:r w:rsidRPr="00380142">
        <w:rPr>
          <w:rFonts w:ascii="Calibri" w:eastAsia="Calibri" w:hAnsi="Calibri" w:cs="Times New Roman"/>
          <w:i/>
          <w:iCs/>
          <w:smallCaps/>
          <w:noProof/>
          <w:sz w:val="18"/>
          <w:lang w:val="es-ES" w:eastAsia="es-ES_tradnl" w:bidi="ar-SA"/>
        </w:rPr>
        <w:t>2</w:t>
      </w:r>
      <w:r w:rsidRPr="00380142">
        <w:rPr>
          <w:rFonts w:ascii="Calibri" w:eastAsia="Calibri" w:hAnsi="Calibri" w:cs="Times New Roman"/>
          <w:i/>
          <w:iCs/>
          <w:smallCaps/>
          <w:sz w:val="18"/>
          <w:lang w:val="es-ES" w:eastAsia="es-ES_tradnl" w:bidi="ar-SA"/>
        </w:rPr>
        <w:fldChar w:fldCharType="end"/>
      </w:r>
      <w:r w:rsidRPr="00380142">
        <w:rPr>
          <w:rFonts w:ascii="Calibri" w:eastAsia="Calibri" w:hAnsi="Calibri" w:cs="Times New Roman"/>
          <w:i/>
          <w:iCs/>
          <w:smallCaps/>
          <w:sz w:val="18"/>
          <w:lang w:val="es-ES" w:eastAsia="es-ES_tradnl" w:bidi="ar-SA"/>
        </w:rPr>
        <w:t>. Principales causas de deforestación según diálogos participativos</w:t>
      </w:r>
      <w:bookmarkEnd w:id="2"/>
    </w:p>
    <w:p w14:paraId="364E49BA" w14:textId="77777777" w:rsidR="00380142" w:rsidRPr="00380142" w:rsidRDefault="00380142" w:rsidP="00380142">
      <w:pPr>
        <w:pBdr>
          <w:bottom w:val="single" w:sz="4" w:space="1" w:color="auto"/>
        </w:pBdr>
        <w:spacing w:before="40"/>
        <w:rPr>
          <w:rFonts w:ascii="Calibri" w:eastAsia="Calibri" w:hAnsi="Calibri" w:cs="Times New Roman"/>
          <w:i/>
          <w:iCs/>
          <w:sz w:val="16"/>
          <w:szCs w:val="16"/>
          <w:lang w:val="es-CL"/>
        </w:rPr>
      </w:pPr>
      <w:r w:rsidRPr="00380142">
        <w:rPr>
          <w:rFonts w:ascii="Calibri" w:eastAsia="Calibri" w:hAnsi="Calibri" w:cs="Times New Roman"/>
          <w:i/>
          <w:iCs/>
          <w:sz w:val="16"/>
          <w:szCs w:val="16"/>
          <w:lang w:val="es-CL"/>
        </w:rPr>
        <w:t>Fuente: Resultados de Procesos de diálogo (Ronda 1) de la Fase II.</w:t>
      </w:r>
    </w:p>
    <w:p w14:paraId="746F321E" w14:textId="75F96220" w:rsidR="00380142" w:rsidRPr="00380142" w:rsidRDefault="00380142" w:rsidP="00380142">
      <w:pPr>
        <w:spacing w:after="160" w:line="259" w:lineRule="auto"/>
        <w:rPr>
          <w:rFonts w:ascii="Calibri" w:eastAsia="Calibri" w:hAnsi="Calibri" w:cs="Times New Roman"/>
          <w:sz w:val="22"/>
          <w:szCs w:val="22"/>
          <w:lang w:val="es-ES" w:bidi="ar-SA"/>
        </w:rPr>
      </w:pPr>
      <w:r w:rsidRPr="00380142">
        <w:rPr>
          <w:rFonts w:ascii="Calibri" w:eastAsia="Calibri" w:hAnsi="Calibri" w:cs="Times New Roman"/>
          <w:sz w:val="22"/>
          <w:szCs w:val="22"/>
          <w:lang w:val="es-ES" w:bidi="ar-SA"/>
        </w:rPr>
        <w:t>Para estas causas identificadas se realizó un análisis espacial multitemporal con base al cambio de uso de la tierra. La detección de cambio se realizó mediante el análisis de los 11,369 puntos de muestreo de la malla de puntos Collect Earth.</w:t>
      </w:r>
    </w:p>
    <w:p w14:paraId="68E2A906" w14:textId="2C5B5FAE" w:rsidR="00380142" w:rsidRPr="00380142" w:rsidRDefault="00380142" w:rsidP="00380142">
      <w:pPr>
        <w:spacing w:after="160" w:line="259" w:lineRule="auto"/>
        <w:rPr>
          <w:rFonts w:ascii="Calibri" w:eastAsia="Calibri" w:hAnsi="Calibri" w:cs="Times New Roman"/>
          <w:sz w:val="22"/>
          <w:szCs w:val="22"/>
          <w:lang w:val="es-ES" w:bidi="ar-SA"/>
        </w:rPr>
      </w:pPr>
      <w:r w:rsidRPr="00380142">
        <w:rPr>
          <w:rFonts w:ascii="Calibri" w:eastAsia="Calibri" w:hAnsi="Calibri" w:cs="Times New Roman"/>
          <w:sz w:val="22"/>
          <w:szCs w:val="22"/>
          <w:lang w:val="es-ES" w:bidi="ar-SA"/>
        </w:rPr>
        <w:t xml:space="preserve">Las principales causas de deforestación según el análisis multitemporal del cambio de uso de la tierra corresponden a: i) aprovechamiento no sostenible de productos forestales, ii) expansión de actividad ganadera y iii) expansión de la actividad agrícola (Figura </w:t>
      </w:r>
      <w:r>
        <w:rPr>
          <w:rFonts w:ascii="Calibri" w:eastAsia="Calibri" w:hAnsi="Calibri" w:cs="Times New Roman"/>
          <w:sz w:val="22"/>
          <w:szCs w:val="22"/>
          <w:lang w:val="es-ES" w:bidi="ar-SA"/>
        </w:rPr>
        <w:t>1</w:t>
      </w:r>
      <w:r w:rsidRPr="00380142">
        <w:rPr>
          <w:rFonts w:ascii="Calibri" w:eastAsia="Calibri" w:hAnsi="Calibri" w:cs="Times New Roman"/>
          <w:sz w:val="22"/>
          <w:szCs w:val="22"/>
          <w:lang w:val="es-ES" w:bidi="ar-SA"/>
        </w:rPr>
        <w:t>).</w:t>
      </w:r>
    </w:p>
    <w:p w14:paraId="5A7B3C65" w14:textId="77777777" w:rsidR="00380142" w:rsidRPr="00380142" w:rsidRDefault="00380142" w:rsidP="00380142">
      <w:pPr>
        <w:spacing w:after="160" w:line="259" w:lineRule="auto"/>
        <w:rPr>
          <w:rFonts w:ascii="Calibri" w:eastAsia="Calibri" w:hAnsi="Calibri" w:cs="Times New Roman"/>
          <w:sz w:val="22"/>
          <w:szCs w:val="22"/>
          <w:lang w:val="es-ES" w:bidi="ar-SA"/>
        </w:rPr>
      </w:pPr>
    </w:p>
    <w:p w14:paraId="39E905E8" w14:textId="6894FC27" w:rsidR="00380142" w:rsidRPr="00380142" w:rsidRDefault="00380142" w:rsidP="00380142">
      <w:pPr>
        <w:spacing w:after="160" w:line="259" w:lineRule="auto"/>
        <w:rPr>
          <w:rFonts w:ascii="Calibri" w:eastAsia="Calibri" w:hAnsi="Calibri" w:cs="Times New Roman"/>
          <w:sz w:val="22"/>
          <w:szCs w:val="22"/>
          <w:lang w:val="es-ES" w:bidi="ar-SA"/>
        </w:rPr>
      </w:pPr>
      <w:r w:rsidRPr="00380142">
        <w:rPr>
          <w:rFonts w:ascii="Calibri" w:eastAsia="Calibri" w:hAnsi="Calibri" w:cs="Times New Roman"/>
          <w:noProof/>
          <w:sz w:val="22"/>
          <w:szCs w:val="22"/>
          <w:lang w:val="es-GT" w:eastAsia="es-GT" w:bidi="ar-SA"/>
        </w:rPr>
        <w:lastRenderedPageBreak/>
        <w:drawing>
          <wp:inline distT="0" distB="0" distL="0" distR="0" wp14:anchorId="3B55187E" wp14:editId="4A9970EA">
            <wp:extent cx="5612130" cy="2883535"/>
            <wp:effectExtent l="0" t="0" r="7620" b="12065"/>
            <wp:docPr id="63" name="Gráfico 63">
              <a:extLst xmlns:a="http://schemas.openxmlformats.org/drawingml/2006/main">
                <a:ext uri="{FF2B5EF4-FFF2-40B4-BE49-F238E27FC236}">
                  <a16:creationId xmlns:a16="http://schemas.microsoft.com/office/drawing/2014/main" id="{44DA84C3-8995-478A-8440-76FD6B3FE5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B947172" w14:textId="77758EA6" w:rsidR="00380142" w:rsidRPr="00380142" w:rsidRDefault="00380142" w:rsidP="00380142">
      <w:pPr>
        <w:pBdr>
          <w:top w:val="single" w:sz="4" w:space="1" w:color="auto"/>
          <w:bottom w:val="single" w:sz="4" w:space="1" w:color="auto"/>
        </w:pBdr>
        <w:spacing w:after="0"/>
        <w:ind w:left="851" w:hanging="851"/>
        <w:jc w:val="left"/>
        <w:rPr>
          <w:rFonts w:ascii="Calibri" w:eastAsia="Calibri" w:hAnsi="Calibri" w:cs="Times New Roman"/>
          <w:i/>
          <w:iCs/>
          <w:smallCaps/>
          <w:sz w:val="18"/>
          <w:lang w:val="es-HN" w:eastAsia="es-ES_tradnl" w:bidi="ar-SA"/>
        </w:rPr>
      </w:pPr>
      <w:bookmarkStart w:id="3" w:name="_Toc26896340"/>
      <w:bookmarkStart w:id="4" w:name="_Hlk37952424"/>
      <w:r w:rsidRPr="00380142">
        <w:rPr>
          <w:rFonts w:ascii="Calibri" w:eastAsia="Calibri" w:hAnsi="Calibri" w:cs="Times New Roman"/>
          <w:i/>
          <w:iCs/>
          <w:smallCaps/>
          <w:sz w:val="18"/>
          <w:lang w:val="es-HN" w:eastAsia="es-ES_tradnl" w:bidi="ar-SA"/>
        </w:rPr>
        <w:t xml:space="preserve">Figura </w:t>
      </w:r>
      <w:r w:rsidRPr="00380142">
        <w:rPr>
          <w:rFonts w:ascii="Calibri" w:eastAsia="Calibri" w:hAnsi="Calibri" w:cs="Times New Roman"/>
          <w:i/>
          <w:iCs/>
          <w:smallCaps/>
          <w:sz w:val="18"/>
          <w:lang w:val="es-HN" w:eastAsia="es-ES_tradnl" w:bidi="ar-SA"/>
        </w:rPr>
        <w:fldChar w:fldCharType="begin"/>
      </w:r>
      <w:r w:rsidRPr="00380142">
        <w:rPr>
          <w:rFonts w:ascii="Calibri" w:eastAsia="Calibri" w:hAnsi="Calibri" w:cs="Times New Roman"/>
          <w:i/>
          <w:iCs/>
          <w:smallCaps/>
          <w:sz w:val="18"/>
          <w:lang w:val="es-HN" w:eastAsia="es-ES_tradnl" w:bidi="ar-SA"/>
        </w:rPr>
        <w:instrText xml:space="preserve"> SEQ Figura \* ARABIC </w:instrText>
      </w:r>
      <w:r w:rsidRPr="00380142">
        <w:rPr>
          <w:rFonts w:ascii="Calibri" w:eastAsia="Calibri" w:hAnsi="Calibri" w:cs="Times New Roman"/>
          <w:i/>
          <w:iCs/>
          <w:smallCaps/>
          <w:sz w:val="18"/>
          <w:lang w:val="es-HN" w:eastAsia="es-ES_tradnl" w:bidi="ar-SA"/>
        </w:rPr>
        <w:fldChar w:fldCharType="separate"/>
      </w:r>
      <w:r>
        <w:rPr>
          <w:rFonts w:ascii="Calibri" w:eastAsia="Calibri" w:hAnsi="Calibri" w:cs="Times New Roman"/>
          <w:i/>
          <w:iCs/>
          <w:smallCaps/>
          <w:noProof/>
          <w:sz w:val="18"/>
          <w:lang w:val="es-HN" w:eastAsia="es-ES_tradnl" w:bidi="ar-SA"/>
        </w:rPr>
        <w:t>1</w:t>
      </w:r>
      <w:r w:rsidRPr="00380142">
        <w:rPr>
          <w:rFonts w:ascii="Calibri" w:eastAsia="Calibri" w:hAnsi="Calibri" w:cs="Times New Roman"/>
          <w:i/>
          <w:iCs/>
          <w:smallCaps/>
          <w:sz w:val="18"/>
          <w:lang w:val="es-HN" w:eastAsia="es-ES_tradnl" w:bidi="ar-SA"/>
        </w:rPr>
        <w:fldChar w:fldCharType="end"/>
      </w:r>
      <w:r w:rsidRPr="00380142">
        <w:rPr>
          <w:rFonts w:ascii="Calibri" w:eastAsia="Calibri" w:hAnsi="Calibri" w:cs="Times New Roman"/>
          <w:i/>
          <w:iCs/>
          <w:smallCaps/>
          <w:sz w:val="18"/>
          <w:lang w:val="es-HN" w:eastAsia="es-ES_tradnl" w:bidi="ar-SA"/>
        </w:rPr>
        <w:t>. Principales causas de deforestación en Guatemala según análisis geoespacial</w:t>
      </w:r>
      <w:bookmarkEnd w:id="3"/>
    </w:p>
    <w:p w14:paraId="48D0E5ED" w14:textId="77777777" w:rsidR="00380142" w:rsidRPr="00380142" w:rsidRDefault="00380142" w:rsidP="00380142">
      <w:pPr>
        <w:pBdr>
          <w:bottom w:val="single" w:sz="4" w:space="1" w:color="auto"/>
        </w:pBdr>
        <w:spacing w:before="40"/>
        <w:rPr>
          <w:rFonts w:ascii="Calibri" w:eastAsia="Calibri" w:hAnsi="Calibri" w:cs="Times New Roman"/>
          <w:i/>
          <w:iCs/>
          <w:sz w:val="16"/>
          <w:szCs w:val="16"/>
          <w:lang w:val="es-CL"/>
        </w:rPr>
      </w:pPr>
      <w:r w:rsidRPr="00380142">
        <w:rPr>
          <w:rFonts w:ascii="Calibri" w:eastAsia="Calibri" w:hAnsi="Calibri" w:cs="Times New Roman"/>
          <w:i/>
          <w:iCs/>
          <w:sz w:val="16"/>
          <w:szCs w:val="16"/>
          <w:lang w:val="es-CL"/>
        </w:rPr>
        <w:t>Fuente: Elaboración propia con base en puntos Collect Earth</w:t>
      </w:r>
    </w:p>
    <w:bookmarkEnd w:id="4"/>
    <w:p w14:paraId="67AE557D" w14:textId="16C5B2CE"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El aprovechamiento no sostenible de productos forestales es responsable de la pérdida del 39% de tierras forestales con pérdidas de 147,671 ha en el período 2006-2016. Por su parte, la expansión de la actividad ganadera da cuenta de la pérdida de 130,410 ha bosques y la expansión de la actividad agrícola causa pérdidas 93,014 ha de bosques a nivel nacional.</w:t>
      </w:r>
      <w:r>
        <w:rPr>
          <w:rFonts w:ascii="Calibri" w:eastAsia="Calibri" w:hAnsi="Calibri" w:cs="Times New Roman"/>
          <w:sz w:val="22"/>
          <w:szCs w:val="22"/>
          <w:lang w:val="es-CL" w:bidi="ar-SA"/>
        </w:rPr>
        <w:t xml:space="preserve"> </w:t>
      </w:r>
      <w:r w:rsidRPr="00380142">
        <w:rPr>
          <w:rFonts w:ascii="Calibri" w:eastAsia="Calibri" w:hAnsi="Calibri" w:cs="Times New Roman"/>
          <w:sz w:val="22"/>
          <w:szCs w:val="22"/>
          <w:lang w:val="es-CL" w:bidi="ar-SA"/>
        </w:rPr>
        <w:t>La distribución espacial a nivel nacional de las principales causas de Deforestación se presenta en la Figura 6.</w:t>
      </w:r>
    </w:p>
    <w:p w14:paraId="26129472" w14:textId="77777777" w:rsidR="00380142" w:rsidRPr="00380142" w:rsidRDefault="00380142" w:rsidP="00380142">
      <w:pPr>
        <w:spacing w:after="160" w:line="259" w:lineRule="auto"/>
        <w:jc w:val="center"/>
        <w:rPr>
          <w:rFonts w:ascii="Calibri" w:eastAsia="Calibri" w:hAnsi="Calibri" w:cs="Times New Roman"/>
          <w:sz w:val="22"/>
          <w:szCs w:val="22"/>
          <w:lang w:val="es-CL" w:bidi="ar-SA"/>
        </w:rPr>
      </w:pPr>
      <w:r w:rsidRPr="00380142">
        <w:rPr>
          <w:rFonts w:ascii="Calibri" w:eastAsia="Calibri" w:hAnsi="Calibri" w:cs="Times New Roman"/>
          <w:noProof/>
          <w:sz w:val="22"/>
          <w:szCs w:val="22"/>
          <w:lang w:val="es-GT" w:eastAsia="es-GT" w:bidi="ar-SA"/>
        </w:rPr>
        <w:lastRenderedPageBreak/>
        <w:drawing>
          <wp:inline distT="0" distB="0" distL="0" distR="0" wp14:anchorId="5D2ADE71" wp14:editId="50A47376">
            <wp:extent cx="4315968" cy="6101746"/>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DD_Guatemala_Causales_deforestac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7957" cy="6118696"/>
                    </a:xfrm>
                    <a:prstGeom prst="rect">
                      <a:avLst/>
                    </a:prstGeom>
                  </pic:spPr>
                </pic:pic>
              </a:graphicData>
            </a:graphic>
          </wp:inline>
        </w:drawing>
      </w:r>
    </w:p>
    <w:p w14:paraId="31D5B2CE" w14:textId="77777777" w:rsidR="00380142" w:rsidRPr="00380142" w:rsidRDefault="00380142" w:rsidP="00380142">
      <w:pPr>
        <w:pBdr>
          <w:top w:val="single" w:sz="4" w:space="1" w:color="auto"/>
          <w:bottom w:val="single" w:sz="4" w:space="1" w:color="auto"/>
        </w:pBdr>
        <w:spacing w:after="0"/>
        <w:ind w:left="851" w:hanging="851"/>
        <w:jc w:val="left"/>
        <w:rPr>
          <w:rFonts w:ascii="Calibri" w:eastAsia="Calibri" w:hAnsi="Calibri" w:cs="Times New Roman"/>
          <w:i/>
          <w:iCs/>
          <w:smallCaps/>
          <w:sz w:val="18"/>
          <w:lang w:val="es-HN" w:eastAsia="es-ES_tradnl" w:bidi="ar-SA"/>
        </w:rPr>
      </w:pPr>
      <w:bookmarkStart w:id="5" w:name="_Toc26896341"/>
      <w:r w:rsidRPr="00380142">
        <w:rPr>
          <w:rFonts w:ascii="Calibri" w:eastAsia="Calibri" w:hAnsi="Calibri" w:cs="Times New Roman"/>
          <w:i/>
          <w:iCs/>
          <w:smallCaps/>
          <w:sz w:val="18"/>
          <w:lang w:val="es-HN" w:eastAsia="es-ES_tradnl" w:bidi="ar-SA"/>
        </w:rPr>
        <w:t xml:space="preserve">Figura </w:t>
      </w:r>
      <w:r w:rsidRPr="00380142">
        <w:rPr>
          <w:rFonts w:ascii="Calibri" w:eastAsia="Calibri" w:hAnsi="Calibri" w:cs="Times New Roman"/>
          <w:i/>
          <w:iCs/>
          <w:smallCaps/>
          <w:sz w:val="18"/>
          <w:lang w:val="es-HN" w:eastAsia="es-ES_tradnl" w:bidi="ar-SA"/>
        </w:rPr>
        <w:fldChar w:fldCharType="begin"/>
      </w:r>
      <w:r w:rsidRPr="00380142">
        <w:rPr>
          <w:rFonts w:ascii="Calibri" w:eastAsia="Calibri" w:hAnsi="Calibri" w:cs="Times New Roman"/>
          <w:i/>
          <w:iCs/>
          <w:smallCaps/>
          <w:sz w:val="18"/>
          <w:lang w:val="es-HN" w:eastAsia="es-ES_tradnl" w:bidi="ar-SA"/>
        </w:rPr>
        <w:instrText xml:space="preserve"> SEQ Figura \* ARABIC </w:instrText>
      </w:r>
      <w:r w:rsidRPr="00380142">
        <w:rPr>
          <w:rFonts w:ascii="Calibri" w:eastAsia="Calibri" w:hAnsi="Calibri" w:cs="Times New Roman"/>
          <w:i/>
          <w:iCs/>
          <w:smallCaps/>
          <w:sz w:val="18"/>
          <w:lang w:val="es-HN" w:eastAsia="es-ES_tradnl" w:bidi="ar-SA"/>
        </w:rPr>
        <w:fldChar w:fldCharType="separate"/>
      </w:r>
      <w:r w:rsidRPr="00380142">
        <w:rPr>
          <w:rFonts w:ascii="Calibri" w:eastAsia="Calibri" w:hAnsi="Calibri" w:cs="Times New Roman"/>
          <w:i/>
          <w:iCs/>
          <w:smallCaps/>
          <w:noProof/>
          <w:sz w:val="18"/>
          <w:lang w:val="es-HN" w:eastAsia="es-ES_tradnl" w:bidi="ar-SA"/>
        </w:rPr>
        <w:t>4</w:t>
      </w:r>
      <w:r w:rsidRPr="00380142">
        <w:rPr>
          <w:rFonts w:ascii="Calibri" w:eastAsia="Calibri" w:hAnsi="Calibri" w:cs="Times New Roman"/>
          <w:i/>
          <w:iCs/>
          <w:smallCaps/>
          <w:sz w:val="18"/>
          <w:lang w:val="es-HN" w:eastAsia="es-ES_tradnl" w:bidi="ar-SA"/>
        </w:rPr>
        <w:fldChar w:fldCharType="end"/>
      </w:r>
      <w:r w:rsidRPr="00380142">
        <w:rPr>
          <w:rFonts w:ascii="Calibri" w:eastAsia="Calibri" w:hAnsi="Calibri" w:cs="Times New Roman"/>
          <w:i/>
          <w:iCs/>
          <w:smallCaps/>
          <w:sz w:val="18"/>
          <w:lang w:val="es-HN" w:eastAsia="es-ES_tradnl" w:bidi="ar-SA"/>
        </w:rPr>
        <w:t>. Distribución de principales causas de deforestación en Guatemala según análisis geoespacial</w:t>
      </w:r>
      <w:bookmarkEnd w:id="5"/>
    </w:p>
    <w:p w14:paraId="6E39570F" w14:textId="77777777" w:rsidR="00380142" w:rsidRPr="00380142" w:rsidRDefault="00380142" w:rsidP="00380142">
      <w:pPr>
        <w:pBdr>
          <w:bottom w:val="single" w:sz="4" w:space="1" w:color="auto"/>
        </w:pBdr>
        <w:spacing w:before="40"/>
        <w:rPr>
          <w:rFonts w:ascii="Calibri" w:eastAsia="Calibri" w:hAnsi="Calibri" w:cs="Times New Roman"/>
          <w:i/>
          <w:iCs/>
          <w:sz w:val="16"/>
          <w:szCs w:val="16"/>
          <w:lang w:val="es-CL"/>
        </w:rPr>
      </w:pPr>
      <w:r w:rsidRPr="00380142">
        <w:rPr>
          <w:rFonts w:ascii="Calibri" w:eastAsia="Calibri" w:hAnsi="Calibri" w:cs="Times New Roman"/>
          <w:i/>
          <w:iCs/>
          <w:sz w:val="16"/>
          <w:szCs w:val="16"/>
          <w:lang w:val="es-CL"/>
        </w:rPr>
        <w:t>Fuente: Elaboración propia con base en puntos Collect Earth</w:t>
      </w:r>
    </w:p>
    <w:p w14:paraId="7A2DA2BA" w14:textId="41BCE2AB" w:rsid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De las 383,560 ha de bosques p</w:t>
      </w:r>
      <w:r>
        <w:rPr>
          <w:rFonts w:ascii="Calibri" w:eastAsia="Calibri" w:hAnsi="Calibri" w:cs="Times New Roman"/>
          <w:sz w:val="22"/>
          <w:szCs w:val="22"/>
          <w:lang w:val="es-CL" w:bidi="ar-SA"/>
        </w:rPr>
        <w:t>e</w:t>
      </w:r>
      <w:r w:rsidRPr="00380142">
        <w:rPr>
          <w:rFonts w:ascii="Calibri" w:eastAsia="Calibri" w:hAnsi="Calibri" w:cs="Times New Roman"/>
          <w:sz w:val="22"/>
          <w:szCs w:val="22"/>
          <w:lang w:val="es-CL" w:bidi="ar-SA"/>
        </w:rPr>
        <w:t>rdidas durante el período 2006-2016, se estima que  148,630 ha se perdieron en áreas protegidas que corresponde a 38.8% de la pérdida de bosque. En las áreas protegidas la principal causa de pérdida de bosque, corresponde a la expansión de la actividad ganadera, siendo responsable del 50% de las pérdidas de bosque dentro del SIGAP  y  ocurriendo el 94% en Petén.</w:t>
      </w:r>
    </w:p>
    <w:p w14:paraId="06508667" w14:textId="77777777" w:rsidR="00380142" w:rsidRPr="00380142" w:rsidRDefault="00380142" w:rsidP="00380142">
      <w:pPr>
        <w:spacing w:after="160" w:line="259" w:lineRule="auto"/>
        <w:rPr>
          <w:rFonts w:ascii="Calibri" w:eastAsia="Calibri" w:hAnsi="Calibri" w:cs="Times New Roman"/>
          <w:sz w:val="22"/>
          <w:szCs w:val="22"/>
          <w:lang w:val="es-CL" w:bidi="ar-SA"/>
        </w:rPr>
      </w:pPr>
    </w:p>
    <w:p w14:paraId="38F0E89D" w14:textId="5E41636A" w:rsidR="00380142" w:rsidRPr="00380142" w:rsidRDefault="003C11A1" w:rsidP="00AF63FB">
      <w:pPr>
        <w:pStyle w:val="Prrafodelista"/>
        <w:numPr>
          <w:ilvl w:val="0"/>
          <w:numId w:val="9"/>
        </w:numPr>
        <w:rPr>
          <w:rFonts w:ascii="Calibri" w:eastAsia="Calibri" w:hAnsi="Calibri" w:cs="Times New Roman"/>
          <w:smallCaps/>
          <w:spacing w:val="5"/>
          <w:sz w:val="22"/>
          <w:szCs w:val="22"/>
          <w:u w:val="single"/>
          <w:lang w:val="es-ES"/>
        </w:rPr>
      </w:pPr>
      <w:bookmarkStart w:id="6" w:name="_Toc39711590"/>
      <w:r>
        <w:rPr>
          <w:rFonts w:ascii="Calibri" w:eastAsia="Calibri" w:hAnsi="Calibri" w:cs="Times New Roman"/>
          <w:smallCaps/>
          <w:spacing w:val="5"/>
          <w:sz w:val="22"/>
          <w:szCs w:val="22"/>
          <w:u w:val="single"/>
          <w:lang w:val="es-ES"/>
        </w:rPr>
        <w:lastRenderedPageBreak/>
        <w:t xml:space="preserve">Deforestación y Degradación por </w:t>
      </w:r>
      <w:r w:rsidR="00380142" w:rsidRPr="00380142">
        <w:rPr>
          <w:rFonts w:ascii="Calibri" w:eastAsia="Calibri" w:hAnsi="Calibri" w:cs="Times New Roman"/>
          <w:smallCaps/>
          <w:spacing w:val="5"/>
          <w:sz w:val="22"/>
          <w:szCs w:val="22"/>
          <w:u w:val="single"/>
          <w:lang w:val="es-ES"/>
        </w:rPr>
        <w:t>Aprovechamiento no sostenible de los productos forestales</w:t>
      </w:r>
      <w:bookmarkEnd w:id="6"/>
    </w:p>
    <w:p w14:paraId="0D188E5B" w14:textId="62515DA5" w:rsid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El aprovechamiento no sostenible de los productos forestales se ocurre cuando tierras forestales cambian a vegetación arbustiva, árboles dispersos y matorrales. Esta causa de deforestación incluye la extracción de biomasa del bosque con el fin de dar cambio de uso de la tierra a sistemas ganaderos y agrícolas. En los bosques húmedos de Petén, Tierras Bajas del Norte e Izabal, el aprovechamiento no sostenible de productos forestales está más vinculado a un cambio posterior de uso de la tierra y no necesariamente a un aprovechamiento de los productos forestales. El 42% de pérdida de bosque por el aprovechamiento no sostenible de productos forestales ocurre en la región Petén y está asociada mayormente a extracción de biomasa para cambiar el bosque a posteriores sistemas silvopastoriles o pastos.</w:t>
      </w:r>
    </w:p>
    <w:p w14:paraId="619778AF" w14:textId="1FE20C9C" w:rsidR="003C11A1" w:rsidRPr="00380142" w:rsidRDefault="003C11A1"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lang w:val="es-CL" w:bidi="ar-SA"/>
        </w:rPr>
        <mc:AlternateContent>
          <mc:Choice Requires="wps">
            <w:drawing>
              <wp:anchor distT="45720" distB="45720" distL="114300" distR="114300" simplePos="0" relativeHeight="251671552" behindDoc="1" locked="0" layoutInCell="1" allowOverlap="1" wp14:anchorId="4FEE4A9C" wp14:editId="3BE7A5FA">
                <wp:simplePos x="0" y="0"/>
                <wp:positionH relativeFrom="margin">
                  <wp:posOffset>3092488</wp:posOffset>
                </wp:positionH>
                <wp:positionV relativeFrom="paragraph">
                  <wp:posOffset>9548</wp:posOffset>
                </wp:positionV>
                <wp:extent cx="2555240" cy="1796415"/>
                <wp:effectExtent l="0" t="0" r="0" b="0"/>
                <wp:wrapThrough wrapText="bothSides">
                  <wp:wrapPolygon edited="0">
                    <wp:start x="0" y="0"/>
                    <wp:lineTo x="0" y="21302"/>
                    <wp:lineTo x="21417" y="21302"/>
                    <wp:lineTo x="21417" y="0"/>
                    <wp:lineTo x="0" y="0"/>
                  </wp:wrapPolygon>
                </wp:wrapThrough>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240" cy="1796415"/>
                        </a:xfrm>
                        <a:prstGeom prst="rect">
                          <a:avLst/>
                        </a:prstGeom>
                        <a:solidFill>
                          <a:srgbClr val="FFFFFF"/>
                        </a:solidFill>
                        <a:ln w="9525">
                          <a:noFill/>
                          <a:miter lim="800000"/>
                          <a:headEnd/>
                          <a:tailEnd/>
                        </a:ln>
                      </wps:spPr>
                      <wps:txbx>
                        <w:txbxContent>
                          <w:p w14:paraId="79C5096F"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Pérdidas de bosques (superficie) por aprovechamiento no sostenible de los recursos forestales (2006-2016):</w:t>
                            </w:r>
                          </w:p>
                          <w:p w14:paraId="1707EAD4" w14:textId="77777777" w:rsidR="00380142" w:rsidRPr="007E3D7C" w:rsidRDefault="00380142" w:rsidP="00AF63FB">
                            <w:pPr>
                              <w:pStyle w:val="Prrafodelista"/>
                              <w:numPr>
                                <w:ilvl w:val="0"/>
                                <w:numId w:val="2"/>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147,671 ha en Guatemala</w:t>
                            </w:r>
                          </w:p>
                          <w:p w14:paraId="25C8721A" w14:textId="77777777" w:rsidR="00380142" w:rsidRPr="00380142" w:rsidRDefault="00380142" w:rsidP="00AF63FB">
                            <w:pPr>
                              <w:pStyle w:val="Prrafodelista"/>
                              <w:numPr>
                                <w:ilvl w:val="0"/>
                                <w:numId w:val="2"/>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50,821 ha en los municipios priorizados por el FIP.</w:t>
                            </w:r>
                          </w:p>
                          <w:p w14:paraId="15CE13EF" w14:textId="77777777" w:rsidR="00380142" w:rsidRPr="007E3D7C" w:rsidRDefault="00380142" w:rsidP="00AF63FB">
                            <w:pPr>
                              <w:pStyle w:val="Prrafodelista"/>
                              <w:numPr>
                                <w:ilvl w:val="0"/>
                                <w:numId w:val="2"/>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54,657 ha en Areas Protegidas.</w:t>
                            </w:r>
                          </w:p>
                          <w:p w14:paraId="1DDF6C0D" w14:textId="77777777" w:rsidR="00380142" w:rsidRPr="007E3D7C" w:rsidRDefault="00380142" w:rsidP="00AF63FB">
                            <w:pPr>
                              <w:pStyle w:val="Prrafodelista"/>
                              <w:numPr>
                                <w:ilvl w:val="0"/>
                                <w:numId w:val="2"/>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24,931 ha en Proyectos REDD+ </w:t>
                            </w:r>
                          </w:p>
                          <w:p w14:paraId="1F40F95B" w14:textId="77777777" w:rsidR="00380142" w:rsidRPr="007E3D7C"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E4A9C" id="_x0000_s1030" type="#_x0000_t202" style="position:absolute;left:0;text-align:left;margin-left:243.5pt;margin-top:.75pt;width:201.2pt;height:141.45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" stroked="f">
                <v:textbox>
                  <w:txbxContent>
                    <w:p w14:paraId="79C5096F"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Pérdidas de bosques (superficie) por aprovechamiento no sostenible de los recursos forestales (2006-2016):</w:t>
                      </w:r>
                    </w:p>
                    <w:p w14:paraId="1707EAD4" w14:textId="77777777" w:rsidR="00380142" w:rsidRPr="007E3D7C" w:rsidRDefault="00380142" w:rsidP="00AF63FB">
                      <w:pPr>
                        <w:pStyle w:val="Prrafodelista"/>
                        <w:numPr>
                          <w:ilvl w:val="0"/>
                          <w:numId w:val="2"/>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147,671 ha en Guatemala</w:t>
                      </w:r>
                    </w:p>
                    <w:p w14:paraId="25C8721A" w14:textId="77777777" w:rsidR="00380142" w:rsidRPr="00380142" w:rsidRDefault="00380142" w:rsidP="00AF63FB">
                      <w:pPr>
                        <w:pStyle w:val="Prrafodelista"/>
                        <w:numPr>
                          <w:ilvl w:val="0"/>
                          <w:numId w:val="2"/>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50,821 ha en los municipios priorizados por el FIP.</w:t>
                      </w:r>
                    </w:p>
                    <w:p w14:paraId="15CE13EF" w14:textId="77777777" w:rsidR="00380142" w:rsidRPr="007E3D7C" w:rsidRDefault="00380142" w:rsidP="00AF63FB">
                      <w:pPr>
                        <w:pStyle w:val="Prrafodelista"/>
                        <w:numPr>
                          <w:ilvl w:val="0"/>
                          <w:numId w:val="2"/>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54,657 ha en Areas Protegidas.</w:t>
                      </w:r>
                    </w:p>
                    <w:p w14:paraId="1DDF6C0D" w14:textId="77777777" w:rsidR="00380142" w:rsidRPr="007E3D7C" w:rsidRDefault="00380142" w:rsidP="00AF63FB">
                      <w:pPr>
                        <w:pStyle w:val="Prrafodelista"/>
                        <w:numPr>
                          <w:ilvl w:val="0"/>
                          <w:numId w:val="2"/>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24,931 ha en Proyectos REDD+ </w:t>
                      </w:r>
                    </w:p>
                    <w:p w14:paraId="1F40F95B" w14:textId="77777777" w:rsidR="00380142" w:rsidRPr="007E3D7C"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p>
                  </w:txbxContent>
                </v:textbox>
                <w10:wrap type="through" anchorx="margin"/>
              </v:shape>
            </w:pict>
          </mc:Fallback>
        </mc:AlternateContent>
      </w:r>
      <w:r>
        <w:rPr>
          <w:rFonts w:ascii="Calibri" w:eastAsia="Calibri" w:hAnsi="Calibri" w:cs="Times New Roman"/>
          <w:sz w:val="22"/>
          <w:szCs w:val="22"/>
          <w:lang w:val="es-CL" w:bidi="ar-SA"/>
        </w:rPr>
        <w:t>Adicionalmente, el aprovechamiento no sostenible de productos forestales puede no resultar en un cambio de uso de suelo, pero sí en disminución de la cobertura forestal y por ende en la degradación del bosque.</w:t>
      </w:r>
    </w:p>
    <w:p w14:paraId="0219EFD6" w14:textId="7F9F5DE5" w:rsidR="00380142" w:rsidRPr="00380142" w:rsidRDefault="003C11A1" w:rsidP="00380142">
      <w:pPr>
        <w:spacing w:after="160" w:line="259" w:lineRule="auto"/>
        <w:rPr>
          <w:rFonts w:ascii="Calibri" w:eastAsia="Calibri" w:hAnsi="Calibri" w:cs="Times New Roman"/>
          <w:sz w:val="22"/>
          <w:szCs w:val="22"/>
          <w:lang w:val="es-CL" w:bidi="ar-SA"/>
        </w:rPr>
      </w:pPr>
      <w:r>
        <w:rPr>
          <w:rFonts w:ascii="Calibri" w:eastAsia="Calibri" w:hAnsi="Calibri" w:cs="Times New Roman"/>
          <w:sz w:val="22"/>
          <w:szCs w:val="22"/>
          <w:lang w:val="es-CL" w:bidi="ar-SA"/>
        </w:rPr>
        <w:t>D</w:t>
      </w:r>
      <w:r w:rsidR="00380142" w:rsidRPr="00380142">
        <w:rPr>
          <w:rFonts w:ascii="Calibri" w:eastAsia="Calibri" w:hAnsi="Calibri" w:cs="Times New Roman"/>
          <w:sz w:val="22"/>
          <w:szCs w:val="22"/>
          <w:lang w:val="es-CL" w:bidi="ar-SA"/>
        </w:rPr>
        <w:t>entro de esta causa se incluye aprovechamiento de madera, leña y otros productos del bosque. En este contexto, el aprovechamiento no sostenible de recursos forestales incluye: i) la tala ilegal, ii) sobre aprovechamiento de planes de manejo (licencias) y iii) aprovechamiento no regulado de productos forestales que no requieren de una licencia</w:t>
      </w:r>
      <w:r w:rsidR="00380142" w:rsidRPr="00380142">
        <w:rPr>
          <w:rFonts w:ascii="Calibri" w:eastAsia="Calibri" w:hAnsi="Calibri" w:cs="Times New Roman"/>
          <w:sz w:val="22"/>
          <w:szCs w:val="22"/>
          <w:vertAlign w:val="superscript"/>
          <w:lang w:val="es-CL" w:bidi="ar-SA"/>
        </w:rPr>
        <w:footnoteReference w:id="4"/>
      </w:r>
      <w:r w:rsidR="00380142" w:rsidRPr="00380142">
        <w:rPr>
          <w:rFonts w:ascii="Calibri" w:eastAsia="Calibri" w:hAnsi="Calibri" w:cs="Times New Roman"/>
          <w:sz w:val="22"/>
          <w:szCs w:val="22"/>
          <w:vertAlign w:val="superscript"/>
          <w:lang w:val="es-CL" w:bidi="ar-SA"/>
        </w:rPr>
        <w:t>,</w:t>
      </w:r>
      <w:r w:rsidR="00380142" w:rsidRPr="00380142">
        <w:rPr>
          <w:rFonts w:ascii="Calibri" w:eastAsia="Calibri" w:hAnsi="Calibri" w:cs="Times New Roman"/>
          <w:sz w:val="22"/>
          <w:szCs w:val="22"/>
          <w:vertAlign w:val="superscript"/>
          <w:lang w:val="es-CL" w:bidi="ar-SA"/>
        </w:rPr>
        <w:footnoteReference w:id="5"/>
      </w:r>
      <w:r w:rsidR="00380142" w:rsidRPr="00380142">
        <w:rPr>
          <w:rFonts w:ascii="Calibri" w:eastAsia="Calibri" w:hAnsi="Calibri" w:cs="Times New Roman"/>
          <w:sz w:val="22"/>
          <w:szCs w:val="22"/>
          <w:lang w:val="es-CL" w:bidi="ar-SA"/>
        </w:rPr>
        <w:t>(CONAP, 2012 e INAB, 2015).</w:t>
      </w:r>
    </w:p>
    <w:p w14:paraId="38128FC0" w14:textId="76CF1CC0" w:rsidR="00380142" w:rsidRPr="00380142" w:rsidRDefault="003C11A1" w:rsidP="00380142">
      <w:pPr>
        <w:spacing w:after="160" w:line="259" w:lineRule="auto"/>
        <w:rPr>
          <w:rFonts w:ascii="Calibri" w:eastAsia="Calibri" w:hAnsi="Calibri" w:cs="Times New Roman"/>
          <w:sz w:val="22"/>
          <w:szCs w:val="22"/>
          <w:lang w:val="es-CL" w:bidi="ar-SA"/>
        </w:rPr>
      </w:pPr>
      <w:r w:rsidRPr="00516523">
        <w:rPr>
          <w:noProof/>
        </w:rPr>
        <mc:AlternateContent>
          <mc:Choice Requires="wps">
            <w:drawing>
              <wp:anchor distT="45720" distB="45720" distL="114300" distR="114300" simplePos="0" relativeHeight="251686912" behindDoc="0" locked="0" layoutInCell="1" allowOverlap="1" wp14:anchorId="3D9AD311" wp14:editId="1937091A">
                <wp:simplePos x="0" y="0"/>
                <wp:positionH relativeFrom="margin">
                  <wp:posOffset>2876550</wp:posOffset>
                </wp:positionH>
                <wp:positionV relativeFrom="paragraph">
                  <wp:posOffset>625797</wp:posOffset>
                </wp:positionV>
                <wp:extent cx="2778125" cy="1506855"/>
                <wp:effectExtent l="0" t="0" r="3175" b="0"/>
                <wp:wrapThrough wrapText="bothSides">
                  <wp:wrapPolygon edited="0">
                    <wp:start x="0" y="0"/>
                    <wp:lineTo x="0" y="21300"/>
                    <wp:lineTo x="21477" y="21300"/>
                    <wp:lineTo x="21477" y="0"/>
                    <wp:lineTo x="0" y="0"/>
                  </wp:wrapPolygon>
                </wp:wrapThrough>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125" cy="1506855"/>
                        </a:xfrm>
                        <a:prstGeom prst="rect">
                          <a:avLst/>
                        </a:prstGeom>
                        <a:solidFill>
                          <a:srgbClr val="FFFFFF"/>
                        </a:solidFill>
                        <a:ln w="9525">
                          <a:noFill/>
                          <a:miter lim="800000"/>
                          <a:headEnd/>
                          <a:tailEnd/>
                        </a:ln>
                      </wps:spPr>
                      <wps:txbx>
                        <w:txbxContent>
                          <w:p w14:paraId="1ADB064F" w14:textId="294165BC" w:rsidR="003C11A1" w:rsidRPr="003C11A1" w:rsidRDefault="003C11A1" w:rsidP="003C11A1">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C11A1">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Degradación de bosques (superficie) por aprovechamien</w:t>
                            </w:r>
                            <w: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to no sostenible de los recursos forestales </w:t>
                            </w:r>
                            <w:r w:rsidRPr="003C11A1">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(2006-2016):</w:t>
                            </w:r>
                          </w:p>
                          <w:p w14:paraId="5F8DB28E" w14:textId="77777777" w:rsidR="003C11A1" w:rsidRPr="001D0229" w:rsidRDefault="003C11A1"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169,724</w:t>
                            </w: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ha en Guatemala</w:t>
                            </w:r>
                          </w:p>
                          <w:p w14:paraId="5A07D1B8" w14:textId="77777777" w:rsidR="003C11A1" w:rsidRPr="003C11A1" w:rsidRDefault="003C11A1" w:rsidP="00AF63FB">
                            <w:pPr>
                              <w:pStyle w:val="Prrafodelista"/>
                              <w:numPr>
                                <w:ilvl w:val="0"/>
                                <w:numId w:val="3"/>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C11A1">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52,739 ha en los municipios priorizados por el FIP.</w:t>
                            </w:r>
                          </w:p>
                          <w:p w14:paraId="79055B67" w14:textId="77777777" w:rsidR="003C11A1" w:rsidRPr="001D0229" w:rsidRDefault="003C11A1"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49,869 ha en Areas Protegidas.</w:t>
                            </w:r>
                          </w:p>
                          <w:p w14:paraId="5D907D45" w14:textId="77777777" w:rsidR="003C11A1" w:rsidRPr="001D0229" w:rsidRDefault="003C11A1"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19,178 ha en Proyectos REDD+ </w:t>
                            </w:r>
                          </w:p>
                          <w:p w14:paraId="0B22ADD7" w14:textId="77777777" w:rsidR="003C11A1" w:rsidRPr="001D0229" w:rsidRDefault="003C11A1" w:rsidP="003C11A1">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AD311" id="_x0000_s1031" type="#_x0000_t202" style="position:absolute;left:0;text-align:left;margin-left:226.5pt;margin-top:49.3pt;width:218.75pt;height:118.6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" stroked="f">
                <v:textbox>
                  <w:txbxContent>
                    <w:p w14:paraId="1ADB064F" w14:textId="294165BC" w:rsidR="003C11A1" w:rsidRPr="003C11A1" w:rsidRDefault="003C11A1" w:rsidP="003C11A1">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C11A1">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Degradación de bosques (superficie) por aprovechamien</w:t>
                      </w:r>
                      <w: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to no sostenible de los recursos forestales </w:t>
                      </w:r>
                      <w:r w:rsidRPr="003C11A1">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(2006-2016):</w:t>
                      </w:r>
                    </w:p>
                    <w:p w14:paraId="5F8DB28E" w14:textId="77777777" w:rsidR="003C11A1" w:rsidRPr="001D0229" w:rsidRDefault="003C11A1"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169,724</w:t>
                      </w: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ha en Guatemala</w:t>
                      </w:r>
                    </w:p>
                    <w:p w14:paraId="5A07D1B8" w14:textId="77777777" w:rsidR="003C11A1" w:rsidRPr="003C11A1" w:rsidRDefault="003C11A1" w:rsidP="00AF63FB">
                      <w:pPr>
                        <w:pStyle w:val="Prrafodelista"/>
                        <w:numPr>
                          <w:ilvl w:val="0"/>
                          <w:numId w:val="3"/>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C11A1">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52,739 ha en los municipios priorizados por el FIP.</w:t>
                      </w:r>
                    </w:p>
                    <w:p w14:paraId="79055B67" w14:textId="77777777" w:rsidR="003C11A1" w:rsidRPr="001D0229" w:rsidRDefault="003C11A1"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49,869 ha en Areas Protegidas.</w:t>
                      </w:r>
                    </w:p>
                    <w:p w14:paraId="5D907D45" w14:textId="77777777" w:rsidR="003C11A1" w:rsidRPr="001D0229" w:rsidRDefault="003C11A1"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19,178 ha en Proyectos REDD+ </w:t>
                      </w:r>
                    </w:p>
                    <w:p w14:paraId="0B22ADD7" w14:textId="77777777" w:rsidR="003C11A1" w:rsidRPr="001D0229" w:rsidRDefault="003C11A1" w:rsidP="003C11A1">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p>
                  </w:txbxContent>
                </v:textbox>
                <w10:wrap type="through" anchorx="margin"/>
              </v:shape>
            </w:pict>
          </mc:Fallback>
        </mc:AlternateContent>
      </w:r>
      <w:r w:rsidR="00380142" w:rsidRPr="00380142">
        <w:rPr>
          <w:rFonts w:ascii="Calibri" w:eastAsia="Calibri" w:hAnsi="Calibri" w:cs="Times New Roman"/>
          <w:sz w:val="22"/>
          <w:szCs w:val="22"/>
          <w:lang w:val="es-CL" w:bidi="ar-SA"/>
        </w:rPr>
        <w:t xml:space="preserve">Es importante mencionar que el 95% de la madera y leña que entra a la economía es no regulada (controlada), lo cual incluye los volúmenes aprovechados por la industria de transformación (URL-IARNA, 2009b). Además, se estiman que dos terceras partes de la madera que se procesa en el país son de origen no controlado (INAB, 2010). </w:t>
      </w:r>
    </w:p>
    <w:p w14:paraId="3B219CA2" w14:textId="2D2DFC03"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El alto porcentaje de extracción no sostenible y mayormente ilegal evidencia las limitaciones del instrumento de comando y control de la política forestal (FAO, 2012). En este contexto, los delitos en contra de los recursos forestales ya sean infracciones a la Ley de Áreas Protegidas o la Ley Forestal, se dan con mayor recurrencia en Petén, Izabal, Sololá, Alta Verapaz y San Marcos (INAB, 2015).</w:t>
      </w:r>
    </w:p>
    <w:p w14:paraId="1382C234"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lastRenderedPageBreak/>
        <w:t>Además de Petén, en las regiones Noroccidente, Suroccidente y Norte existen pérdidas grandes de bosques debido a esta causa.</w:t>
      </w:r>
    </w:p>
    <w:p w14:paraId="1A610615"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shd w:val="clear" w:color="auto" w:fill="CC3300"/>
          <w:lang w:val="es-GT" w:eastAsia="es-GT" w:bidi="ar-SA"/>
        </w:rPr>
        <w:drawing>
          <wp:inline distT="0" distB="0" distL="0" distR="0" wp14:anchorId="3F20A26C" wp14:editId="1B7B33BF">
            <wp:extent cx="5578475" cy="3128790"/>
            <wp:effectExtent l="0" t="0" r="3175" b="14605"/>
            <wp:docPr id="21" name="Gráfico 21">
              <a:extLst xmlns:a="http://schemas.openxmlformats.org/drawingml/2006/main">
                <a:ext uri="{FF2B5EF4-FFF2-40B4-BE49-F238E27FC236}">
                  <a16:creationId xmlns:a16="http://schemas.microsoft.com/office/drawing/2014/main" id="{BFFDF2E4-5A36-435E-8303-500338F6D6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7330828" w14:textId="3B5B3D07" w:rsidR="00380142" w:rsidRPr="00380142" w:rsidRDefault="00380142" w:rsidP="00380142">
      <w:pPr>
        <w:pBdr>
          <w:top w:val="single" w:sz="4" w:space="1" w:color="auto"/>
          <w:bottom w:val="single" w:sz="4" w:space="1" w:color="auto"/>
        </w:pBdr>
        <w:spacing w:after="0"/>
        <w:ind w:left="851" w:hanging="851"/>
        <w:jc w:val="left"/>
        <w:rPr>
          <w:rFonts w:ascii="Calibri" w:eastAsia="Calibri" w:hAnsi="Calibri" w:cs="Times New Roman"/>
          <w:i/>
          <w:iCs/>
          <w:smallCaps/>
          <w:sz w:val="18"/>
          <w:lang w:val="es-HN" w:eastAsia="es-ES_tradnl" w:bidi="ar-SA"/>
        </w:rPr>
      </w:pPr>
      <w:r w:rsidRPr="00380142">
        <w:rPr>
          <w:rFonts w:ascii="Calibri" w:eastAsia="Calibri" w:hAnsi="Calibri" w:cs="Times New Roman"/>
          <w:i/>
          <w:iCs/>
          <w:smallCaps/>
          <w:sz w:val="18"/>
          <w:lang w:val="es-HN" w:eastAsia="es-ES_tradnl" w:bidi="ar-SA"/>
        </w:rPr>
        <w:t xml:space="preserve">Figura </w:t>
      </w:r>
      <w:r w:rsidRPr="00380142">
        <w:rPr>
          <w:rFonts w:ascii="Calibri" w:eastAsia="Calibri" w:hAnsi="Calibri" w:cs="Times New Roman"/>
          <w:i/>
          <w:iCs/>
          <w:smallCaps/>
          <w:sz w:val="18"/>
          <w:lang w:val="es-HN" w:eastAsia="es-ES_tradnl" w:bidi="ar-SA"/>
        </w:rPr>
        <w:fldChar w:fldCharType="begin"/>
      </w:r>
      <w:r w:rsidRPr="00380142">
        <w:rPr>
          <w:rFonts w:ascii="Calibri" w:eastAsia="Calibri" w:hAnsi="Calibri" w:cs="Times New Roman"/>
          <w:i/>
          <w:iCs/>
          <w:smallCaps/>
          <w:sz w:val="18"/>
          <w:lang w:val="es-HN" w:eastAsia="es-ES_tradnl" w:bidi="ar-SA"/>
        </w:rPr>
        <w:instrText xml:space="preserve"> SEQ Figura \* ARABIC </w:instrText>
      </w:r>
      <w:r w:rsidRPr="00380142">
        <w:rPr>
          <w:rFonts w:ascii="Calibri" w:eastAsia="Calibri" w:hAnsi="Calibri" w:cs="Times New Roman"/>
          <w:i/>
          <w:iCs/>
          <w:smallCaps/>
          <w:sz w:val="18"/>
          <w:lang w:val="es-HN" w:eastAsia="es-ES_tradnl" w:bidi="ar-SA"/>
        </w:rPr>
        <w:fldChar w:fldCharType="separate"/>
      </w:r>
      <w:r w:rsidR="003C11A1">
        <w:rPr>
          <w:rFonts w:ascii="Calibri" w:eastAsia="Calibri" w:hAnsi="Calibri" w:cs="Times New Roman"/>
          <w:i/>
          <w:iCs/>
          <w:smallCaps/>
          <w:noProof/>
          <w:sz w:val="18"/>
          <w:lang w:val="es-HN" w:eastAsia="es-ES_tradnl" w:bidi="ar-SA"/>
        </w:rPr>
        <w:t>3</w:t>
      </w:r>
      <w:r w:rsidRPr="00380142">
        <w:rPr>
          <w:rFonts w:ascii="Calibri" w:eastAsia="Calibri" w:hAnsi="Calibri" w:cs="Times New Roman"/>
          <w:i/>
          <w:iCs/>
          <w:smallCaps/>
          <w:sz w:val="18"/>
          <w:lang w:val="es-HN" w:eastAsia="es-ES_tradnl" w:bidi="ar-SA"/>
        </w:rPr>
        <w:fldChar w:fldCharType="end"/>
      </w:r>
      <w:r w:rsidRPr="00380142">
        <w:rPr>
          <w:rFonts w:ascii="Calibri" w:eastAsia="Calibri" w:hAnsi="Calibri" w:cs="Times New Roman"/>
          <w:i/>
          <w:iCs/>
          <w:smallCaps/>
          <w:sz w:val="18"/>
          <w:lang w:val="es-HN" w:eastAsia="es-ES_tradnl" w:bidi="ar-SA"/>
        </w:rPr>
        <w:t>. Deforestación por aprovechamiento no sostenible de producto forestales (2006-2016) según región de Guatemala</w:t>
      </w:r>
    </w:p>
    <w:p w14:paraId="6E84BFE7" w14:textId="694B7E99" w:rsidR="00380142" w:rsidRPr="00380142" w:rsidRDefault="003C11A1" w:rsidP="003C11A1">
      <w:pPr>
        <w:pBdr>
          <w:bottom w:val="single" w:sz="4" w:space="1" w:color="auto"/>
        </w:pBdr>
        <w:spacing w:before="40"/>
        <w:rPr>
          <w:rFonts w:ascii="Calibri" w:eastAsia="Calibri" w:hAnsi="Calibri" w:cs="Times New Roman"/>
          <w:i/>
          <w:iCs/>
          <w:sz w:val="16"/>
          <w:szCs w:val="16"/>
          <w:lang w:val="es-CL"/>
        </w:rPr>
      </w:pPr>
      <w:r w:rsidRPr="00380142">
        <w:rPr>
          <w:rFonts w:ascii="Calibri" w:eastAsia="Calibri" w:hAnsi="Calibri" w:cs="Times New Roman"/>
          <w:noProof/>
          <w:sz w:val="22"/>
          <w:szCs w:val="22"/>
          <w:lang w:val="es-CL" w:bidi="ar-SA"/>
        </w:rPr>
        <mc:AlternateContent>
          <mc:Choice Requires="wps">
            <w:drawing>
              <wp:anchor distT="45720" distB="45720" distL="114300" distR="114300" simplePos="0" relativeHeight="251681792" behindDoc="0" locked="0" layoutInCell="1" allowOverlap="1" wp14:anchorId="4A5BFF60" wp14:editId="517E4DA2">
                <wp:simplePos x="0" y="0"/>
                <wp:positionH relativeFrom="margin">
                  <wp:align>left</wp:align>
                </wp:positionH>
                <wp:positionV relativeFrom="paragraph">
                  <wp:posOffset>400685</wp:posOffset>
                </wp:positionV>
                <wp:extent cx="5610225" cy="1574800"/>
                <wp:effectExtent l="0" t="0" r="28575" b="25400"/>
                <wp:wrapThrough wrapText="bothSides">
                  <wp:wrapPolygon edited="0">
                    <wp:start x="0" y="0"/>
                    <wp:lineTo x="0" y="21687"/>
                    <wp:lineTo x="21637" y="21687"/>
                    <wp:lineTo x="21637" y="0"/>
                    <wp:lineTo x="0" y="0"/>
                  </wp:wrapPolygon>
                </wp:wrapThrough>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575412"/>
                        </a:xfrm>
                        <a:prstGeom prst="rect">
                          <a:avLst/>
                        </a:prstGeom>
                        <a:solidFill>
                          <a:srgbClr val="FFFFFF"/>
                        </a:solidFill>
                        <a:ln w="9525">
                          <a:solidFill>
                            <a:srgbClr val="996600"/>
                          </a:solidFill>
                          <a:prstDash val="dashDot"/>
                          <a:miter lim="800000"/>
                          <a:headEnd/>
                          <a:tailEnd/>
                        </a:ln>
                      </wps:spPr>
                      <wps:txbx>
                        <w:txbxContent>
                          <w:p w14:paraId="24D09E22" w14:textId="77777777" w:rsidR="00380142" w:rsidRPr="00380142" w:rsidRDefault="00380142" w:rsidP="00380142">
                            <w:pPr>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Causas subyacentes que refuerzan el aprovechamiento no sostenible de productos forestales a nivel nacional son.</w:t>
                            </w:r>
                          </w:p>
                          <w:p w14:paraId="724F4D40"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Alta demanda ilegal (no regulada) de madera y leña.</w:t>
                            </w:r>
                          </w:p>
                          <w:p w14:paraId="6753745A"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Alto valor comercial de algunas especies forestales.</w:t>
                            </w:r>
                          </w:p>
                          <w:p w14:paraId="07A39450"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Alta dependencia de leña como combustible por poblaciones rurales.</w:t>
                            </w:r>
                          </w:p>
                          <w:p w14:paraId="297D7EF4"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Debilidad en gobernanza y coordinación interinstitucional del sector forestal. </w:t>
                            </w:r>
                          </w:p>
                          <w:p w14:paraId="78D9DE7A" w14:textId="651B13A6" w:rsidR="00380142" w:rsidRPr="003C11A1" w:rsidRDefault="00380142" w:rsidP="00AF63FB">
                            <w:pPr>
                              <w:pStyle w:val="Prrafodelista"/>
                              <w:numPr>
                                <w:ilvl w:val="0"/>
                                <w:numId w:val="7"/>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Deficiente aplicación de normativa ambiental en delitos contra los recursos forestales. </w:t>
                            </w: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Penas débiles en contra de los infractores</w:t>
                            </w:r>
                            <w:r w:rsidR="003C11A1">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BFF60" id="_x0000_s1032" type="#_x0000_t202" style="position:absolute;left:0;text-align:left;margin-left:0;margin-top:31.55pt;width:441.75pt;height:124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" strokecolor="#960">
                <v:stroke dashstyle="dashDot"/>
                <v:textbox>
                  <w:txbxContent>
                    <w:p w14:paraId="24D09E22" w14:textId="77777777" w:rsidR="00380142" w:rsidRPr="00380142" w:rsidRDefault="00380142" w:rsidP="00380142">
                      <w:pPr>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Causas subyacentes que refuerzan el aprovechamiento no sostenible de productos forestales a nivel nacional son.</w:t>
                      </w:r>
                    </w:p>
                    <w:p w14:paraId="724F4D40"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Alta demanda ilegal (no regulada) de madera y leña.</w:t>
                      </w:r>
                    </w:p>
                    <w:p w14:paraId="6753745A"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Alto valor comercial de algunas especies forestales.</w:t>
                      </w:r>
                    </w:p>
                    <w:p w14:paraId="07A39450"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Alta dependencia de leña como combustible por poblaciones rurales.</w:t>
                      </w:r>
                    </w:p>
                    <w:p w14:paraId="297D7EF4"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Debilidad en gobernanza y coordinación interinstitucional del sector forestal. </w:t>
                      </w:r>
                    </w:p>
                    <w:p w14:paraId="78D9DE7A" w14:textId="651B13A6" w:rsidR="00380142" w:rsidRPr="003C11A1" w:rsidRDefault="00380142" w:rsidP="00AF63FB">
                      <w:pPr>
                        <w:pStyle w:val="Prrafodelista"/>
                        <w:numPr>
                          <w:ilvl w:val="0"/>
                          <w:numId w:val="7"/>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Deficiente aplicación de normativa ambiental en delitos contra los recursos forestales. </w:t>
                      </w: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Penas débiles en contra de los infractores</w:t>
                      </w:r>
                      <w:r w:rsidR="003C11A1">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w:t>
                      </w:r>
                    </w:p>
                  </w:txbxContent>
                </v:textbox>
                <w10:wrap type="through" anchorx="margin"/>
              </v:shape>
            </w:pict>
          </mc:Fallback>
        </mc:AlternateContent>
      </w:r>
      <w:r w:rsidR="00380142" w:rsidRPr="00380142">
        <w:rPr>
          <w:rFonts w:ascii="Calibri" w:eastAsia="Calibri" w:hAnsi="Calibri" w:cs="Times New Roman"/>
          <w:i/>
          <w:iCs/>
          <w:sz w:val="16"/>
          <w:szCs w:val="16"/>
          <w:lang w:val="es-CL"/>
        </w:rPr>
        <w:t>Fuente: Elaboración propia con base en puntos Collect Earth</w:t>
      </w:r>
    </w:p>
    <w:p w14:paraId="75C305C3" w14:textId="77777777" w:rsidR="00380142" w:rsidRPr="00380142" w:rsidRDefault="00380142" w:rsidP="00380142">
      <w:pPr>
        <w:spacing w:after="160" w:line="259" w:lineRule="auto"/>
        <w:rPr>
          <w:rFonts w:ascii="Calibri" w:eastAsia="Calibri" w:hAnsi="Calibri" w:cs="Times New Roman"/>
          <w:sz w:val="22"/>
          <w:szCs w:val="22"/>
          <w:lang w:val="es-CL" w:bidi="ar-SA"/>
        </w:rPr>
      </w:pPr>
    </w:p>
    <w:p w14:paraId="55C10BFD" w14:textId="77777777" w:rsidR="00380142" w:rsidRPr="00380142" w:rsidRDefault="00380142" w:rsidP="00380142">
      <w:pPr>
        <w:spacing w:after="160" w:line="259" w:lineRule="auto"/>
        <w:ind w:left="720"/>
        <w:contextualSpacing/>
        <w:rPr>
          <w:rFonts w:ascii="Calibri" w:eastAsia="Calibri" w:hAnsi="Calibri" w:cs="Times New Roman"/>
          <w:sz w:val="22"/>
          <w:szCs w:val="22"/>
          <w:lang w:val="es-CL" w:bidi="ar-SA"/>
        </w:rPr>
      </w:pPr>
    </w:p>
    <w:p w14:paraId="69F5D661" w14:textId="77777777" w:rsidR="00380142" w:rsidRPr="00380142" w:rsidRDefault="00380142" w:rsidP="00380142">
      <w:pPr>
        <w:spacing w:after="160" w:line="259" w:lineRule="auto"/>
        <w:ind w:left="720"/>
        <w:contextualSpacing/>
        <w:rPr>
          <w:rFonts w:ascii="Calibri" w:eastAsia="Calibri" w:hAnsi="Calibri" w:cs="Times New Roman"/>
          <w:sz w:val="22"/>
          <w:szCs w:val="22"/>
          <w:lang w:val="es-CL" w:bidi="ar-SA"/>
        </w:rPr>
      </w:pPr>
    </w:p>
    <w:p w14:paraId="172E2F8B" w14:textId="37A04F0C" w:rsidR="00380142" w:rsidRPr="003C11A1" w:rsidRDefault="003C11A1" w:rsidP="00AF63FB">
      <w:pPr>
        <w:pStyle w:val="Prrafodelista"/>
        <w:numPr>
          <w:ilvl w:val="0"/>
          <w:numId w:val="9"/>
        </w:numPr>
        <w:rPr>
          <w:rFonts w:ascii="Calibri" w:eastAsia="Calibri" w:hAnsi="Calibri" w:cs="Times New Roman"/>
          <w:smallCaps/>
          <w:spacing w:val="5"/>
          <w:sz w:val="22"/>
          <w:szCs w:val="22"/>
          <w:u w:val="single"/>
          <w:lang w:val="es-ES"/>
        </w:rPr>
      </w:pPr>
      <w:bookmarkStart w:id="7" w:name="_Toc39711591"/>
      <w:r>
        <w:rPr>
          <w:rFonts w:ascii="Calibri" w:eastAsia="Calibri" w:hAnsi="Calibri" w:cs="Times New Roman"/>
          <w:smallCaps/>
          <w:spacing w:val="5"/>
          <w:sz w:val="22"/>
          <w:szCs w:val="22"/>
          <w:u w:val="single"/>
          <w:lang w:val="es-ES"/>
        </w:rPr>
        <w:t xml:space="preserve">Deforestación por </w:t>
      </w:r>
      <w:r w:rsidR="00380142" w:rsidRPr="003C11A1">
        <w:rPr>
          <w:rFonts w:ascii="Calibri" w:eastAsia="Calibri" w:hAnsi="Calibri" w:cs="Times New Roman"/>
          <w:smallCaps/>
          <w:spacing w:val="5"/>
          <w:sz w:val="22"/>
          <w:szCs w:val="22"/>
          <w:u w:val="single"/>
          <w:lang w:val="es-ES"/>
        </w:rPr>
        <w:t>Expansión de la actividad ganadera</w:t>
      </w:r>
      <w:bookmarkEnd w:id="7"/>
    </w:p>
    <w:p w14:paraId="61E294FA"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La masa ganadera bovina, durante el período 2006-2016 incrementó de 2.67 millones a 3.76 millones de cabezas de ganado</w:t>
      </w:r>
      <w:r w:rsidRPr="00380142">
        <w:rPr>
          <w:rFonts w:ascii="Calibri" w:eastAsia="Calibri" w:hAnsi="Calibri" w:cs="Times New Roman"/>
          <w:sz w:val="22"/>
          <w:szCs w:val="22"/>
          <w:vertAlign w:val="superscript"/>
          <w:lang w:val="es-CL" w:bidi="ar-SA"/>
        </w:rPr>
        <w:footnoteReference w:id="6"/>
      </w:r>
      <w:r w:rsidRPr="00380142">
        <w:rPr>
          <w:rFonts w:ascii="Calibri" w:eastAsia="Calibri" w:hAnsi="Calibri" w:cs="Times New Roman"/>
          <w:sz w:val="22"/>
          <w:szCs w:val="22"/>
          <w:lang w:val="es-CL" w:bidi="ar-SA"/>
        </w:rPr>
        <w:t xml:space="preserve">. El incremento en la masa ganadera de Guatemala ha conllevado el incremente de superficie de pastos en 429,600 ha durante el período 2003-2014 (INE, 2015).  </w:t>
      </w:r>
    </w:p>
    <w:p w14:paraId="4C7A1E79"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lang w:val="es-CL" w:bidi="ar-SA"/>
        </w:rPr>
        <w:lastRenderedPageBreak/>
        <mc:AlternateContent>
          <mc:Choice Requires="wps">
            <w:drawing>
              <wp:anchor distT="45720" distB="45720" distL="114300" distR="114300" simplePos="0" relativeHeight="251672576" behindDoc="0" locked="0" layoutInCell="1" allowOverlap="1" wp14:anchorId="0E61D66C" wp14:editId="5A6BA37B">
                <wp:simplePos x="0" y="0"/>
                <wp:positionH relativeFrom="margin">
                  <wp:align>right</wp:align>
                </wp:positionH>
                <wp:positionV relativeFrom="paragraph">
                  <wp:posOffset>1173480</wp:posOffset>
                </wp:positionV>
                <wp:extent cx="2596515" cy="1836420"/>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515" cy="1837038"/>
                        </a:xfrm>
                        <a:prstGeom prst="rect">
                          <a:avLst/>
                        </a:prstGeom>
                        <a:solidFill>
                          <a:srgbClr val="FFFFFF"/>
                        </a:solidFill>
                        <a:ln w="9525">
                          <a:noFill/>
                          <a:miter lim="800000"/>
                          <a:headEnd/>
                          <a:tailEnd/>
                        </a:ln>
                      </wps:spPr>
                      <wps:txbx>
                        <w:txbxContent>
                          <w:p w14:paraId="776884E8"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Pérdidas de bosques (superficie) por expansión de actividad ganadera (2006-2016):</w:t>
                            </w:r>
                          </w:p>
                          <w:p w14:paraId="7FBF9EEE" w14:textId="77777777" w:rsidR="00380142" w:rsidRPr="007E3D7C"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130,409 ha en Guatemala</w:t>
                            </w:r>
                          </w:p>
                          <w:p w14:paraId="75410AF7" w14:textId="77777777" w:rsidR="00380142" w:rsidRPr="00380142" w:rsidRDefault="00380142" w:rsidP="00AF63FB">
                            <w:pPr>
                              <w:pStyle w:val="Prrafodelista"/>
                              <w:numPr>
                                <w:ilvl w:val="0"/>
                                <w:numId w:val="3"/>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53,698 ha en los municipios priorizados por el FIP.</w:t>
                            </w:r>
                          </w:p>
                          <w:p w14:paraId="5B4EA555" w14:textId="77777777" w:rsidR="00380142" w:rsidRPr="007E3D7C"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65,205 ha en Areas Protegidas.</w:t>
                            </w:r>
                          </w:p>
                          <w:p w14:paraId="7329949A" w14:textId="77777777" w:rsidR="00380142" w:rsidRPr="007E3D7C"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23,013 ha en Proyectos REDD+ </w:t>
                            </w:r>
                          </w:p>
                          <w:p w14:paraId="1D36D946" w14:textId="77777777" w:rsidR="00380142" w:rsidRPr="007E3D7C"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1D66C" id="_x0000_s1033" type="#_x0000_t202" style="position:absolute;left:0;text-align:left;margin-left:153.25pt;margin-top:92.4pt;width:204.45pt;height:144.6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" stroked="f">
                <v:textbox>
                  <w:txbxContent>
                    <w:p w14:paraId="776884E8"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Pérdidas de bosques (superficie) por expansión de actividad ganadera (2006-2016):</w:t>
                      </w:r>
                    </w:p>
                    <w:p w14:paraId="7FBF9EEE" w14:textId="77777777" w:rsidR="00380142" w:rsidRPr="007E3D7C"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130,409 ha en Guatemala</w:t>
                      </w:r>
                    </w:p>
                    <w:p w14:paraId="75410AF7" w14:textId="77777777" w:rsidR="00380142" w:rsidRPr="00380142" w:rsidRDefault="00380142" w:rsidP="00AF63FB">
                      <w:pPr>
                        <w:pStyle w:val="Prrafodelista"/>
                        <w:numPr>
                          <w:ilvl w:val="0"/>
                          <w:numId w:val="3"/>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53,698 ha en los municipios priorizados por el FIP.</w:t>
                      </w:r>
                    </w:p>
                    <w:p w14:paraId="5B4EA555" w14:textId="77777777" w:rsidR="00380142" w:rsidRPr="007E3D7C"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65,205 ha en Areas Protegidas.</w:t>
                      </w:r>
                    </w:p>
                    <w:p w14:paraId="7329949A" w14:textId="77777777" w:rsidR="00380142" w:rsidRPr="007E3D7C"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23,013 ha en Proyectos REDD+ </w:t>
                      </w:r>
                    </w:p>
                    <w:p w14:paraId="1D36D946" w14:textId="77777777" w:rsidR="00380142" w:rsidRPr="007E3D7C"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p>
                  </w:txbxContent>
                </v:textbox>
                <w10:wrap type="square" anchorx="margin"/>
              </v:shape>
            </w:pict>
          </mc:Fallback>
        </mc:AlternateContent>
      </w:r>
      <w:r w:rsidRPr="00380142">
        <w:rPr>
          <w:rFonts w:ascii="Calibri" w:eastAsia="Calibri" w:hAnsi="Calibri" w:cs="Times New Roman"/>
          <w:sz w:val="22"/>
          <w:szCs w:val="22"/>
          <w:lang w:val="es-CL" w:bidi="ar-SA"/>
        </w:rPr>
        <w:t>La mayoría de las fincas ganaderas tienen una extensión inferior a 40 hectáreas</w:t>
      </w:r>
      <w:r w:rsidRPr="00380142">
        <w:rPr>
          <w:rFonts w:ascii="Calibri" w:eastAsia="Calibri" w:hAnsi="Calibri" w:cs="Times New Roman"/>
          <w:sz w:val="22"/>
          <w:szCs w:val="22"/>
          <w:vertAlign w:val="superscript"/>
          <w:lang w:val="es-CL" w:bidi="ar-SA"/>
        </w:rPr>
        <w:footnoteReference w:id="7"/>
      </w:r>
      <w:r w:rsidRPr="00380142">
        <w:rPr>
          <w:rFonts w:ascii="Calibri" w:eastAsia="Calibri" w:hAnsi="Calibri" w:cs="Times New Roman"/>
          <w:sz w:val="22"/>
          <w:szCs w:val="22"/>
          <w:lang w:val="es-CL" w:bidi="ar-SA"/>
        </w:rPr>
        <w:t xml:space="preserve"> y cerca de 1.3 millones de cabezas de ganado son utilizadas para producción de leche no industrial con el 76% concentrado en la producción de autoconsumo (IICA, 2011) . En total, se estima que la producción del 98% de la leche del país proviene de hatos de menos de 50 vacas, teniendo esta actividad un gran arraigo rural, ya que alrededor de ella se desarrollan miles de pequeñas empresas familiares (MAGA, 2012) .</w:t>
      </w:r>
    </w:p>
    <w:p w14:paraId="03EFF821"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La expansión de actividad ganadera se clasifica en 2 tipos: i) ganadería y ii) sistemas silvopastoriles. En la última década, debido a los cambios del uso de la tierra y ante el avance de los cultivos intensivos de caña de azúcar, palma africana y hule en la costa sur, la ganadería migró a zonas de mayor fragilidad ambiental como el altiplano central, la planicie del Atlántico y el departamento de Petén ( MAGA, 2012) resultando en un alta pérdida de bosques en estas zonas.</w:t>
      </w:r>
    </w:p>
    <w:p w14:paraId="280EBA3E"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A nivel nacional se perdieron 130,409 ha por la expansión de la actividad ganadera, estando el 50% de estas pérdidas en áreas protegidas. Por su parte los proyecto REDD+ dan cuenta de un 18% de las pérdidas debido a esta causa, mientras que 41% de las pérdidas se encuentran en los municipios priorizados por el FIP.</w:t>
      </w:r>
    </w:p>
    <w:p w14:paraId="580BB576"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shd w:val="clear" w:color="auto" w:fill="CC3300"/>
          <w:lang w:val="es-CL" w:bidi="ar-SA"/>
        </w:rPr>
        <w:drawing>
          <wp:inline distT="0" distB="0" distL="0" distR="0" wp14:anchorId="6E6B9300" wp14:editId="5508390D">
            <wp:extent cx="5584825" cy="2985571"/>
            <wp:effectExtent l="0" t="0" r="15875" b="5715"/>
            <wp:docPr id="55" name="Gráfico 55">
              <a:extLst xmlns:a="http://schemas.openxmlformats.org/drawingml/2006/main">
                <a:ext uri="{FF2B5EF4-FFF2-40B4-BE49-F238E27FC236}">
                  <a16:creationId xmlns:a16="http://schemas.microsoft.com/office/drawing/2014/main" id="{1433F2BE-8E4E-42D3-919B-4958F82E50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43D6102" w14:textId="2D130A34" w:rsidR="00380142" w:rsidRPr="00380142" w:rsidRDefault="00380142" w:rsidP="00380142">
      <w:pPr>
        <w:pBdr>
          <w:top w:val="single" w:sz="4" w:space="1" w:color="auto"/>
          <w:bottom w:val="single" w:sz="4" w:space="1" w:color="auto"/>
        </w:pBdr>
        <w:spacing w:after="0"/>
        <w:ind w:left="851" w:hanging="851"/>
        <w:jc w:val="left"/>
        <w:rPr>
          <w:rFonts w:ascii="Calibri" w:eastAsia="Calibri" w:hAnsi="Calibri" w:cs="Times New Roman"/>
          <w:i/>
          <w:iCs/>
          <w:smallCaps/>
          <w:sz w:val="18"/>
          <w:lang w:val="es-HN" w:eastAsia="es-ES_tradnl" w:bidi="ar-SA"/>
        </w:rPr>
      </w:pPr>
      <w:bookmarkStart w:id="8" w:name="_Toc26896362"/>
      <w:r w:rsidRPr="00380142">
        <w:rPr>
          <w:rFonts w:ascii="Calibri" w:eastAsia="Calibri" w:hAnsi="Calibri" w:cs="Times New Roman"/>
          <w:i/>
          <w:iCs/>
          <w:smallCaps/>
          <w:sz w:val="18"/>
          <w:lang w:val="es-HN" w:eastAsia="es-ES_tradnl" w:bidi="ar-SA"/>
        </w:rPr>
        <w:t xml:space="preserve">Figura </w:t>
      </w:r>
      <w:r w:rsidRPr="00380142">
        <w:rPr>
          <w:rFonts w:ascii="Calibri" w:eastAsia="Calibri" w:hAnsi="Calibri" w:cs="Times New Roman"/>
          <w:i/>
          <w:iCs/>
          <w:smallCaps/>
          <w:sz w:val="18"/>
          <w:lang w:val="es-HN" w:eastAsia="es-ES_tradnl" w:bidi="ar-SA"/>
        </w:rPr>
        <w:fldChar w:fldCharType="begin"/>
      </w:r>
      <w:r w:rsidRPr="00380142">
        <w:rPr>
          <w:rFonts w:ascii="Calibri" w:eastAsia="Calibri" w:hAnsi="Calibri" w:cs="Times New Roman"/>
          <w:i/>
          <w:iCs/>
          <w:smallCaps/>
          <w:sz w:val="18"/>
          <w:lang w:val="es-HN" w:eastAsia="es-ES_tradnl" w:bidi="ar-SA"/>
        </w:rPr>
        <w:instrText xml:space="preserve"> SEQ Figura \* ARABIC </w:instrText>
      </w:r>
      <w:r w:rsidRPr="00380142">
        <w:rPr>
          <w:rFonts w:ascii="Calibri" w:eastAsia="Calibri" w:hAnsi="Calibri" w:cs="Times New Roman"/>
          <w:i/>
          <w:iCs/>
          <w:smallCaps/>
          <w:sz w:val="18"/>
          <w:lang w:val="es-HN" w:eastAsia="es-ES_tradnl" w:bidi="ar-SA"/>
        </w:rPr>
        <w:fldChar w:fldCharType="separate"/>
      </w:r>
      <w:r w:rsidR="003C11A1">
        <w:rPr>
          <w:rFonts w:ascii="Calibri" w:eastAsia="Calibri" w:hAnsi="Calibri" w:cs="Times New Roman"/>
          <w:i/>
          <w:iCs/>
          <w:smallCaps/>
          <w:noProof/>
          <w:sz w:val="18"/>
          <w:lang w:val="es-HN" w:eastAsia="es-ES_tradnl" w:bidi="ar-SA"/>
        </w:rPr>
        <w:t>4</w:t>
      </w:r>
      <w:r w:rsidRPr="00380142">
        <w:rPr>
          <w:rFonts w:ascii="Calibri" w:eastAsia="Calibri" w:hAnsi="Calibri" w:cs="Times New Roman"/>
          <w:i/>
          <w:iCs/>
          <w:smallCaps/>
          <w:sz w:val="18"/>
          <w:lang w:val="es-HN" w:eastAsia="es-ES_tradnl" w:bidi="ar-SA"/>
        </w:rPr>
        <w:fldChar w:fldCharType="end"/>
      </w:r>
      <w:r w:rsidRPr="00380142">
        <w:rPr>
          <w:rFonts w:ascii="Calibri" w:eastAsia="Calibri" w:hAnsi="Calibri" w:cs="Times New Roman"/>
          <w:i/>
          <w:iCs/>
          <w:smallCaps/>
          <w:sz w:val="18"/>
          <w:lang w:val="es-HN" w:eastAsia="es-ES_tradnl" w:bidi="ar-SA"/>
        </w:rPr>
        <w:t>. Pérdida de bosque por expansión de actividad ganadera por región en Guatemala</w:t>
      </w:r>
      <w:bookmarkEnd w:id="8"/>
    </w:p>
    <w:p w14:paraId="51BF6E34" w14:textId="77777777" w:rsidR="00380142" w:rsidRPr="00380142" w:rsidRDefault="00380142" w:rsidP="00380142">
      <w:pPr>
        <w:pBdr>
          <w:bottom w:val="single" w:sz="4" w:space="1" w:color="auto"/>
        </w:pBdr>
        <w:spacing w:before="40"/>
        <w:rPr>
          <w:rFonts w:ascii="Calibri" w:eastAsia="Calibri" w:hAnsi="Calibri" w:cs="Times New Roman"/>
          <w:i/>
          <w:iCs/>
          <w:sz w:val="16"/>
          <w:szCs w:val="16"/>
          <w:lang w:val="es-CL"/>
        </w:rPr>
      </w:pPr>
      <w:r w:rsidRPr="00380142">
        <w:rPr>
          <w:rFonts w:ascii="Calibri" w:eastAsia="Calibri" w:hAnsi="Calibri" w:cs="Times New Roman"/>
          <w:i/>
          <w:iCs/>
          <w:sz w:val="16"/>
          <w:szCs w:val="16"/>
          <w:lang w:val="es-CL"/>
        </w:rPr>
        <w:t>Fuente: Con base a Malla Collect Earth</w:t>
      </w:r>
    </w:p>
    <w:p w14:paraId="37F3B0FC" w14:textId="77777777" w:rsidR="00380142" w:rsidRPr="00380142" w:rsidRDefault="00380142" w:rsidP="00380142">
      <w:pPr>
        <w:spacing w:after="0" w:line="240" w:lineRule="auto"/>
        <w:contextualSpacing/>
        <w:jc w:val="left"/>
        <w:rPr>
          <w:rFonts w:ascii="Calibri" w:eastAsia="Times New Roman" w:hAnsi="Calibri" w:cs="Times New Roman"/>
          <w:sz w:val="22"/>
          <w:szCs w:val="22"/>
          <w:lang w:val="es-ES_tradnl" w:bidi="ar-SA"/>
        </w:rPr>
      </w:pPr>
      <w:r w:rsidRPr="00380142">
        <w:rPr>
          <w:rFonts w:ascii="Calibri" w:eastAsia="Calibri" w:hAnsi="Calibri" w:cs="Times New Roman"/>
          <w:noProof/>
          <w:sz w:val="22"/>
          <w:szCs w:val="22"/>
          <w:lang w:val="es-CL" w:bidi="ar-SA"/>
        </w:rPr>
        <w:lastRenderedPageBreak/>
        <mc:AlternateContent>
          <mc:Choice Requires="wps">
            <w:drawing>
              <wp:anchor distT="45720" distB="45720" distL="114300" distR="114300" simplePos="0" relativeHeight="251682816" behindDoc="0" locked="0" layoutInCell="1" allowOverlap="1" wp14:anchorId="27DF26CF" wp14:editId="46C7EEC0">
                <wp:simplePos x="0" y="0"/>
                <wp:positionH relativeFrom="margin">
                  <wp:align>left</wp:align>
                </wp:positionH>
                <wp:positionV relativeFrom="paragraph">
                  <wp:posOffset>232410</wp:posOffset>
                </wp:positionV>
                <wp:extent cx="5610225" cy="1982470"/>
                <wp:effectExtent l="0" t="0" r="28575" b="17780"/>
                <wp:wrapThrough wrapText="bothSides">
                  <wp:wrapPolygon edited="0">
                    <wp:start x="0" y="0"/>
                    <wp:lineTo x="0" y="21586"/>
                    <wp:lineTo x="21637" y="21586"/>
                    <wp:lineTo x="21637" y="0"/>
                    <wp:lineTo x="0" y="0"/>
                  </wp:wrapPolygon>
                </wp:wrapThrough>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983036"/>
                        </a:xfrm>
                        <a:prstGeom prst="rect">
                          <a:avLst/>
                        </a:prstGeom>
                        <a:solidFill>
                          <a:srgbClr val="FFFFFF"/>
                        </a:solidFill>
                        <a:ln w="9525">
                          <a:solidFill>
                            <a:srgbClr val="996600"/>
                          </a:solidFill>
                          <a:prstDash val="dashDot"/>
                          <a:miter lim="800000"/>
                          <a:headEnd/>
                          <a:tailEnd/>
                        </a:ln>
                      </wps:spPr>
                      <wps:txbx>
                        <w:txbxContent>
                          <w:p w14:paraId="3BF844D0" w14:textId="77777777" w:rsidR="00380142" w:rsidRPr="00380142" w:rsidRDefault="00380142" w:rsidP="00380142">
                            <w:pPr>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Causas subyacentes que refuerzan la expansión de la actividad ganadería a nivel nacional son.</w:t>
                            </w:r>
                          </w:p>
                          <w:p w14:paraId="3E74AB2A"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Uso de ganadería como fachada para la apropiación (usurpación) de tierras. </w:t>
                            </w:r>
                          </w:p>
                          <w:p w14:paraId="1CD74EAA"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Uso de ganadería como fachada para lavado de dinero y operaciones de contrabando.</w:t>
                            </w:r>
                          </w:p>
                          <w:p w14:paraId="0AF19286"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Incremento de demanda de productos ganaderos.</w:t>
                            </w:r>
                          </w:p>
                          <w:p w14:paraId="708ECC15"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Dependencia económica de esta actividad.</w:t>
                            </w:r>
                          </w:p>
                          <w:p w14:paraId="313844AE"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Bajo valor económico de los bienes y servicios del bosque.</w:t>
                            </w:r>
                          </w:p>
                          <w:p w14:paraId="56AF9536"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Falta de ordenamiento territorial.</w:t>
                            </w:r>
                          </w:p>
                          <w:p w14:paraId="28FC15D4"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Debilidad en gobernanza y coordinación interinstitucional.</w:t>
                            </w:r>
                          </w:p>
                          <w:p w14:paraId="69DE3E5B" w14:textId="77777777" w:rsidR="00380142" w:rsidRPr="00380142" w:rsidRDefault="00380142" w:rsidP="00AF63FB">
                            <w:pPr>
                              <w:pStyle w:val="Prrafodelista"/>
                              <w:numPr>
                                <w:ilvl w:val="0"/>
                                <w:numId w:val="7"/>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Deficiente aplicación de normativa ambiental en delitos contra los recursos forestales. </w:t>
                            </w: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Penas débiles en contra de los infractores.</w:t>
                            </w:r>
                          </w:p>
                          <w:p w14:paraId="0E0B08D2" w14:textId="77777777" w:rsidR="00380142" w:rsidRPr="00380142" w:rsidRDefault="00380142" w:rsidP="00380142">
                            <w:pPr>
                              <w:pStyle w:val="Prrafodelista"/>
                              <w:ind w:left="360"/>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F26CF" id="_x0000_s1034" type="#_x0000_t202" style="position:absolute;margin-left:0;margin-top:18.3pt;width:441.75pt;height:156.1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" strokecolor="#960">
                <v:stroke dashstyle="dashDot"/>
                <v:textbox>
                  <w:txbxContent>
                    <w:p w14:paraId="3BF844D0" w14:textId="77777777" w:rsidR="00380142" w:rsidRPr="00380142" w:rsidRDefault="00380142" w:rsidP="00380142">
                      <w:pPr>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Causas subyacentes que refuerzan la expansión de la actividad ganadería a nivel nacional son.</w:t>
                      </w:r>
                    </w:p>
                    <w:p w14:paraId="3E74AB2A"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Uso de ganadería como fachada para la apropiación (usurpación) de tierras. </w:t>
                      </w:r>
                    </w:p>
                    <w:p w14:paraId="1CD74EAA"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Uso de ganadería como fachada para lavado de dinero y operaciones de contrabando.</w:t>
                      </w:r>
                    </w:p>
                    <w:p w14:paraId="0AF19286"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Incremento de demanda de productos ganaderos.</w:t>
                      </w:r>
                    </w:p>
                    <w:p w14:paraId="708ECC15"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Dependencia económica de esta actividad.</w:t>
                      </w:r>
                    </w:p>
                    <w:p w14:paraId="313844AE"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Bajo valor económico de los bienes y servicios del bosque.</w:t>
                      </w:r>
                    </w:p>
                    <w:p w14:paraId="56AF9536"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Falta de ordenamiento territorial.</w:t>
                      </w:r>
                    </w:p>
                    <w:p w14:paraId="28FC15D4"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Debilidad en gobernanza y coordinación interinstitucional.</w:t>
                      </w:r>
                    </w:p>
                    <w:p w14:paraId="69DE3E5B" w14:textId="77777777" w:rsidR="00380142" w:rsidRPr="00380142" w:rsidRDefault="00380142" w:rsidP="00AF63FB">
                      <w:pPr>
                        <w:pStyle w:val="Prrafodelista"/>
                        <w:numPr>
                          <w:ilvl w:val="0"/>
                          <w:numId w:val="7"/>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Deficiente aplicación de normativa ambiental en delitos contra los recursos forestales. </w:t>
                      </w: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Penas débiles en contra de los infractores.</w:t>
                      </w:r>
                    </w:p>
                    <w:p w14:paraId="0E0B08D2" w14:textId="77777777" w:rsidR="00380142" w:rsidRPr="00380142" w:rsidRDefault="00380142" w:rsidP="00380142">
                      <w:pPr>
                        <w:pStyle w:val="Prrafodelista"/>
                        <w:ind w:left="360"/>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p>
                  </w:txbxContent>
                </v:textbox>
                <w10:wrap type="through" anchorx="margin"/>
              </v:shape>
            </w:pict>
          </mc:Fallback>
        </mc:AlternateContent>
      </w:r>
    </w:p>
    <w:p w14:paraId="1AD98333" w14:textId="77777777" w:rsidR="00380142" w:rsidRPr="00380142" w:rsidRDefault="00380142" w:rsidP="00380142">
      <w:pPr>
        <w:spacing w:after="0" w:line="240" w:lineRule="auto"/>
        <w:contextualSpacing/>
        <w:jc w:val="left"/>
        <w:rPr>
          <w:rFonts w:ascii="Calibri" w:eastAsia="Times New Roman" w:hAnsi="Calibri" w:cs="Times New Roman"/>
          <w:sz w:val="22"/>
          <w:szCs w:val="22"/>
          <w:lang w:val="es-ES_tradnl" w:bidi="ar-SA"/>
        </w:rPr>
      </w:pPr>
    </w:p>
    <w:p w14:paraId="258AF23A" w14:textId="0204439E" w:rsidR="00380142" w:rsidRPr="003C11A1" w:rsidRDefault="003C11A1" w:rsidP="00AF63FB">
      <w:pPr>
        <w:pStyle w:val="Prrafodelista"/>
        <w:numPr>
          <w:ilvl w:val="0"/>
          <w:numId w:val="9"/>
        </w:numPr>
        <w:rPr>
          <w:rFonts w:ascii="Calibri" w:eastAsia="Calibri" w:hAnsi="Calibri" w:cs="Times New Roman"/>
          <w:smallCaps/>
          <w:spacing w:val="5"/>
          <w:sz w:val="22"/>
          <w:szCs w:val="22"/>
          <w:u w:val="single"/>
          <w:lang w:val="es-ES"/>
        </w:rPr>
      </w:pPr>
      <w:bookmarkStart w:id="9" w:name="_Toc39711592"/>
      <w:r>
        <w:rPr>
          <w:rFonts w:ascii="Calibri" w:eastAsia="Calibri" w:hAnsi="Calibri" w:cs="Times New Roman"/>
          <w:smallCaps/>
          <w:spacing w:val="5"/>
          <w:sz w:val="22"/>
          <w:szCs w:val="22"/>
          <w:u w:val="single"/>
          <w:lang w:val="es-ES"/>
        </w:rPr>
        <w:t xml:space="preserve">Deforestación por </w:t>
      </w:r>
      <w:r w:rsidR="00380142" w:rsidRPr="003C11A1">
        <w:rPr>
          <w:rFonts w:ascii="Calibri" w:eastAsia="Calibri" w:hAnsi="Calibri" w:cs="Times New Roman"/>
          <w:smallCaps/>
          <w:spacing w:val="5"/>
          <w:sz w:val="22"/>
          <w:szCs w:val="22"/>
          <w:u w:val="single"/>
          <w:lang w:val="es-ES"/>
        </w:rPr>
        <w:t>Expansión de la actividad agrícola</w:t>
      </w:r>
      <w:bookmarkEnd w:id="9"/>
    </w:p>
    <w:p w14:paraId="5E7B6579"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El reemplazo de los bosques a causa de la expansión agrícola se da mayormente mediante cultivos anuales</w:t>
      </w:r>
      <w:r w:rsidRPr="00380142">
        <w:rPr>
          <w:rFonts w:ascii="Calibri" w:eastAsia="Calibri" w:hAnsi="Calibri" w:cs="Times New Roman"/>
          <w:sz w:val="22"/>
          <w:szCs w:val="22"/>
          <w:vertAlign w:val="superscript"/>
          <w:lang w:val="es-CL" w:bidi="ar-SA"/>
        </w:rPr>
        <w:footnoteReference w:id="8"/>
      </w:r>
      <w:r w:rsidRPr="00380142">
        <w:rPr>
          <w:rFonts w:ascii="Calibri" w:eastAsia="Calibri" w:hAnsi="Calibri" w:cs="Times New Roman"/>
          <w:sz w:val="22"/>
          <w:szCs w:val="22"/>
          <w:lang w:val="es-CL" w:bidi="ar-SA"/>
        </w:rPr>
        <w:t xml:space="preserve"> y sistemas agroforestales</w:t>
      </w:r>
      <w:r w:rsidRPr="00380142">
        <w:rPr>
          <w:rFonts w:ascii="Calibri" w:eastAsia="Calibri" w:hAnsi="Calibri" w:cs="Times New Roman"/>
          <w:sz w:val="22"/>
          <w:szCs w:val="22"/>
          <w:vertAlign w:val="superscript"/>
          <w:lang w:val="es-CL" w:bidi="ar-SA"/>
        </w:rPr>
        <w:footnoteReference w:id="9"/>
      </w:r>
      <w:r w:rsidRPr="00380142">
        <w:rPr>
          <w:rFonts w:ascii="Calibri" w:eastAsia="Calibri" w:hAnsi="Calibri" w:cs="Times New Roman"/>
          <w:sz w:val="22"/>
          <w:szCs w:val="22"/>
          <w:lang w:val="es-CL" w:bidi="ar-SA"/>
        </w:rPr>
        <w:t>. Paralelamente, existen 4 cultivos que tienen importancia individual como causas de deforestación, a saber: i) palma africana, ii) hule, iii) caña y iv) café (Figura 7).</w:t>
      </w:r>
    </w:p>
    <w:p w14:paraId="3EF0BAF5"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shd w:val="clear" w:color="auto" w:fill="333300"/>
          <w:lang w:val="es-CL" w:bidi="ar-SA"/>
        </w:rPr>
        <w:drawing>
          <wp:inline distT="0" distB="0" distL="0" distR="0" wp14:anchorId="620DE4D1" wp14:editId="247E94B3">
            <wp:extent cx="5486400" cy="3073706"/>
            <wp:effectExtent l="0" t="0" r="0" b="12700"/>
            <wp:docPr id="1" name="Gráfico 1">
              <a:extLst xmlns:a="http://schemas.openxmlformats.org/drawingml/2006/main">
                <a:ext uri="{FF2B5EF4-FFF2-40B4-BE49-F238E27FC236}">
                  <a16:creationId xmlns:a16="http://schemas.microsoft.com/office/drawing/2014/main" id="{45E83AFC-C3D8-4173-8472-B0DAB5046F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4412757" w14:textId="77777777" w:rsidR="00380142" w:rsidRPr="00380142" w:rsidRDefault="00380142" w:rsidP="00380142">
      <w:pPr>
        <w:pBdr>
          <w:top w:val="single" w:sz="4" w:space="1" w:color="auto"/>
          <w:bottom w:val="single" w:sz="4" w:space="1" w:color="auto"/>
        </w:pBdr>
        <w:spacing w:after="0"/>
        <w:ind w:left="851" w:hanging="851"/>
        <w:jc w:val="left"/>
        <w:rPr>
          <w:rFonts w:ascii="Calibri" w:eastAsia="Calibri" w:hAnsi="Calibri" w:cs="Times New Roman"/>
          <w:i/>
          <w:iCs/>
          <w:smallCaps/>
          <w:sz w:val="18"/>
          <w:lang w:val="es-HN" w:eastAsia="es-ES_tradnl" w:bidi="ar-SA"/>
        </w:rPr>
      </w:pPr>
      <w:bookmarkStart w:id="10" w:name="_Toc16091093"/>
      <w:bookmarkStart w:id="11" w:name="_Toc26896370"/>
      <w:r w:rsidRPr="00380142">
        <w:rPr>
          <w:rFonts w:ascii="Calibri" w:eastAsia="Calibri" w:hAnsi="Calibri" w:cs="Times New Roman"/>
          <w:i/>
          <w:iCs/>
          <w:smallCaps/>
          <w:sz w:val="18"/>
          <w:lang w:val="es-HN" w:eastAsia="es-ES_tradnl" w:bidi="ar-SA"/>
        </w:rPr>
        <w:t xml:space="preserve">Figura </w:t>
      </w:r>
      <w:r w:rsidRPr="00380142">
        <w:rPr>
          <w:rFonts w:ascii="Calibri" w:eastAsia="Calibri" w:hAnsi="Calibri" w:cs="Times New Roman"/>
          <w:i/>
          <w:iCs/>
          <w:smallCaps/>
          <w:sz w:val="18"/>
          <w:lang w:val="es-HN" w:eastAsia="es-ES_tradnl" w:bidi="ar-SA"/>
        </w:rPr>
        <w:fldChar w:fldCharType="begin"/>
      </w:r>
      <w:r w:rsidRPr="00380142">
        <w:rPr>
          <w:rFonts w:ascii="Calibri" w:eastAsia="Calibri" w:hAnsi="Calibri" w:cs="Times New Roman"/>
          <w:i/>
          <w:iCs/>
          <w:smallCaps/>
          <w:sz w:val="18"/>
          <w:lang w:val="es-HN" w:eastAsia="es-ES_tradnl" w:bidi="ar-SA"/>
        </w:rPr>
        <w:instrText xml:space="preserve"> SEQ Figura \* ARABIC </w:instrText>
      </w:r>
      <w:r w:rsidRPr="00380142">
        <w:rPr>
          <w:rFonts w:ascii="Calibri" w:eastAsia="Calibri" w:hAnsi="Calibri" w:cs="Times New Roman"/>
          <w:i/>
          <w:iCs/>
          <w:smallCaps/>
          <w:sz w:val="18"/>
          <w:lang w:val="es-HN" w:eastAsia="es-ES_tradnl" w:bidi="ar-SA"/>
        </w:rPr>
        <w:fldChar w:fldCharType="separate"/>
      </w:r>
      <w:r w:rsidRPr="00380142">
        <w:rPr>
          <w:rFonts w:ascii="Calibri" w:eastAsia="Calibri" w:hAnsi="Calibri" w:cs="Times New Roman"/>
          <w:i/>
          <w:iCs/>
          <w:smallCaps/>
          <w:noProof/>
          <w:sz w:val="18"/>
          <w:lang w:val="es-HN" w:eastAsia="es-ES_tradnl" w:bidi="ar-SA"/>
        </w:rPr>
        <w:t>7</w:t>
      </w:r>
      <w:r w:rsidRPr="00380142">
        <w:rPr>
          <w:rFonts w:ascii="Calibri" w:eastAsia="Calibri" w:hAnsi="Calibri" w:cs="Times New Roman"/>
          <w:i/>
          <w:iCs/>
          <w:smallCaps/>
          <w:sz w:val="18"/>
          <w:lang w:val="es-HN" w:eastAsia="es-ES_tradnl" w:bidi="ar-SA"/>
        </w:rPr>
        <w:fldChar w:fldCharType="end"/>
      </w:r>
      <w:r w:rsidRPr="00380142">
        <w:rPr>
          <w:rFonts w:ascii="Calibri" w:eastAsia="Calibri" w:hAnsi="Calibri" w:cs="Times New Roman"/>
          <w:i/>
          <w:iCs/>
          <w:smallCaps/>
          <w:sz w:val="18"/>
          <w:lang w:val="es-HN" w:eastAsia="es-ES_tradnl" w:bidi="ar-SA"/>
        </w:rPr>
        <w:t>. Pérdidas de Bosque por Agricultura en Guatemala</w:t>
      </w:r>
      <w:bookmarkEnd w:id="10"/>
      <w:bookmarkEnd w:id="11"/>
      <w:r w:rsidRPr="00380142">
        <w:rPr>
          <w:rFonts w:ascii="Calibri" w:eastAsia="Calibri" w:hAnsi="Calibri" w:cs="Times New Roman"/>
          <w:i/>
          <w:iCs/>
          <w:smallCaps/>
          <w:sz w:val="18"/>
          <w:lang w:val="es-HN" w:eastAsia="es-ES_tradnl" w:bidi="ar-SA"/>
        </w:rPr>
        <w:t xml:space="preserve"> </w:t>
      </w:r>
    </w:p>
    <w:p w14:paraId="428F0262" w14:textId="77777777" w:rsidR="00380142" w:rsidRPr="00380142" w:rsidRDefault="00380142" w:rsidP="00380142">
      <w:pPr>
        <w:pBdr>
          <w:bottom w:val="single" w:sz="4" w:space="1" w:color="auto"/>
        </w:pBdr>
        <w:spacing w:before="40"/>
        <w:rPr>
          <w:rFonts w:ascii="Calibri" w:eastAsia="Calibri" w:hAnsi="Calibri" w:cs="Times New Roman"/>
          <w:i/>
          <w:iCs/>
          <w:sz w:val="16"/>
          <w:szCs w:val="16"/>
          <w:lang w:val="es-CL"/>
        </w:rPr>
      </w:pPr>
      <w:r w:rsidRPr="00380142">
        <w:rPr>
          <w:rFonts w:ascii="Calibri" w:eastAsia="Calibri" w:hAnsi="Calibri" w:cs="Times New Roman"/>
          <w:i/>
          <w:iCs/>
          <w:sz w:val="16"/>
          <w:szCs w:val="16"/>
          <w:lang w:val="es-CL"/>
        </w:rPr>
        <w:t>Fuente: Malla de puntos Collect</w:t>
      </w:r>
    </w:p>
    <w:p w14:paraId="035B31E9"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 xml:space="preserve">Los cultivos agrícolas anuales se diferencian en dos grupos: i) los granos básicos (maíz (75%), frijol (21%) y otros) y ii) las hortalizas (arveja china, brócoli, cebolla, chile pimiento, papa, repollo, tomate, </w:t>
      </w:r>
      <w:r w:rsidRPr="00380142">
        <w:rPr>
          <w:rFonts w:ascii="Calibri" w:eastAsia="Calibri" w:hAnsi="Calibri" w:cs="Times New Roman"/>
          <w:sz w:val="22"/>
          <w:szCs w:val="22"/>
          <w:lang w:val="es-CL" w:bidi="ar-SA"/>
        </w:rPr>
        <w:lastRenderedPageBreak/>
        <w:t>zanahoria y otros). La superficie cosechada de cultivos anuales  el año 2016 correspondió a 1,243,406 ha.</w:t>
      </w:r>
    </w:p>
    <w:p w14:paraId="5C9675FC"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lang w:val="es-CL" w:bidi="ar-SA"/>
        </w:rPr>
        <mc:AlternateContent>
          <mc:Choice Requires="wps">
            <w:drawing>
              <wp:anchor distT="45720" distB="45720" distL="114300" distR="114300" simplePos="0" relativeHeight="251673600" behindDoc="0" locked="0" layoutInCell="1" allowOverlap="1" wp14:anchorId="62E2333A" wp14:editId="1AD42338">
                <wp:simplePos x="0" y="0"/>
                <wp:positionH relativeFrom="margin">
                  <wp:posOffset>2725266</wp:posOffset>
                </wp:positionH>
                <wp:positionV relativeFrom="paragraph">
                  <wp:posOffset>6024</wp:posOffset>
                </wp:positionV>
                <wp:extent cx="3103245" cy="1852930"/>
                <wp:effectExtent l="0" t="0" r="1905" b="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3245" cy="1852930"/>
                        </a:xfrm>
                        <a:prstGeom prst="rect">
                          <a:avLst/>
                        </a:prstGeom>
                        <a:solidFill>
                          <a:srgbClr val="FFFFFF"/>
                        </a:solidFill>
                        <a:ln w="9525">
                          <a:noFill/>
                          <a:miter lim="800000"/>
                          <a:headEnd/>
                          <a:tailEnd/>
                        </a:ln>
                      </wps:spPr>
                      <wps:txbx>
                        <w:txbxContent>
                          <w:p w14:paraId="2CF24ED3"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Incremento superficie por actividad agrícola 2006-2016 </w:t>
                            </w:r>
                          </w:p>
                          <w:p w14:paraId="66C6BA1C"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Cultivos anuales (maíz):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 xml:space="preserve">305,278 ha </w:t>
                            </w:r>
                          </w:p>
                          <w:p w14:paraId="70DEAC9F"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Cultivos anuales (otros):</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55,668 ha</w:t>
                            </w:r>
                          </w:p>
                          <w:p w14:paraId="2991318B" w14:textId="77777777" w:rsidR="00380142" w:rsidRPr="000905BE" w:rsidRDefault="00380142" w:rsidP="00AF63FB">
                            <w:pPr>
                              <w:pStyle w:val="Prrafodelista"/>
                              <w:numPr>
                                <w:ilvl w:val="0"/>
                                <w:numId w:val="4"/>
                              </w:numPr>
                              <w:spacing w:after="160" w:line="259" w:lineRule="auto"/>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Cultivo de Palma Africana: </w:t>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104,748 ha</w:t>
                            </w:r>
                          </w:p>
                          <w:p w14:paraId="42267CFC" w14:textId="77777777" w:rsidR="00380142" w:rsidRPr="000905BE" w:rsidRDefault="00380142" w:rsidP="00AF63FB">
                            <w:pPr>
                              <w:pStyle w:val="Prrafodelista"/>
                              <w:numPr>
                                <w:ilvl w:val="0"/>
                                <w:numId w:val="4"/>
                              </w:numPr>
                              <w:spacing w:after="160" w:line="259" w:lineRule="auto"/>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Cultivo de Hule: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74,443 ha</w:t>
                            </w:r>
                          </w:p>
                          <w:p w14:paraId="5995A111"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Caña de azúcar: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71,148 ha</w:t>
                            </w:r>
                          </w:p>
                          <w:p w14:paraId="5C50FAFE" w14:textId="77777777" w:rsidR="00380142" w:rsidRPr="000905BE" w:rsidRDefault="00380142" w:rsidP="00AF63FB">
                            <w:pPr>
                              <w:pStyle w:val="Prrafodelista"/>
                              <w:numPr>
                                <w:ilvl w:val="0"/>
                                <w:numId w:val="4"/>
                              </w:numPr>
                              <w:spacing w:after="160" w:line="259" w:lineRule="auto"/>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 de café:</w:t>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26,838</w:t>
                            </w:r>
                          </w:p>
                          <w:p w14:paraId="29B9B8BE"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Cultivos de cacao: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1,188 ha</w:t>
                            </w:r>
                          </w:p>
                          <w:p w14:paraId="54F11C07"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p w14:paraId="40CD0B90"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p w14:paraId="1541770C"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p w14:paraId="0B80B1C6"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2333A" id="_x0000_s1035" type="#_x0000_t202" style="position:absolute;left:0;text-align:left;margin-left:214.6pt;margin-top:.45pt;width:244.35pt;height:145.9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" stroked="f">
                <v:textbox>
                  <w:txbxContent>
                    <w:p w14:paraId="2CF24ED3"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Incremento superficie por actividad agrícola 2006-2016 </w:t>
                      </w:r>
                    </w:p>
                    <w:p w14:paraId="66C6BA1C"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Cultivos anuales (maíz):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 xml:space="preserve">305,278 ha </w:t>
                      </w:r>
                    </w:p>
                    <w:p w14:paraId="70DEAC9F"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Cultivos anuales (otros):</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55,668 ha</w:t>
                      </w:r>
                    </w:p>
                    <w:p w14:paraId="2991318B" w14:textId="77777777" w:rsidR="00380142" w:rsidRPr="000905BE" w:rsidRDefault="00380142" w:rsidP="00AF63FB">
                      <w:pPr>
                        <w:pStyle w:val="Prrafodelista"/>
                        <w:numPr>
                          <w:ilvl w:val="0"/>
                          <w:numId w:val="4"/>
                        </w:numPr>
                        <w:spacing w:after="160" w:line="259" w:lineRule="auto"/>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Cultivo de Palma Africana: </w:t>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104,748 ha</w:t>
                      </w:r>
                    </w:p>
                    <w:p w14:paraId="42267CFC" w14:textId="77777777" w:rsidR="00380142" w:rsidRPr="000905BE" w:rsidRDefault="00380142" w:rsidP="00AF63FB">
                      <w:pPr>
                        <w:pStyle w:val="Prrafodelista"/>
                        <w:numPr>
                          <w:ilvl w:val="0"/>
                          <w:numId w:val="4"/>
                        </w:numPr>
                        <w:spacing w:after="160" w:line="259" w:lineRule="auto"/>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Cultivo de Hule: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74,443 ha</w:t>
                      </w:r>
                    </w:p>
                    <w:p w14:paraId="5995A111"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Caña de azúcar: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71,148 ha</w:t>
                      </w:r>
                    </w:p>
                    <w:p w14:paraId="5C50FAFE" w14:textId="77777777" w:rsidR="00380142" w:rsidRPr="000905BE" w:rsidRDefault="00380142" w:rsidP="00AF63FB">
                      <w:pPr>
                        <w:pStyle w:val="Prrafodelista"/>
                        <w:numPr>
                          <w:ilvl w:val="0"/>
                          <w:numId w:val="4"/>
                        </w:numPr>
                        <w:spacing w:after="160" w:line="259" w:lineRule="auto"/>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 de café:</w:t>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26,838</w:t>
                      </w:r>
                    </w:p>
                    <w:p w14:paraId="29B9B8BE"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Cultivos de cacao: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1,188 ha</w:t>
                      </w:r>
                    </w:p>
                    <w:p w14:paraId="54F11C07"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p w14:paraId="40CD0B90"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p w14:paraId="1541770C"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p w14:paraId="0B80B1C6"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txbxContent>
                </v:textbox>
                <w10:wrap type="square" anchorx="margin"/>
              </v:shape>
            </w:pict>
          </mc:Fallback>
        </mc:AlternateContent>
      </w:r>
      <w:r w:rsidRPr="00380142">
        <w:rPr>
          <w:rFonts w:ascii="Calibri" w:eastAsia="Calibri" w:hAnsi="Calibri" w:cs="Times New Roman"/>
          <w:sz w:val="22"/>
          <w:szCs w:val="22"/>
          <w:lang w:val="es-CL" w:bidi="ar-SA"/>
        </w:rPr>
        <w:t>Los sistemas agroforestales se vinculan principalmente al cultivo de  café bajo sombra, pero también pueden incluir otros cultivos como el cacao y cardamomo bajo sombra.</w:t>
      </w:r>
    </w:p>
    <w:p w14:paraId="1339232F"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 xml:space="preserve">La superficie destinada a los principales cultivos agrícolas incrementó en </w:t>
      </w:r>
      <w:r w:rsidRPr="00380142">
        <w:rPr>
          <w:rFonts w:ascii="Calibri" w:eastAsia="Calibri" w:hAnsi="Calibri" w:cs="Times New Roman"/>
          <w:b/>
          <w:bCs/>
          <w:sz w:val="22"/>
          <w:szCs w:val="22"/>
          <w:lang w:val="es-CL" w:bidi="ar-SA"/>
        </w:rPr>
        <w:t>639,311 ha</w:t>
      </w:r>
      <w:r w:rsidRPr="00380142">
        <w:rPr>
          <w:rFonts w:ascii="Calibri" w:eastAsia="Calibri" w:hAnsi="Calibri" w:cs="Times New Roman"/>
          <w:sz w:val="22"/>
          <w:szCs w:val="22"/>
          <w:lang w:val="es-CL" w:bidi="ar-SA"/>
        </w:rPr>
        <w:t xml:space="preserve"> (FAO)</w:t>
      </w:r>
      <w:r w:rsidRPr="00380142">
        <w:rPr>
          <w:rFonts w:ascii="Calibri" w:eastAsia="Calibri" w:hAnsi="Calibri" w:cs="Times New Roman"/>
          <w:sz w:val="22"/>
          <w:szCs w:val="22"/>
          <w:vertAlign w:val="superscript"/>
          <w:lang w:val="es-CL" w:bidi="ar-SA"/>
        </w:rPr>
        <w:footnoteReference w:id="10"/>
      </w:r>
      <w:r w:rsidRPr="00380142">
        <w:rPr>
          <w:rFonts w:ascii="Calibri" w:eastAsia="Calibri" w:hAnsi="Calibri" w:cs="Times New Roman"/>
          <w:sz w:val="22"/>
          <w:szCs w:val="22"/>
          <w:lang w:val="es-CL" w:bidi="ar-SA"/>
        </w:rPr>
        <w:t xml:space="preserve"> para los años 2006-2016 reemplazando 93,013 ha de bosque.</w:t>
      </w:r>
    </w:p>
    <w:p w14:paraId="1207855D"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 xml:space="preserve">Los departamentos que presentan mayor pérdida de bosque por expansión agrícola corresponde a:  i) Petén, principalmente por cultivos anuales y en menor medida cultivo de palma africana, ii) Alta Verapaz con grandes superficies de cardamomo, café y granos básicos y iii) Chimaltenango con cultivos predominantes de granos básicos, café y en menor medida hortalizas.  </w:t>
      </w:r>
    </w:p>
    <w:p w14:paraId="4593F89B"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shd w:val="clear" w:color="auto" w:fill="800000"/>
          <w:lang w:val="es-CL" w:bidi="ar-SA"/>
        </w:rPr>
        <w:drawing>
          <wp:inline distT="0" distB="0" distL="0" distR="0" wp14:anchorId="5757EB71" wp14:editId="62F02E8E">
            <wp:extent cx="5593080" cy="3476368"/>
            <wp:effectExtent l="0" t="0" r="7620" b="10160"/>
            <wp:docPr id="56" name="Gráfico 56">
              <a:extLst xmlns:a="http://schemas.openxmlformats.org/drawingml/2006/main">
                <a:ext uri="{FF2B5EF4-FFF2-40B4-BE49-F238E27FC236}">
                  <a16:creationId xmlns:a16="http://schemas.microsoft.com/office/drawing/2014/main" id="{E1658B71-9C53-458A-8D38-B99AA53F22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8B53882" w14:textId="402C5495" w:rsidR="00380142" w:rsidRPr="00380142" w:rsidRDefault="00380142" w:rsidP="00380142">
      <w:pPr>
        <w:pBdr>
          <w:top w:val="single" w:sz="4" w:space="1" w:color="auto"/>
          <w:bottom w:val="single" w:sz="4" w:space="1" w:color="auto"/>
        </w:pBdr>
        <w:spacing w:after="0"/>
        <w:ind w:left="851" w:hanging="851"/>
        <w:jc w:val="left"/>
        <w:rPr>
          <w:rFonts w:ascii="Calibri" w:eastAsia="Calibri" w:hAnsi="Calibri" w:cs="Times New Roman"/>
          <w:i/>
          <w:iCs/>
          <w:smallCaps/>
          <w:sz w:val="18"/>
          <w:lang w:val="es-HN" w:eastAsia="es-ES_tradnl" w:bidi="ar-SA"/>
        </w:rPr>
      </w:pPr>
      <w:bookmarkStart w:id="12" w:name="_Toc26896374"/>
      <w:bookmarkStart w:id="13" w:name="_Hlk34334583"/>
      <w:r w:rsidRPr="00380142">
        <w:rPr>
          <w:rFonts w:ascii="Calibri" w:eastAsia="Calibri" w:hAnsi="Calibri" w:cs="Times New Roman"/>
          <w:i/>
          <w:iCs/>
          <w:smallCaps/>
          <w:sz w:val="18"/>
          <w:lang w:val="es-HN" w:eastAsia="es-ES_tradnl" w:bidi="ar-SA"/>
        </w:rPr>
        <w:t xml:space="preserve">Figura </w:t>
      </w:r>
      <w:r w:rsidRPr="00380142">
        <w:rPr>
          <w:rFonts w:ascii="Calibri" w:eastAsia="Calibri" w:hAnsi="Calibri" w:cs="Times New Roman"/>
          <w:i/>
          <w:iCs/>
          <w:smallCaps/>
          <w:sz w:val="18"/>
          <w:lang w:val="es-HN" w:eastAsia="es-ES_tradnl" w:bidi="ar-SA"/>
        </w:rPr>
        <w:fldChar w:fldCharType="begin"/>
      </w:r>
      <w:r w:rsidRPr="00380142">
        <w:rPr>
          <w:rFonts w:ascii="Calibri" w:eastAsia="Calibri" w:hAnsi="Calibri" w:cs="Times New Roman"/>
          <w:i/>
          <w:iCs/>
          <w:smallCaps/>
          <w:sz w:val="18"/>
          <w:lang w:val="es-HN" w:eastAsia="es-ES_tradnl" w:bidi="ar-SA"/>
        </w:rPr>
        <w:instrText xml:space="preserve"> SEQ Figura \* ARABIC </w:instrText>
      </w:r>
      <w:r w:rsidRPr="00380142">
        <w:rPr>
          <w:rFonts w:ascii="Calibri" w:eastAsia="Calibri" w:hAnsi="Calibri" w:cs="Times New Roman"/>
          <w:i/>
          <w:iCs/>
          <w:smallCaps/>
          <w:sz w:val="18"/>
          <w:lang w:val="es-HN" w:eastAsia="es-ES_tradnl" w:bidi="ar-SA"/>
        </w:rPr>
        <w:fldChar w:fldCharType="separate"/>
      </w:r>
      <w:r w:rsidR="003C11A1">
        <w:rPr>
          <w:rFonts w:ascii="Calibri" w:eastAsia="Calibri" w:hAnsi="Calibri" w:cs="Times New Roman"/>
          <w:i/>
          <w:iCs/>
          <w:smallCaps/>
          <w:noProof/>
          <w:sz w:val="18"/>
          <w:lang w:val="es-HN" w:eastAsia="es-ES_tradnl" w:bidi="ar-SA"/>
        </w:rPr>
        <w:t>6</w:t>
      </w:r>
      <w:r w:rsidRPr="00380142">
        <w:rPr>
          <w:rFonts w:ascii="Calibri" w:eastAsia="Calibri" w:hAnsi="Calibri" w:cs="Times New Roman"/>
          <w:i/>
          <w:iCs/>
          <w:smallCaps/>
          <w:sz w:val="18"/>
          <w:lang w:val="es-HN" w:eastAsia="es-ES_tradnl" w:bidi="ar-SA"/>
        </w:rPr>
        <w:fldChar w:fldCharType="end"/>
      </w:r>
      <w:r w:rsidRPr="00380142">
        <w:rPr>
          <w:rFonts w:ascii="Calibri" w:eastAsia="Calibri" w:hAnsi="Calibri" w:cs="Times New Roman"/>
          <w:i/>
          <w:iCs/>
          <w:smallCaps/>
          <w:sz w:val="18"/>
          <w:lang w:val="es-HN" w:eastAsia="es-ES_tradnl" w:bidi="ar-SA"/>
        </w:rPr>
        <w:t>. Pérdidas de Bosque por expansión de actividad agrícola</w:t>
      </w:r>
      <w:bookmarkEnd w:id="12"/>
      <w:r w:rsidRPr="00380142">
        <w:rPr>
          <w:rFonts w:ascii="Calibri" w:eastAsia="Calibri" w:hAnsi="Calibri" w:cs="Times New Roman"/>
          <w:i/>
          <w:iCs/>
          <w:smallCaps/>
          <w:sz w:val="18"/>
          <w:lang w:val="es-HN" w:eastAsia="es-ES_tradnl" w:bidi="ar-SA"/>
        </w:rPr>
        <w:t xml:space="preserve"> </w:t>
      </w:r>
    </w:p>
    <w:p w14:paraId="3B45CA23" w14:textId="77777777" w:rsidR="00380142" w:rsidRPr="00380142" w:rsidRDefault="00380142" w:rsidP="00380142">
      <w:pPr>
        <w:pBdr>
          <w:bottom w:val="single" w:sz="4" w:space="1" w:color="auto"/>
        </w:pBdr>
        <w:spacing w:before="40"/>
        <w:rPr>
          <w:rFonts w:ascii="Calibri" w:eastAsia="Calibri" w:hAnsi="Calibri" w:cs="Times New Roman"/>
          <w:i/>
          <w:iCs/>
          <w:sz w:val="16"/>
          <w:szCs w:val="16"/>
          <w:lang w:val="es-CL"/>
        </w:rPr>
      </w:pPr>
      <w:r w:rsidRPr="00380142">
        <w:rPr>
          <w:rFonts w:ascii="Calibri" w:eastAsia="Calibri" w:hAnsi="Calibri" w:cs="Times New Roman"/>
          <w:i/>
          <w:iCs/>
          <w:sz w:val="16"/>
          <w:szCs w:val="16"/>
          <w:lang w:val="es-CL"/>
        </w:rPr>
        <w:t>Fuente: Malla de puntos Collect/ DIPLAN-MAGA / BANGUAT</w:t>
      </w:r>
      <w:bookmarkEnd w:id="13"/>
    </w:p>
    <w:p w14:paraId="7F6884AA"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lang w:val="es-CL" w:bidi="ar-SA"/>
        </w:rPr>
        <w:lastRenderedPageBreak/>
        <mc:AlternateContent>
          <mc:Choice Requires="wps">
            <w:drawing>
              <wp:anchor distT="45720" distB="45720" distL="114300" distR="114300" simplePos="0" relativeHeight="251674624" behindDoc="0" locked="0" layoutInCell="1" allowOverlap="1" wp14:anchorId="3336FBFE" wp14:editId="5F6E0328">
                <wp:simplePos x="0" y="0"/>
                <wp:positionH relativeFrom="margin">
                  <wp:align>right</wp:align>
                </wp:positionH>
                <wp:positionV relativeFrom="paragraph">
                  <wp:posOffset>10160</wp:posOffset>
                </wp:positionV>
                <wp:extent cx="2778125" cy="1506855"/>
                <wp:effectExtent l="0" t="0" r="3175" b="0"/>
                <wp:wrapThrough wrapText="bothSides">
                  <wp:wrapPolygon edited="0">
                    <wp:start x="0" y="0"/>
                    <wp:lineTo x="0" y="21300"/>
                    <wp:lineTo x="21477" y="21300"/>
                    <wp:lineTo x="21477" y="0"/>
                    <wp:lineTo x="0" y="0"/>
                  </wp:wrapPolygon>
                </wp:wrapThrough>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125" cy="1506855"/>
                        </a:xfrm>
                        <a:prstGeom prst="rect">
                          <a:avLst/>
                        </a:prstGeom>
                        <a:solidFill>
                          <a:srgbClr val="FFFFFF"/>
                        </a:solidFill>
                        <a:ln w="9525">
                          <a:noFill/>
                          <a:miter lim="800000"/>
                          <a:headEnd/>
                          <a:tailEnd/>
                        </a:ln>
                      </wps:spPr>
                      <wps:txbx>
                        <w:txbxContent>
                          <w:p w14:paraId="5C393020"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Pérdidas de bosques (superficie) por expansión de actividad agrícola (2006-2016):</w:t>
                            </w:r>
                          </w:p>
                          <w:p w14:paraId="18F8293F" w14:textId="77777777" w:rsidR="00380142" w:rsidRPr="001D0229"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93,013 ha en Guatemala</w:t>
                            </w:r>
                          </w:p>
                          <w:p w14:paraId="035325C4" w14:textId="77777777" w:rsidR="00380142" w:rsidRPr="00380142" w:rsidRDefault="00380142" w:rsidP="00AF63FB">
                            <w:pPr>
                              <w:pStyle w:val="Prrafodelista"/>
                              <w:numPr>
                                <w:ilvl w:val="0"/>
                                <w:numId w:val="3"/>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32,602 ha en los municipios priorizados por el FIP.</w:t>
                            </w:r>
                          </w:p>
                          <w:p w14:paraId="27DC7572" w14:textId="77777777" w:rsidR="00380142" w:rsidRPr="001D0229"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65,205 ha en Areas Protegidas.</w:t>
                            </w:r>
                          </w:p>
                          <w:p w14:paraId="4F925475" w14:textId="77777777" w:rsidR="00380142" w:rsidRPr="001D0229"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23,013 ha en Proyectos REDD+ </w:t>
                            </w:r>
                          </w:p>
                          <w:p w14:paraId="3BBEE645" w14:textId="77777777" w:rsidR="00380142" w:rsidRPr="001D0229"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6FBFE" id="_x0000_s1036" type="#_x0000_t202" style="position:absolute;left:0;text-align:left;margin-left:167.55pt;margin-top:.8pt;width:218.75pt;height:118.6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" stroked="f">
                <v:textbox>
                  <w:txbxContent>
                    <w:p w14:paraId="5C393020"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Pérdidas de bosques (superficie) por expansión de actividad agrícola (2006-2016):</w:t>
                      </w:r>
                    </w:p>
                    <w:p w14:paraId="18F8293F" w14:textId="77777777" w:rsidR="00380142" w:rsidRPr="001D0229"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93,013 ha en Guatemala</w:t>
                      </w:r>
                    </w:p>
                    <w:p w14:paraId="035325C4" w14:textId="77777777" w:rsidR="00380142" w:rsidRPr="00380142" w:rsidRDefault="00380142" w:rsidP="00AF63FB">
                      <w:pPr>
                        <w:pStyle w:val="Prrafodelista"/>
                        <w:numPr>
                          <w:ilvl w:val="0"/>
                          <w:numId w:val="3"/>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32,602 ha en los municipios priorizados por el FIP.</w:t>
                      </w:r>
                    </w:p>
                    <w:p w14:paraId="27DC7572" w14:textId="77777777" w:rsidR="00380142" w:rsidRPr="001D0229"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65,205 ha en Areas Protegidas.</w:t>
                      </w:r>
                    </w:p>
                    <w:p w14:paraId="4F925475" w14:textId="77777777" w:rsidR="00380142" w:rsidRPr="001D0229"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23,013 ha en Proyectos REDD+ </w:t>
                      </w:r>
                    </w:p>
                    <w:p w14:paraId="3BBEE645" w14:textId="77777777" w:rsidR="00380142" w:rsidRPr="001D0229"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txbxContent>
                </v:textbox>
                <w10:wrap type="through" anchorx="margin"/>
              </v:shape>
            </w:pict>
          </mc:Fallback>
        </mc:AlternateContent>
      </w:r>
      <w:r w:rsidRPr="00380142">
        <w:rPr>
          <w:rFonts w:ascii="Calibri" w:eastAsia="Calibri" w:hAnsi="Calibri" w:cs="Times New Roman"/>
          <w:sz w:val="22"/>
          <w:szCs w:val="22"/>
          <w:lang w:val="es-CL" w:bidi="ar-SA"/>
        </w:rPr>
        <w:t>El 35% de la  pérdida de bosques por expansión de actividad agrícola se encuentra en municipios priorizados por el FIP,  mientras que el 70% de estas pérdidas se concentran en Areas Protegidas.</w:t>
      </w:r>
    </w:p>
    <w:p w14:paraId="67B679CC"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lang w:val="es-CL" w:bidi="ar-SA"/>
        </w:rPr>
        <mc:AlternateContent>
          <mc:Choice Requires="wps">
            <w:drawing>
              <wp:anchor distT="45720" distB="45720" distL="114300" distR="114300" simplePos="0" relativeHeight="251683840" behindDoc="0" locked="0" layoutInCell="1" allowOverlap="1" wp14:anchorId="1A7C051A" wp14:editId="22DC7BAE">
                <wp:simplePos x="0" y="0"/>
                <wp:positionH relativeFrom="margin">
                  <wp:align>left</wp:align>
                </wp:positionH>
                <wp:positionV relativeFrom="paragraph">
                  <wp:posOffset>1812290</wp:posOffset>
                </wp:positionV>
                <wp:extent cx="5610225" cy="2863215"/>
                <wp:effectExtent l="0" t="0" r="28575" b="13335"/>
                <wp:wrapThrough wrapText="bothSides">
                  <wp:wrapPolygon edited="0">
                    <wp:start x="0" y="0"/>
                    <wp:lineTo x="0" y="21557"/>
                    <wp:lineTo x="21637" y="21557"/>
                    <wp:lineTo x="21637" y="0"/>
                    <wp:lineTo x="0" y="0"/>
                  </wp:wrapPolygon>
                </wp:wrapThrough>
                <wp:docPr id="1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2863780"/>
                        </a:xfrm>
                        <a:prstGeom prst="rect">
                          <a:avLst/>
                        </a:prstGeom>
                        <a:solidFill>
                          <a:srgbClr val="FFFFFF"/>
                        </a:solidFill>
                        <a:ln w="9525">
                          <a:solidFill>
                            <a:srgbClr val="996600"/>
                          </a:solidFill>
                          <a:prstDash val="dashDot"/>
                          <a:miter lim="800000"/>
                          <a:headEnd/>
                          <a:tailEnd/>
                        </a:ln>
                      </wps:spPr>
                      <wps:txbx>
                        <w:txbxContent>
                          <w:p w14:paraId="5427F613" w14:textId="77777777" w:rsidR="00380142" w:rsidRPr="00380142" w:rsidRDefault="00380142" w:rsidP="00380142">
                            <w:pPr>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Causas subyacentes que refuerzan la expansión de la actividad agrícola a nivel nacional son.</w:t>
                            </w:r>
                          </w:p>
                          <w:p w14:paraId="1C182B1E" w14:textId="77777777" w:rsidR="00380142" w:rsidRPr="00380142" w:rsidRDefault="00380142" w:rsidP="00380142">
                            <w:pPr>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Para agricultura comercial:</w:t>
                            </w:r>
                          </w:p>
                          <w:p w14:paraId="663AED2C"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Incremento de demanda de productos agrícolas y agroindustriales para exportación (palma africada, hule, caña).</w:t>
                            </w:r>
                          </w:p>
                          <w:p w14:paraId="7DA99190"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Bajo valor económico de los bienes y servicios del bosque.</w:t>
                            </w:r>
                          </w:p>
                          <w:p w14:paraId="6D4246AF"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Falta de ordenamiento territorial.</w:t>
                            </w:r>
                          </w:p>
                          <w:p w14:paraId="229E8DB4"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Debilidad de gobernanza de áreas protegidas reemplazadas por cultivos agrícolas.</w:t>
                            </w:r>
                          </w:p>
                          <w:p w14:paraId="37AEFC0C" w14:textId="77777777" w:rsidR="00380142" w:rsidRPr="00380142" w:rsidRDefault="00380142" w:rsidP="00380142">
                            <w:pPr>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Para agricultura de autoconsumo</w:t>
                            </w:r>
                          </w:p>
                          <w:p w14:paraId="4F08210A"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Sistemas agrícolas itinerantes</w:t>
                            </w:r>
                          </w:p>
                          <w:p w14:paraId="05E85DD2"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Pobreza extrema</w:t>
                            </w:r>
                          </w:p>
                          <w:p w14:paraId="3E63E4F5"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Debilidad en gobernanza y coordinación interinstitucional.</w:t>
                            </w:r>
                          </w:p>
                          <w:p w14:paraId="1953502A"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Mayor rentabilidad (costo de oportunidad) del uso de las tierras en actividades agrícolas que en las forestales de producción.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C051A" id="_x0000_s1037" type="#_x0000_t202" style="position:absolute;left:0;text-align:left;margin-left:0;margin-top:142.7pt;width:441.75pt;height:225.4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" strokecolor="#960">
                <v:stroke dashstyle="dashDot"/>
                <v:textbox>
                  <w:txbxContent>
                    <w:p w14:paraId="5427F613" w14:textId="77777777" w:rsidR="00380142" w:rsidRPr="00380142" w:rsidRDefault="00380142" w:rsidP="00380142">
                      <w:pPr>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Causas subyacentes que refuerzan la expansión de la actividad agrícola a nivel nacional son.</w:t>
                      </w:r>
                    </w:p>
                    <w:p w14:paraId="1C182B1E" w14:textId="77777777" w:rsidR="00380142" w:rsidRPr="00380142" w:rsidRDefault="00380142" w:rsidP="00380142">
                      <w:pPr>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Para agricultura comercial:</w:t>
                      </w:r>
                    </w:p>
                    <w:p w14:paraId="663AED2C"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Incremento de demanda de productos agrícolas y agroindustriales para exportación (palma africada, hule, caña).</w:t>
                      </w:r>
                    </w:p>
                    <w:p w14:paraId="7DA99190"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Bajo valor económico de los bienes y servicios del bosque.</w:t>
                      </w:r>
                    </w:p>
                    <w:p w14:paraId="6D4246AF"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Falta de ordenamiento territorial.</w:t>
                      </w:r>
                    </w:p>
                    <w:p w14:paraId="229E8DB4"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Debilidad de gobernanza de áreas protegidas reemplazadas por cultivos agrícolas.</w:t>
                      </w:r>
                    </w:p>
                    <w:p w14:paraId="37AEFC0C" w14:textId="77777777" w:rsidR="00380142" w:rsidRPr="00380142" w:rsidRDefault="00380142" w:rsidP="00380142">
                      <w:pPr>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Para agricultura de autoconsumo</w:t>
                      </w:r>
                    </w:p>
                    <w:p w14:paraId="4F08210A"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Sistemas agrícolas itinerantes</w:t>
                      </w:r>
                    </w:p>
                    <w:p w14:paraId="05E85DD2"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Pobreza extrema</w:t>
                      </w:r>
                    </w:p>
                    <w:p w14:paraId="3E63E4F5"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Debilidad en gobernanza y coordinación interinstitucional.</w:t>
                      </w:r>
                    </w:p>
                    <w:p w14:paraId="1953502A"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Mayor rentabilidad (costo de oportunidad) del uso de las tierras en actividades agrícolas que en las forestales de producción.</w:t>
                      </w:r>
                    </w:p>
                  </w:txbxContent>
                </v:textbox>
                <w10:wrap type="through" anchorx="margin"/>
              </v:shape>
            </w:pict>
          </mc:Fallback>
        </mc:AlternateContent>
      </w:r>
      <w:r w:rsidRPr="00380142">
        <w:rPr>
          <w:rFonts w:ascii="Calibri" w:eastAsia="Calibri" w:hAnsi="Calibri" w:cs="Times New Roman"/>
          <w:sz w:val="22"/>
          <w:szCs w:val="22"/>
          <w:lang w:val="es-CL" w:bidi="ar-SA"/>
        </w:rPr>
        <w:t>La Agricultura como causa de deforestación puede clasificarse en agricultura comercial y agricultura de subsistencia. La agricultura comercial es una causa de deforestación en todas las regiones del país y está asociada a grandes extensiones de monocultivos (palma africana, hule, caña) que reemplazan a tierras forestales. Esta agricultura comercial está asociada a la alta demanda de estos productos (agroindustriales) unida a la baja valoración de bosque y la falta de ordenación territorial. La agricultura de autoconsumo y subsistencia está vinculada a pobreza extrema que se traduce en fincas agrícolas de extensión muy reducida, invasión de tierras y producción agrícola itinerante, entre otras.</w:t>
      </w:r>
    </w:p>
    <w:p w14:paraId="58995247" w14:textId="7560653F" w:rsidR="005910AD" w:rsidRPr="00D25086" w:rsidRDefault="002A3E96">
      <w:pPr>
        <w:rPr>
          <w:b/>
          <w:smallCaps/>
          <w:spacing w:val="5"/>
          <w:sz w:val="32"/>
          <w:szCs w:val="32"/>
          <w:lang w:val="es-SV"/>
        </w:rPr>
      </w:pPr>
      <w:r>
        <w:rPr>
          <w:noProof/>
          <w:lang w:val="es-CL" w:eastAsia="es-CL"/>
        </w:rPr>
        <mc:AlternateContent>
          <mc:Choice Requires="wps">
            <w:drawing>
              <wp:anchor distT="0" distB="0" distL="114300" distR="114300" simplePos="0" relativeHeight="251669504" behindDoc="0" locked="0" layoutInCell="1" allowOverlap="1" wp14:anchorId="75C3ABE0" wp14:editId="0A3F83BD">
                <wp:simplePos x="0" y="0"/>
                <wp:positionH relativeFrom="margin">
                  <wp:posOffset>-1135380</wp:posOffset>
                </wp:positionH>
                <wp:positionV relativeFrom="page">
                  <wp:posOffset>9116060</wp:posOffset>
                </wp:positionV>
                <wp:extent cx="7879080" cy="935990"/>
                <wp:effectExtent l="0" t="0" r="7620" b="0"/>
                <wp:wrapSquare wrapText="bothSides"/>
                <wp:docPr id="38" name="Rectá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79080" cy="93599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E5C93" id="Rectángulo 38" o:spid="_x0000_s1026" style="position:absolute;margin-left:-89.4pt;margin-top:717.8pt;width:620.4pt;height:73.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" fillcolor="#1f497d [3215]" stroked="f" strokeweight="2pt">
                <w10:wrap type="square" anchorx="margin" anchory="page"/>
              </v:rect>
            </w:pict>
          </mc:Fallback>
        </mc:AlternateContent>
      </w:r>
    </w:p>
    <w:sectPr w:rsidR="005910AD" w:rsidRPr="00D25086" w:rsidSect="00171D9D">
      <w:headerReference w:type="first" r:id="rId1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8D6C4D" w14:textId="77777777" w:rsidR="00FF6E32" w:rsidRDefault="00FF6E32" w:rsidP="00BE79FC">
      <w:pPr>
        <w:spacing w:after="0" w:line="240" w:lineRule="auto"/>
      </w:pPr>
      <w:r>
        <w:separator/>
      </w:r>
    </w:p>
  </w:endnote>
  <w:endnote w:type="continuationSeparator" w:id="0">
    <w:p w14:paraId="4F816F9C" w14:textId="77777777" w:rsidR="00FF6E32" w:rsidRDefault="00FF6E32" w:rsidP="00BE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342243" w14:textId="77777777" w:rsidR="00FF6E32" w:rsidRDefault="00FF6E32" w:rsidP="00BE79FC">
      <w:pPr>
        <w:spacing w:after="0" w:line="240" w:lineRule="auto"/>
      </w:pPr>
      <w:r>
        <w:separator/>
      </w:r>
    </w:p>
  </w:footnote>
  <w:footnote w:type="continuationSeparator" w:id="0">
    <w:p w14:paraId="1D5B8D50" w14:textId="77777777" w:rsidR="00FF6E32" w:rsidRDefault="00FF6E32" w:rsidP="00BE79FC">
      <w:pPr>
        <w:spacing w:after="0" w:line="240" w:lineRule="auto"/>
      </w:pPr>
      <w:r>
        <w:continuationSeparator/>
      </w:r>
    </w:p>
  </w:footnote>
  <w:footnote w:id="1">
    <w:p w14:paraId="39D3A54E" w14:textId="77777777" w:rsidR="00380142" w:rsidRPr="00380142" w:rsidRDefault="00380142" w:rsidP="00380142">
      <w:pPr>
        <w:pStyle w:val="Textonotapie"/>
        <w:rPr>
          <w:sz w:val="10"/>
          <w:szCs w:val="10"/>
          <w:lang w:val="es-CL"/>
        </w:rPr>
      </w:pPr>
      <w:r w:rsidRPr="001C125B">
        <w:rPr>
          <w:rStyle w:val="Refdenotaalpie"/>
          <w:sz w:val="10"/>
          <w:szCs w:val="10"/>
        </w:rPr>
        <w:footnoteRef/>
      </w:r>
      <w:r w:rsidRPr="00380142">
        <w:rPr>
          <w:sz w:val="10"/>
          <w:szCs w:val="10"/>
          <w:lang w:val="es-CL"/>
        </w:rPr>
        <w:t xml:space="preserve"> Los Factores de la Deforestación y de la Degradación de Bosques. Jean-Paul Lanly. Congreso Mundial Forestal XII. Canadá 2003. </w:t>
      </w:r>
      <w:hyperlink r:id="rId1" w:history="1">
        <w:r w:rsidRPr="00380142">
          <w:rPr>
            <w:rStyle w:val="Hipervnculo"/>
            <w:sz w:val="10"/>
            <w:szCs w:val="10"/>
            <w:lang w:val="es-CL"/>
          </w:rPr>
          <w:t>http://www.fao.org/3/xii/ms12a-s.htm</w:t>
        </w:r>
      </w:hyperlink>
      <w:r w:rsidRPr="00380142">
        <w:rPr>
          <w:sz w:val="10"/>
          <w:szCs w:val="10"/>
          <w:lang w:val="es-CL"/>
        </w:rPr>
        <w:t xml:space="preserve"> </w:t>
      </w:r>
    </w:p>
  </w:footnote>
  <w:footnote w:id="2">
    <w:p w14:paraId="07797748" w14:textId="77777777" w:rsidR="00380142" w:rsidRPr="00380142" w:rsidRDefault="00380142" w:rsidP="00380142">
      <w:pPr>
        <w:pStyle w:val="Textonotapie"/>
        <w:rPr>
          <w:sz w:val="10"/>
          <w:szCs w:val="10"/>
          <w:lang w:val="es-CL"/>
        </w:rPr>
      </w:pPr>
      <w:r w:rsidRPr="001C125B">
        <w:rPr>
          <w:rStyle w:val="Refdenotaalpie"/>
          <w:sz w:val="10"/>
          <w:szCs w:val="10"/>
        </w:rPr>
        <w:footnoteRef/>
      </w:r>
      <w:r w:rsidRPr="00380142">
        <w:rPr>
          <w:sz w:val="10"/>
          <w:szCs w:val="10"/>
          <w:lang w:val="es-CL"/>
        </w:rPr>
        <w:t xml:space="preserve"> Diagnóstico y análisis sobre la ilegalidad en el aprovechamiento y comercialización de productos forestales en Guatemala.</w:t>
      </w:r>
    </w:p>
  </w:footnote>
  <w:footnote w:id="3">
    <w:p w14:paraId="59E1C5BE" w14:textId="77777777" w:rsidR="00380142" w:rsidRPr="00380142" w:rsidRDefault="00380142" w:rsidP="00380142">
      <w:pPr>
        <w:pStyle w:val="Textonotapie"/>
        <w:rPr>
          <w:lang w:val="es-CL"/>
        </w:rPr>
      </w:pPr>
      <w:r w:rsidRPr="001C125B">
        <w:rPr>
          <w:rStyle w:val="Refdenotaalpie"/>
          <w:sz w:val="10"/>
          <w:szCs w:val="10"/>
        </w:rPr>
        <w:footnoteRef/>
      </w:r>
      <w:r w:rsidRPr="00380142">
        <w:rPr>
          <w:sz w:val="10"/>
          <w:szCs w:val="10"/>
          <w:lang w:val="es-CL"/>
        </w:rPr>
        <w:t xml:space="preserve"> Se contabilizó el número de árboles por unidad de superficie el año 2006 y 2016 en los puntos de la malla Collect y se estimó el porcentaje de pérdida de estrato arbóreo.</w:t>
      </w:r>
    </w:p>
  </w:footnote>
  <w:footnote w:id="4">
    <w:p w14:paraId="5A5E80EF" w14:textId="77777777" w:rsidR="00380142" w:rsidRPr="00380142" w:rsidRDefault="00380142" w:rsidP="00380142">
      <w:pPr>
        <w:pStyle w:val="Textonotapie"/>
        <w:rPr>
          <w:sz w:val="10"/>
          <w:szCs w:val="10"/>
          <w:lang w:val="es-CL"/>
        </w:rPr>
      </w:pPr>
      <w:r w:rsidRPr="00CD1254">
        <w:rPr>
          <w:rStyle w:val="Refdenotaalpie"/>
          <w:sz w:val="10"/>
          <w:szCs w:val="10"/>
        </w:rPr>
        <w:footnoteRef/>
      </w:r>
      <w:r w:rsidRPr="00380142">
        <w:rPr>
          <w:sz w:val="10"/>
          <w:szCs w:val="10"/>
          <w:lang w:val="es-CL"/>
        </w:rPr>
        <w:t xml:space="preserve"> La extracción exenta de licencias en áreas protegidas para aprovechamiento incluye: i) consumo familiar no comercial y permite un aprovechamiento de un volumen máximo anual de 15 m cúbicos previa notificación, registro y control del INAB ii) extracción (podas y raleos) de plantaciones y sistemas agroforestales que requiere una nota de envío (regulada) por el INAB (CONAP, 2012). Fuera de áreas protegidas se otorgan autorización de aprovechamiento forestal no comercial y considera el aprovechamiento de árboles que proveen beneficios no lucrativos : i) aprovechamiento para consumo forestal familiar, ii) aprovechamiento de árboles con alto potencial de causar daño a viviendas e infraestructura, iii) aprovechamiento para mantenimiento de rutas viales y sistemas de transmisión eléctrica o de comunicación y iv) aprovechamientos con fines científicos (INAB, 2015)</w:t>
      </w:r>
    </w:p>
  </w:footnote>
  <w:footnote w:id="5">
    <w:p w14:paraId="76853A3F" w14:textId="77777777" w:rsidR="00380142" w:rsidRPr="00380142" w:rsidRDefault="00380142" w:rsidP="00380142">
      <w:pPr>
        <w:pStyle w:val="Textonotapie"/>
        <w:rPr>
          <w:lang w:val="es-CL"/>
        </w:rPr>
      </w:pPr>
    </w:p>
    <w:p w14:paraId="70187287" w14:textId="77777777" w:rsidR="00380142" w:rsidRPr="00380142" w:rsidRDefault="00380142" w:rsidP="00380142">
      <w:pPr>
        <w:pStyle w:val="Textonotapie"/>
        <w:rPr>
          <w:lang w:val="es-CL"/>
        </w:rPr>
      </w:pPr>
    </w:p>
  </w:footnote>
  <w:footnote w:id="6">
    <w:p w14:paraId="74EE97C1" w14:textId="77777777" w:rsidR="00380142" w:rsidRPr="00380142" w:rsidRDefault="00380142" w:rsidP="00380142">
      <w:pPr>
        <w:pStyle w:val="Textonotapie"/>
        <w:rPr>
          <w:sz w:val="10"/>
          <w:szCs w:val="10"/>
          <w:lang w:val="es-CL"/>
        </w:rPr>
      </w:pPr>
      <w:r w:rsidRPr="00D5365B">
        <w:rPr>
          <w:rStyle w:val="Refdenotaalpie"/>
          <w:sz w:val="10"/>
          <w:szCs w:val="10"/>
        </w:rPr>
        <w:footnoteRef/>
      </w:r>
      <w:r w:rsidRPr="00380142">
        <w:rPr>
          <w:sz w:val="10"/>
          <w:szCs w:val="10"/>
          <w:lang w:val="es-CL"/>
        </w:rPr>
        <w:t xml:space="preserve"> FAOSTAT</w:t>
      </w:r>
    </w:p>
  </w:footnote>
  <w:footnote w:id="7">
    <w:p w14:paraId="0040CAEB" w14:textId="77777777" w:rsidR="00380142" w:rsidRPr="00380142" w:rsidRDefault="00380142" w:rsidP="00380142">
      <w:pPr>
        <w:pStyle w:val="Textonotapie"/>
        <w:rPr>
          <w:sz w:val="10"/>
          <w:szCs w:val="10"/>
          <w:lang w:val="es-CL"/>
        </w:rPr>
      </w:pPr>
      <w:r w:rsidRPr="00D5365B">
        <w:rPr>
          <w:rStyle w:val="Refdenotaalpie"/>
          <w:sz w:val="10"/>
          <w:szCs w:val="10"/>
        </w:rPr>
        <w:footnoteRef/>
      </w:r>
      <w:r w:rsidRPr="00380142">
        <w:rPr>
          <w:sz w:val="10"/>
          <w:szCs w:val="10"/>
          <w:lang w:val="es-CL"/>
        </w:rPr>
        <w:t xml:space="preserve"> INE 2003</w:t>
      </w:r>
    </w:p>
  </w:footnote>
  <w:footnote w:id="8">
    <w:p w14:paraId="50B539F7" w14:textId="77777777" w:rsidR="00380142" w:rsidRPr="00380142" w:rsidRDefault="00380142" w:rsidP="00380142">
      <w:pPr>
        <w:pStyle w:val="Textonotapie"/>
        <w:rPr>
          <w:sz w:val="10"/>
          <w:szCs w:val="10"/>
          <w:lang w:val="es-CL"/>
        </w:rPr>
      </w:pPr>
      <w:r w:rsidRPr="00BB3662">
        <w:rPr>
          <w:rStyle w:val="Refdenotaalpie"/>
          <w:sz w:val="10"/>
          <w:szCs w:val="10"/>
        </w:rPr>
        <w:footnoteRef/>
      </w:r>
      <w:r w:rsidRPr="00380142">
        <w:rPr>
          <w:sz w:val="10"/>
          <w:szCs w:val="10"/>
          <w:lang w:val="es-CL"/>
        </w:rPr>
        <w:t xml:space="preserve"> Cultivo anuales: incluyen los granos básicos (principalmente maíz y frijol) y hortalizas (principalmente papa, tomate y arveja)</w:t>
      </w:r>
    </w:p>
  </w:footnote>
  <w:footnote w:id="9">
    <w:p w14:paraId="537D9318" w14:textId="77777777" w:rsidR="00380142" w:rsidRPr="00380142" w:rsidRDefault="00380142" w:rsidP="00380142">
      <w:pPr>
        <w:pStyle w:val="Textonotapie"/>
        <w:rPr>
          <w:lang w:val="es-CL"/>
        </w:rPr>
      </w:pPr>
      <w:r w:rsidRPr="00BB3662">
        <w:rPr>
          <w:rStyle w:val="Refdenotaalpie"/>
          <w:sz w:val="10"/>
          <w:szCs w:val="10"/>
        </w:rPr>
        <w:footnoteRef/>
      </w:r>
      <w:r w:rsidRPr="00380142">
        <w:rPr>
          <w:sz w:val="10"/>
          <w:szCs w:val="10"/>
          <w:lang w:val="es-CL"/>
        </w:rPr>
        <w:t xml:space="preserve"> Los sistemas agroforestales se vinculan principalmente con el cultivo de café bajo sombra, pero también pueden incluir otros cultivos como ser el cacao y cardamomo bajo sombra.</w:t>
      </w:r>
    </w:p>
  </w:footnote>
  <w:footnote w:id="10">
    <w:p w14:paraId="1380EA32" w14:textId="77777777" w:rsidR="00380142" w:rsidRPr="000905BE" w:rsidRDefault="00380142" w:rsidP="00380142">
      <w:pPr>
        <w:pStyle w:val="Textonotapie"/>
        <w:rPr>
          <w:sz w:val="10"/>
          <w:szCs w:val="10"/>
        </w:rPr>
      </w:pPr>
      <w:r w:rsidRPr="000905BE">
        <w:rPr>
          <w:rStyle w:val="Refdenotaalpie"/>
          <w:sz w:val="10"/>
          <w:szCs w:val="10"/>
        </w:rPr>
        <w:footnoteRef/>
      </w:r>
      <w:r w:rsidRPr="000905BE">
        <w:rPr>
          <w:sz w:val="10"/>
          <w:szCs w:val="10"/>
        </w:rPr>
        <w:t xml:space="preserve"> FAOSTAT: </w:t>
      </w:r>
      <w:hyperlink r:id="rId2" w:anchor="data/QC" w:history="1">
        <w:r w:rsidRPr="000905BE">
          <w:rPr>
            <w:rStyle w:val="Hipervnculo"/>
            <w:sz w:val="10"/>
            <w:szCs w:val="10"/>
          </w:rPr>
          <w:t>http://www.fao.org/faostat/es/#data/QC</w:t>
        </w:r>
      </w:hyperlink>
      <w:r w:rsidRPr="000905BE">
        <w:rPr>
          <w:sz w:val="10"/>
          <w:szCs w:val="1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6632A" w14:textId="77777777" w:rsidR="007A1346" w:rsidRDefault="007A1346" w:rsidP="002B71F2">
    <w:pPr>
      <w:pStyle w:val="Encabezado"/>
      <w:rPr>
        <w:rStyle w:val="Nmerodepgina"/>
      </w:rPr>
    </w:pPr>
    <w:r>
      <w:rPr>
        <w:noProof/>
        <w:lang w:val="es-CL" w:eastAsia="es-CL" w:bidi="ar-SA"/>
      </w:rPr>
      <mc:AlternateContent>
        <mc:Choice Requires="wps">
          <w:drawing>
            <wp:anchor distT="0" distB="0" distL="114300" distR="114300" simplePos="0" relativeHeight="251697152" behindDoc="0" locked="0" layoutInCell="1" allowOverlap="1" wp14:anchorId="39CB34CC" wp14:editId="43B53F2A">
              <wp:simplePos x="0" y="0"/>
              <wp:positionH relativeFrom="column">
                <wp:posOffset>2856865</wp:posOffset>
              </wp:positionH>
              <wp:positionV relativeFrom="paragraph">
                <wp:posOffset>-104140</wp:posOffset>
              </wp:positionV>
              <wp:extent cx="2136140" cy="566420"/>
              <wp:effectExtent l="0" t="0" r="0" b="508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B34CC" id="_x0000_t202" coordsize="21600,21600" o:spt="202" path="m,l,21600r21600,l21600,xe">
              <v:stroke joinstyle="miter"/>
              <v:path gradientshapeok="t" o:connecttype="rect"/>
            </v:shapetype>
            <v:shape id="Cuadro de texto 24" o:spid="_x0000_s1038" type="#_x0000_t202" style="position:absolute;left:0;text-align:left;margin-left:224.95pt;margin-top:-8.2pt;width:168.2pt;height:4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" filled="f" stroked="f">
              <v:textbo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val="es-CL" w:eastAsia="es-CL" w:bidi="ar-SA"/>
      </w:rPr>
      <mc:AlternateContent>
        <mc:Choice Requires="wps">
          <w:drawing>
            <wp:anchor distT="0" distB="0" distL="114300" distR="114300" simplePos="0" relativeHeight="251698176" behindDoc="0" locked="0" layoutInCell="1" allowOverlap="1" wp14:anchorId="1B450BEC" wp14:editId="42E71229">
              <wp:simplePos x="0" y="0"/>
              <wp:positionH relativeFrom="column">
                <wp:posOffset>-342900</wp:posOffset>
              </wp:positionH>
              <wp:positionV relativeFrom="paragraph">
                <wp:posOffset>-104140</wp:posOffset>
              </wp:positionV>
              <wp:extent cx="3114675" cy="566420"/>
              <wp:effectExtent l="0" t="0" r="0" b="5080"/>
              <wp:wrapNone/>
              <wp:docPr id="2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7781567B" w:rsidR="007A1346" w:rsidRPr="003F7766" w:rsidRDefault="00380142" w:rsidP="002B71F2">
                          <w:pPr>
                            <w:spacing w:after="0" w:line="240" w:lineRule="auto"/>
                            <w:jc w:val="right"/>
                            <w:rPr>
                              <w:b/>
                              <w:sz w:val="15"/>
                              <w:lang w:val="es-CL"/>
                            </w:rPr>
                          </w:pPr>
                          <w:r>
                            <w:rPr>
                              <w:b/>
                              <w:sz w:val="15"/>
                              <w:lang w:val="es-CL"/>
                            </w:rPr>
                            <w:t>CAUSAS DE DEFORESTACIÓN Y DEGRADACIÓN DE BOSQUES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0BEC" id="Cuadro de texto 4" o:spid="_x0000_s1039" type="#_x0000_t202" style="position:absolute;left:0;text-align:left;margin-left:-27pt;margin-top:-8.2pt;width:245.25pt;height:4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" filled="f" stroked="f">
              <v:textbo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7781567B" w:rsidR="007A1346" w:rsidRPr="003F7766" w:rsidRDefault="00380142" w:rsidP="002B71F2">
                    <w:pPr>
                      <w:spacing w:after="0" w:line="240" w:lineRule="auto"/>
                      <w:jc w:val="right"/>
                      <w:rPr>
                        <w:b/>
                        <w:sz w:val="15"/>
                        <w:lang w:val="es-CL"/>
                      </w:rPr>
                    </w:pPr>
                    <w:r>
                      <w:rPr>
                        <w:b/>
                        <w:sz w:val="15"/>
                        <w:lang w:val="es-CL"/>
                      </w:rPr>
                      <w:t>CAUSAS DE DEFORESTACIÓN Y DEGRADACIÓN DE BOSQUES</w:t>
                    </w:r>
                  </w:p>
                </w:txbxContent>
              </v:textbox>
            </v:shape>
          </w:pict>
        </mc:Fallback>
      </mc:AlternateContent>
    </w:r>
    <w:r>
      <w:rPr>
        <w:noProof/>
        <w:lang w:val="es-CL" w:eastAsia="es-CL" w:bidi="ar-SA"/>
      </w:rPr>
      <mc:AlternateContent>
        <mc:Choice Requires="wps">
          <w:drawing>
            <wp:anchor distT="0" distB="0" distL="114299" distR="114299" simplePos="0" relativeHeight="251699200" behindDoc="0" locked="0" layoutInCell="1" allowOverlap="1" wp14:anchorId="35B075ED" wp14:editId="4DA8E66E">
              <wp:simplePos x="0" y="0"/>
              <wp:positionH relativeFrom="column">
                <wp:posOffset>2804159</wp:posOffset>
              </wp:positionH>
              <wp:positionV relativeFrom="paragraph">
                <wp:posOffset>-110490</wp:posOffset>
              </wp:positionV>
              <wp:extent cx="0" cy="612140"/>
              <wp:effectExtent l="0" t="0" r="19050" b="3556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F6A84" id="Conector recto 26"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" strokecolor="#a5a5a5 [2092]" strokeweight="1pt">
              <o:lock v:ext="edit" shapetype="f"/>
            </v:line>
          </w:pict>
        </mc:Fallback>
      </mc:AlternateContent>
    </w:r>
  </w:p>
  <w:p w14:paraId="4247331A" w14:textId="77777777" w:rsidR="007A1346" w:rsidRDefault="007A1346" w:rsidP="002B71F2">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75</w:t>
    </w:r>
    <w:r>
      <w:rPr>
        <w:rStyle w:val="Nmerodepgina"/>
      </w:rPr>
      <w:fldChar w:fldCharType="end"/>
    </w:r>
  </w:p>
  <w:p w14:paraId="40803533" w14:textId="77777777" w:rsidR="007A1346" w:rsidRDefault="007A1346" w:rsidP="002B71F2">
    <w:pPr>
      <w:pStyle w:val="Encabezado"/>
      <w:rPr>
        <w:rStyle w:val="Nmerodepgina"/>
      </w:rPr>
    </w:pPr>
  </w:p>
  <w:p w14:paraId="1185CDAE" w14:textId="77777777" w:rsidR="007A1346" w:rsidRDefault="007A1346" w:rsidP="002B71F2">
    <w:pPr>
      <w:pStyle w:val="Encabezado"/>
      <w:rPr>
        <w:rStyle w:val="Nmerodepgina"/>
      </w:rPr>
    </w:pPr>
    <w:r>
      <w:rPr>
        <w:noProof/>
        <w:lang w:val="es-CL" w:eastAsia="es-CL" w:bidi="ar-SA"/>
      </w:rPr>
      <mc:AlternateContent>
        <mc:Choice Requires="wps">
          <w:drawing>
            <wp:anchor distT="0" distB="0" distL="114300" distR="114300" simplePos="0" relativeHeight="251696128" behindDoc="0" locked="0" layoutInCell="1" allowOverlap="1" wp14:anchorId="639CE1ED" wp14:editId="14942461">
              <wp:simplePos x="0" y="0"/>
              <wp:positionH relativeFrom="column">
                <wp:posOffset>-1145449</wp:posOffset>
              </wp:positionH>
              <wp:positionV relativeFrom="paragraph">
                <wp:posOffset>198838</wp:posOffset>
              </wp:positionV>
              <wp:extent cx="7886700" cy="45719"/>
              <wp:effectExtent l="0" t="0" r="0" b="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3BF3F" id="Rectángulo 27" o:spid="_x0000_s1026" style="position:absolute;margin-left:-90.2pt;margin-top:15.65pt;width:621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" fillcolor="#a5a5a5 [2092]" stroked="f">
              <v:path arrowok="t"/>
            </v:rect>
          </w:pict>
        </mc:Fallback>
      </mc:AlternateContent>
    </w:r>
  </w:p>
  <w:p w14:paraId="5530521E" w14:textId="77777777" w:rsidR="007A1346" w:rsidRDefault="007A1346" w:rsidP="002B71F2">
    <w:pPr>
      <w:pStyle w:val="Encabezado"/>
    </w:pPr>
  </w:p>
  <w:p w14:paraId="5E2ACEA5" w14:textId="77777777" w:rsidR="007A1346" w:rsidRDefault="007A1346" w:rsidP="00D01939">
    <w:pPr>
      <w:pStyle w:val="Encabezado"/>
      <w:tabs>
        <w:tab w:val="clear" w:pos="4419"/>
        <w:tab w:val="clear" w:pos="8838"/>
        <w:tab w:val="left" w:pos="12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A7285"/>
    <w:multiLevelType w:val="hybridMultilevel"/>
    <w:tmpl w:val="C36CBA2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E640B37"/>
    <w:multiLevelType w:val="hybridMultilevel"/>
    <w:tmpl w:val="3F3A1760"/>
    <w:lvl w:ilvl="0" w:tplc="030A0EF6">
      <w:start w:val="1"/>
      <w:numFmt w:val="bullet"/>
      <w:lvlText w:val=""/>
      <w:lvlJc w:val="left"/>
      <w:pPr>
        <w:ind w:left="720" w:hanging="360"/>
      </w:pPr>
      <w:rPr>
        <w:rFonts w:ascii="Wingdings" w:hAnsi="Wingdings" w:hint="default"/>
        <w:color w:val="632423" w:themeColor="accent2" w:themeShade="80"/>
        <w:sz w:val="22"/>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A35790F"/>
    <w:multiLevelType w:val="hybridMultilevel"/>
    <w:tmpl w:val="08E6CC42"/>
    <w:lvl w:ilvl="0" w:tplc="02CA7990">
      <w:start w:val="1"/>
      <w:numFmt w:val="bullet"/>
      <w:lvlText w:val=""/>
      <w:lvlJc w:val="left"/>
      <w:pPr>
        <w:ind w:left="360" w:hanging="360"/>
      </w:pPr>
      <w:rPr>
        <w:rFonts w:ascii="Wingdings" w:hAnsi="Wingdings" w:hint="default"/>
        <w:color w:val="403152" w:themeColor="accent4" w:themeShade="80"/>
        <w:sz w:val="22"/>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cs="Wingdings" w:hint="default"/>
      </w:rPr>
    </w:lvl>
    <w:lvl w:ilvl="3" w:tplc="340A0001" w:tentative="1">
      <w:start w:val="1"/>
      <w:numFmt w:val="bullet"/>
      <w:lvlText w:val=""/>
      <w:lvlJc w:val="left"/>
      <w:pPr>
        <w:ind w:left="2520" w:hanging="360"/>
      </w:pPr>
      <w:rPr>
        <w:rFonts w:ascii="Symbol" w:hAnsi="Symbol" w:cs="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cs="Wingdings" w:hint="default"/>
      </w:rPr>
    </w:lvl>
    <w:lvl w:ilvl="6" w:tplc="340A0001" w:tentative="1">
      <w:start w:val="1"/>
      <w:numFmt w:val="bullet"/>
      <w:lvlText w:val=""/>
      <w:lvlJc w:val="left"/>
      <w:pPr>
        <w:ind w:left="4680" w:hanging="360"/>
      </w:pPr>
      <w:rPr>
        <w:rFonts w:ascii="Symbol" w:hAnsi="Symbol" w:cs="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39220D5A"/>
    <w:multiLevelType w:val="hybridMultilevel"/>
    <w:tmpl w:val="4F6C3DF4"/>
    <w:lvl w:ilvl="0" w:tplc="0FB84D4A">
      <w:start w:val="1"/>
      <w:numFmt w:val="bullet"/>
      <w:lvlText w:val=""/>
      <w:lvlJc w:val="left"/>
      <w:pPr>
        <w:ind w:left="502" w:hanging="360"/>
      </w:pPr>
      <w:rPr>
        <w:rFonts w:ascii="Wingdings" w:hAnsi="Wingdings" w:hint="default"/>
        <w:color w:val="632423" w:themeColor="accent2" w:themeShade="80"/>
      </w:rPr>
    </w:lvl>
    <w:lvl w:ilvl="1" w:tplc="340A0003" w:tentative="1">
      <w:start w:val="1"/>
      <w:numFmt w:val="bullet"/>
      <w:lvlText w:val="o"/>
      <w:lvlJc w:val="left"/>
      <w:pPr>
        <w:ind w:left="1222" w:hanging="360"/>
      </w:pPr>
      <w:rPr>
        <w:rFonts w:ascii="Courier New" w:hAnsi="Courier New" w:cs="Courier New" w:hint="default"/>
      </w:rPr>
    </w:lvl>
    <w:lvl w:ilvl="2" w:tplc="340A0005" w:tentative="1">
      <w:start w:val="1"/>
      <w:numFmt w:val="bullet"/>
      <w:lvlText w:val=""/>
      <w:lvlJc w:val="left"/>
      <w:pPr>
        <w:ind w:left="1942" w:hanging="360"/>
      </w:pPr>
      <w:rPr>
        <w:rFonts w:ascii="Wingdings" w:hAnsi="Wingdings" w:cs="Wingdings" w:hint="default"/>
      </w:rPr>
    </w:lvl>
    <w:lvl w:ilvl="3" w:tplc="340A0001" w:tentative="1">
      <w:start w:val="1"/>
      <w:numFmt w:val="bullet"/>
      <w:lvlText w:val=""/>
      <w:lvlJc w:val="left"/>
      <w:pPr>
        <w:ind w:left="2662" w:hanging="360"/>
      </w:pPr>
      <w:rPr>
        <w:rFonts w:ascii="Symbol" w:hAnsi="Symbol" w:cs="Symbol" w:hint="default"/>
      </w:rPr>
    </w:lvl>
    <w:lvl w:ilvl="4" w:tplc="340A0003" w:tentative="1">
      <w:start w:val="1"/>
      <w:numFmt w:val="bullet"/>
      <w:lvlText w:val="o"/>
      <w:lvlJc w:val="left"/>
      <w:pPr>
        <w:ind w:left="3382" w:hanging="360"/>
      </w:pPr>
      <w:rPr>
        <w:rFonts w:ascii="Courier New" w:hAnsi="Courier New" w:cs="Courier New" w:hint="default"/>
      </w:rPr>
    </w:lvl>
    <w:lvl w:ilvl="5" w:tplc="340A0005" w:tentative="1">
      <w:start w:val="1"/>
      <w:numFmt w:val="bullet"/>
      <w:lvlText w:val=""/>
      <w:lvlJc w:val="left"/>
      <w:pPr>
        <w:ind w:left="4102" w:hanging="360"/>
      </w:pPr>
      <w:rPr>
        <w:rFonts w:ascii="Wingdings" w:hAnsi="Wingdings" w:cs="Wingdings" w:hint="default"/>
      </w:rPr>
    </w:lvl>
    <w:lvl w:ilvl="6" w:tplc="340A0001" w:tentative="1">
      <w:start w:val="1"/>
      <w:numFmt w:val="bullet"/>
      <w:lvlText w:val=""/>
      <w:lvlJc w:val="left"/>
      <w:pPr>
        <w:ind w:left="4822" w:hanging="360"/>
      </w:pPr>
      <w:rPr>
        <w:rFonts w:ascii="Symbol" w:hAnsi="Symbol" w:cs="Symbol" w:hint="default"/>
      </w:rPr>
    </w:lvl>
    <w:lvl w:ilvl="7" w:tplc="340A0003" w:tentative="1">
      <w:start w:val="1"/>
      <w:numFmt w:val="bullet"/>
      <w:lvlText w:val="o"/>
      <w:lvlJc w:val="left"/>
      <w:pPr>
        <w:ind w:left="5542" w:hanging="360"/>
      </w:pPr>
      <w:rPr>
        <w:rFonts w:ascii="Courier New" w:hAnsi="Courier New" w:cs="Courier New" w:hint="default"/>
      </w:rPr>
    </w:lvl>
    <w:lvl w:ilvl="8" w:tplc="340A0005" w:tentative="1">
      <w:start w:val="1"/>
      <w:numFmt w:val="bullet"/>
      <w:lvlText w:val=""/>
      <w:lvlJc w:val="left"/>
      <w:pPr>
        <w:ind w:left="6262" w:hanging="360"/>
      </w:pPr>
      <w:rPr>
        <w:rFonts w:ascii="Wingdings" w:hAnsi="Wingdings" w:cs="Wingdings" w:hint="default"/>
      </w:rPr>
    </w:lvl>
  </w:abstractNum>
  <w:abstractNum w:abstractNumId="4" w15:restartNumberingAfterBreak="0">
    <w:nsid w:val="3983267D"/>
    <w:multiLevelType w:val="hybridMultilevel"/>
    <w:tmpl w:val="9BB87F0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FC8285B"/>
    <w:multiLevelType w:val="multilevel"/>
    <w:tmpl w:val="23FCF1A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val="0"/>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4C4F3F0E"/>
    <w:multiLevelType w:val="hybridMultilevel"/>
    <w:tmpl w:val="47A05756"/>
    <w:lvl w:ilvl="0" w:tplc="E970EB68">
      <w:start w:val="1"/>
      <w:numFmt w:val="bullet"/>
      <w:lvlText w:val=""/>
      <w:lvlJc w:val="left"/>
      <w:pPr>
        <w:ind w:left="720" w:hanging="360"/>
      </w:pPr>
      <w:rPr>
        <w:rFonts w:ascii="Wingdings" w:hAnsi="Wingdings" w:hint="default"/>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CF72DC3"/>
    <w:multiLevelType w:val="hybridMultilevel"/>
    <w:tmpl w:val="87FA2422"/>
    <w:lvl w:ilvl="0" w:tplc="96943B80">
      <w:start w:val="1"/>
      <w:numFmt w:val="bullet"/>
      <w:lvlText w:val=""/>
      <w:lvlJc w:val="left"/>
      <w:pPr>
        <w:ind w:left="360" w:hanging="360"/>
      </w:pPr>
      <w:rPr>
        <w:rFonts w:ascii="Wingdings" w:hAnsi="Wingdings" w:hint="default"/>
        <w:color w:val="632423" w:themeColor="accent2" w:themeShade="80"/>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cs="Wingdings" w:hint="default"/>
      </w:rPr>
    </w:lvl>
    <w:lvl w:ilvl="3" w:tplc="340A0001" w:tentative="1">
      <w:start w:val="1"/>
      <w:numFmt w:val="bullet"/>
      <w:lvlText w:val=""/>
      <w:lvlJc w:val="left"/>
      <w:pPr>
        <w:ind w:left="2520" w:hanging="360"/>
      </w:pPr>
      <w:rPr>
        <w:rFonts w:ascii="Symbol" w:hAnsi="Symbol" w:cs="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cs="Wingdings" w:hint="default"/>
      </w:rPr>
    </w:lvl>
    <w:lvl w:ilvl="6" w:tplc="340A0001" w:tentative="1">
      <w:start w:val="1"/>
      <w:numFmt w:val="bullet"/>
      <w:lvlText w:val=""/>
      <w:lvlJc w:val="left"/>
      <w:pPr>
        <w:ind w:left="4680" w:hanging="360"/>
      </w:pPr>
      <w:rPr>
        <w:rFonts w:ascii="Symbol" w:hAnsi="Symbol" w:cs="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cs="Wingdings" w:hint="default"/>
      </w:rPr>
    </w:lvl>
  </w:abstractNum>
  <w:abstractNum w:abstractNumId="8" w15:restartNumberingAfterBreak="0">
    <w:nsid w:val="722B204D"/>
    <w:multiLevelType w:val="hybridMultilevel"/>
    <w:tmpl w:val="93BACD3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3"/>
  </w:num>
  <w:num w:numId="5">
    <w:abstractNumId w:val="0"/>
  </w:num>
  <w:num w:numId="6">
    <w:abstractNumId w:val="8"/>
  </w:num>
  <w:num w:numId="7">
    <w:abstractNumId w:val="7"/>
  </w:num>
  <w:num w:numId="8">
    <w:abstractNumId w:val="2"/>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5E3"/>
    <w:rsid w:val="00000945"/>
    <w:rsid w:val="00002780"/>
    <w:rsid w:val="00005A9A"/>
    <w:rsid w:val="000062F2"/>
    <w:rsid w:val="00007809"/>
    <w:rsid w:val="000120AB"/>
    <w:rsid w:val="00012115"/>
    <w:rsid w:val="0001279A"/>
    <w:rsid w:val="00012B7B"/>
    <w:rsid w:val="000138A4"/>
    <w:rsid w:val="00014A94"/>
    <w:rsid w:val="00015206"/>
    <w:rsid w:val="000167BA"/>
    <w:rsid w:val="00017E2C"/>
    <w:rsid w:val="00020160"/>
    <w:rsid w:val="00022B2B"/>
    <w:rsid w:val="00022B6B"/>
    <w:rsid w:val="000253DE"/>
    <w:rsid w:val="00026716"/>
    <w:rsid w:val="00027713"/>
    <w:rsid w:val="000300B7"/>
    <w:rsid w:val="0003075A"/>
    <w:rsid w:val="00031DDB"/>
    <w:rsid w:val="00032009"/>
    <w:rsid w:val="00033E9B"/>
    <w:rsid w:val="00036BBB"/>
    <w:rsid w:val="00036D5A"/>
    <w:rsid w:val="000371C1"/>
    <w:rsid w:val="000404B0"/>
    <w:rsid w:val="00043E6D"/>
    <w:rsid w:val="0005009B"/>
    <w:rsid w:val="00050C25"/>
    <w:rsid w:val="0005149E"/>
    <w:rsid w:val="00053471"/>
    <w:rsid w:val="00053CB4"/>
    <w:rsid w:val="000540A2"/>
    <w:rsid w:val="00057D00"/>
    <w:rsid w:val="00060456"/>
    <w:rsid w:val="00060F41"/>
    <w:rsid w:val="00065CD3"/>
    <w:rsid w:val="00067222"/>
    <w:rsid w:val="000712C6"/>
    <w:rsid w:val="00071FA3"/>
    <w:rsid w:val="00072BDF"/>
    <w:rsid w:val="000736FE"/>
    <w:rsid w:val="00074387"/>
    <w:rsid w:val="00075FCD"/>
    <w:rsid w:val="00076EF6"/>
    <w:rsid w:val="0008017D"/>
    <w:rsid w:val="00080618"/>
    <w:rsid w:val="000814DF"/>
    <w:rsid w:val="000815F0"/>
    <w:rsid w:val="00081800"/>
    <w:rsid w:val="000823A4"/>
    <w:rsid w:val="00084C93"/>
    <w:rsid w:val="00085247"/>
    <w:rsid w:val="0009313F"/>
    <w:rsid w:val="000935A2"/>
    <w:rsid w:val="00094204"/>
    <w:rsid w:val="00095D16"/>
    <w:rsid w:val="000A1C61"/>
    <w:rsid w:val="000A2296"/>
    <w:rsid w:val="000A40E0"/>
    <w:rsid w:val="000A7400"/>
    <w:rsid w:val="000B004C"/>
    <w:rsid w:val="000B1F55"/>
    <w:rsid w:val="000B2269"/>
    <w:rsid w:val="000B3AAB"/>
    <w:rsid w:val="000C2ED6"/>
    <w:rsid w:val="000C44F4"/>
    <w:rsid w:val="000C5A3E"/>
    <w:rsid w:val="000C6AFB"/>
    <w:rsid w:val="000C6BC3"/>
    <w:rsid w:val="000D13B9"/>
    <w:rsid w:val="000D3052"/>
    <w:rsid w:val="000D436C"/>
    <w:rsid w:val="000D5051"/>
    <w:rsid w:val="000D5798"/>
    <w:rsid w:val="000D58AD"/>
    <w:rsid w:val="000D5FA0"/>
    <w:rsid w:val="000E0260"/>
    <w:rsid w:val="000E0510"/>
    <w:rsid w:val="000E4C62"/>
    <w:rsid w:val="000F092E"/>
    <w:rsid w:val="000F0CE1"/>
    <w:rsid w:val="000F19E8"/>
    <w:rsid w:val="000F2862"/>
    <w:rsid w:val="000F486B"/>
    <w:rsid w:val="000F4A0B"/>
    <w:rsid w:val="000F6984"/>
    <w:rsid w:val="000F7E0C"/>
    <w:rsid w:val="001005A9"/>
    <w:rsid w:val="0010330A"/>
    <w:rsid w:val="001041CA"/>
    <w:rsid w:val="001046DC"/>
    <w:rsid w:val="00104DFE"/>
    <w:rsid w:val="001055B2"/>
    <w:rsid w:val="00105D39"/>
    <w:rsid w:val="00105E04"/>
    <w:rsid w:val="001112A7"/>
    <w:rsid w:val="00114E0B"/>
    <w:rsid w:val="001162E3"/>
    <w:rsid w:val="001166C5"/>
    <w:rsid w:val="00116C07"/>
    <w:rsid w:val="001219E6"/>
    <w:rsid w:val="00122116"/>
    <w:rsid w:val="001229F4"/>
    <w:rsid w:val="001246D7"/>
    <w:rsid w:val="00125C95"/>
    <w:rsid w:val="00130283"/>
    <w:rsid w:val="00131164"/>
    <w:rsid w:val="00131C84"/>
    <w:rsid w:val="00131E47"/>
    <w:rsid w:val="00135C36"/>
    <w:rsid w:val="0013605D"/>
    <w:rsid w:val="001367F8"/>
    <w:rsid w:val="00137062"/>
    <w:rsid w:val="0013715E"/>
    <w:rsid w:val="00137AA0"/>
    <w:rsid w:val="001410C4"/>
    <w:rsid w:val="001411D6"/>
    <w:rsid w:val="00141C62"/>
    <w:rsid w:val="001468C1"/>
    <w:rsid w:val="00152694"/>
    <w:rsid w:val="00152876"/>
    <w:rsid w:val="00152937"/>
    <w:rsid w:val="00153A52"/>
    <w:rsid w:val="00153C83"/>
    <w:rsid w:val="00154F84"/>
    <w:rsid w:val="001556B0"/>
    <w:rsid w:val="00156680"/>
    <w:rsid w:val="00156BCC"/>
    <w:rsid w:val="001571D5"/>
    <w:rsid w:val="0015797F"/>
    <w:rsid w:val="001609CC"/>
    <w:rsid w:val="00162A4C"/>
    <w:rsid w:val="00165909"/>
    <w:rsid w:val="001660F5"/>
    <w:rsid w:val="001715BC"/>
    <w:rsid w:val="00171BC2"/>
    <w:rsid w:val="00171D9D"/>
    <w:rsid w:val="00172313"/>
    <w:rsid w:val="00172A35"/>
    <w:rsid w:val="00173278"/>
    <w:rsid w:val="001736E0"/>
    <w:rsid w:val="0017569F"/>
    <w:rsid w:val="00175A6E"/>
    <w:rsid w:val="00176020"/>
    <w:rsid w:val="001766DD"/>
    <w:rsid w:val="00176A69"/>
    <w:rsid w:val="00180CD5"/>
    <w:rsid w:val="00181474"/>
    <w:rsid w:val="0018265A"/>
    <w:rsid w:val="001845F2"/>
    <w:rsid w:val="00187327"/>
    <w:rsid w:val="00191661"/>
    <w:rsid w:val="00192572"/>
    <w:rsid w:val="00195C27"/>
    <w:rsid w:val="00195C68"/>
    <w:rsid w:val="001A0F9B"/>
    <w:rsid w:val="001A1F82"/>
    <w:rsid w:val="001A20F1"/>
    <w:rsid w:val="001B06F7"/>
    <w:rsid w:val="001B0FE8"/>
    <w:rsid w:val="001B34F9"/>
    <w:rsid w:val="001B430D"/>
    <w:rsid w:val="001B4429"/>
    <w:rsid w:val="001B51E4"/>
    <w:rsid w:val="001B6663"/>
    <w:rsid w:val="001B679B"/>
    <w:rsid w:val="001C06C4"/>
    <w:rsid w:val="001C0BE8"/>
    <w:rsid w:val="001C1C32"/>
    <w:rsid w:val="001C3667"/>
    <w:rsid w:val="001C428C"/>
    <w:rsid w:val="001C638F"/>
    <w:rsid w:val="001C7961"/>
    <w:rsid w:val="001D054D"/>
    <w:rsid w:val="001D2D1D"/>
    <w:rsid w:val="001D3804"/>
    <w:rsid w:val="001D4677"/>
    <w:rsid w:val="001D6446"/>
    <w:rsid w:val="001D6E84"/>
    <w:rsid w:val="001E4AD0"/>
    <w:rsid w:val="001E6465"/>
    <w:rsid w:val="001E6D54"/>
    <w:rsid w:val="001F0DEC"/>
    <w:rsid w:val="001F2377"/>
    <w:rsid w:val="001F2654"/>
    <w:rsid w:val="001F2F4F"/>
    <w:rsid w:val="001F5067"/>
    <w:rsid w:val="00201186"/>
    <w:rsid w:val="002013ED"/>
    <w:rsid w:val="00203204"/>
    <w:rsid w:val="00203C4F"/>
    <w:rsid w:val="00205E61"/>
    <w:rsid w:val="00212032"/>
    <w:rsid w:val="00212192"/>
    <w:rsid w:val="002133C0"/>
    <w:rsid w:val="00215618"/>
    <w:rsid w:val="00215715"/>
    <w:rsid w:val="00217CFB"/>
    <w:rsid w:val="00217D42"/>
    <w:rsid w:val="00221FAB"/>
    <w:rsid w:val="00222831"/>
    <w:rsid w:val="00224ED3"/>
    <w:rsid w:val="002270E0"/>
    <w:rsid w:val="00227733"/>
    <w:rsid w:val="00227CD3"/>
    <w:rsid w:val="00231989"/>
    <w:rsid w:val="0023300A"/>
    <w:rsid w:val="00233BCD"/>
    <w:rsid w:val="00234A28"/>
    <w:rsid w:val="002366E3"/>
    <w:rsid w:val="002376DE"/>
    <w:rsid w:val="002414DF"/>
    <w:rsid w:val="002415B9"/>
    <w:rsid w:val="00244627"/>
    <w:rsid w:val="00245510"/>
    <w:rsid w:val="002470AD"/>
    <w:rsid w:val="00250371"/>
    <w:rsid w:val="00251314"/>
    <w:rsid w:val="00255334"/>
    <w:rsid w:val="00255764"/>
    <w:rsid w:val="002564AD"/>
    <w:rsid w:val="00257018"/>
    <w:rsid w:val="00257044"/>
    <w:rsid w:val="00257BDC"/>
    <w:rsid w:val="0026112F"/>
    <w:rsid w:val="002618E3"/>
    <w:rsid w:val="00261E7D"/>
    <w:rsid w:val="00262DE0"/>
    <w:rsid w:val="00266E6D"/>
    <w:rsid w:val="00270720"/>
    <w:rsid w:val="0027305D"/>
    <w:rsid w:val="0027370E"/>
    <w:rsid w:val="00277B93"/>
    <w:rsid w:val="00280677"/>
    <w:rsid w:val="0028071F"/>
    <w:rsid w:val="00284376"/>
    <w:rsid w:val="00285BCA"/>
    <w:rsid w:val="00286B57"/>
    <w:rsid w:val="002913E4"/>
    <w:rsid w:val="002919D6"/>
    <w:rsid w:val="00291D0A"/>
    <w:rsid w:val="00291F95"/>
    <w:rsid w:val="002935F8"/>
    <w:rsid w:val="002958AD"/>
    <w:rsid w:val="00296874"/>
    <w:rsid w:val="002973FB"/>
    <w:rsid w:val="002A054D"/>
    <w:rsid w:val="002A345F"/>
    <w:rsid w:val="002A3E96"/>
    <w:rsid w:val="002A5320"/>
    <w:rsid w:val="002A651C"/>
    <w:rsid w:val="002A7D3D"/>
    <w:rsid w:val="002B0E74"/>
    <w:rsid w:val="002B1074"/>
    <w:rsid w:val="002B18D1"/>
    <w:rsid w:val="002B58E0"/>
    <w:rsid w:val="002B6D37"/>
    <w:rsid w:val="002B6EFE"/>
    <w:rsid w:val="002B71F2"/>
    <w:rsid w:val="002B74B4"/>
    <w:rsid w:val="002B78BE"/>
    <w:rsid w:val="002B7C65"/>
    <w:rsid w:val="002C06A4"/>
    <w:rsid w:val="002C425D"/>
    <w:rsid w:val="002C4BAE"/>
    <w:rsid w:val="002C4C1A"/>
    <w:rsid w:val="002D0145"/>
    <w:rsid w:val="002D0D99"/>
    <w:rsid w:val="002D2A23"/>
    <w:rsid w:val="002D450F"/>
    <w:rsid w:val="002D5C97"/>
    <w:rsid w:val="002E2069"/>
    <w:rsid w:val="002E290D"/>
    <w:rsid w:val="002E4490"/>
    <w:rsid w:val="002E5B27"/>
    <w:rsid w:val="002E6F19"/>
    <w:rsid w:val="002E772B"/>
    <w:rsid w:val="002F01AE"/>
    <w:rsid w:val="002F11C8"/>
    <w:rsid w:val="002F2104"/>
    <w:rsid w:val="002F3C43"/>
    <w:rsid w:val="002F45D7"/>
    <w:rsid w:val="002F52A5"/>
    <w:rsid w:val="002F7757"/>
    <w:rsid w:val="002F7CEA"/>
    <w:rsid w:val="0030034F"/>
    <w:rsid w:val="00302B54"/>
    <w:rsid w:val="00302E2C"/>
    <w:rsid w:val="00303AF8"/>
    <w:rsid w:val="00305A5E"/>
    <w:rsid w:val="003066AC"/>
    <w:rsid w:val="00310841"/>
    <w:rsid w:val="0031120F"/>
    <w:rsid w:val="00311CBC"/>
    <w:rsid w:val="003126BC"/>
    <w:rsid w:val="00312A75"/>
    <w:rsid w:val="00313440"/>
    <w:rsid w:val="0031448A"/>
    <w:rsid w:val="00316011"/>
    <w:rsid w:val="00317686"/>
    <w:rsid w:val="00320A4A"/>
    <w:rsid w:val="003218BF"/>
    <w:rsid w:val="00323D19"/>
    <w:rsid w:val="003246C7"/>
    <w:rsid w:val="003259E3"/>
    <w:rsid w:val="00326BC7"/>
    <w:rsid w:val="00327CEE"/>
    <w:rsid w:val="003300C1"/>
    <w:rsid w:val="00330A5F"/>
    <w:rsid w:val="00330F6D"/>
    <w:rsid w:val="00331CA2"/>
    <w:rsid w:val="00332940"/>
    <w:rsid w:val="00332A30"/>
    <w:rsid w:val="00334A14"/>
    <w:rsid w:val="0033734A"/>
    <w:rsid w:val="003440AB"/>
    <w:rsid w:val="0034614D"/>
    <w:rsid w:val="00350C38"/>
    <w:rsid w:val="00351BAC"/>
    <w:rsid w:val="003528D8"/>
    <w:rsid w:val="00354A2E"/>
    <w:rsid w:val="00354ACB"/>
    <w:rsid w:val="00360167"/>
    <w:rsid w:val="00362201"/>
    <w:rsid w:val="00363FE2"/>
    <w:rsid w:val="00364016"/>
    <w:rsid w:val="00366C37"/>
    <w:rsid w:val="00370814"/>
    <w:rsid w:val="003727C3"/>
    <w:rsid w:val="00374452"/>
    <w:rsid w:val="0037699F"/>
    <w:rsid w:val="0037709F"/>
    <w:rsid w:val="00380142"/>
    <w:rsid w:val="00380193"/>
    <w:rsid w:val="00380E36"/>
    <w:rsid w:val="003811B6"/>
    <w:rsid w:val="00381982"/>
    <w:rsid w:val="003826F0"/>
    <w:rsid w:val="00382CDB"/>
    <w:rsid w:val="003841A4"/>
    <w:rsid w:val="00384FCA"/>
    <w:rsid w:val="00385AAC"/>
    <w:rsid w:val="003873AB"/>
    <w:rsid w:val="0039141A"/>
    <w:rsid w:val="003914FB"/>
    <w:rsid w:val="00392292"/>
    <w:rsid w:val="00393B82"/>
    <w:rsid w:val="00393CB8"/>
    <w:rsid w:val="003962FB"/>
    <w:rsid w:val="003964BB"/>
    <w:rsid w:val="00396798"/>
    <w:rsid w:val="003A0A54"/>
    <w:rsid w:val="003A1778"/>
    <w:rsid w:val="003A1F6A"/>
    <w:rsid w:val="003A2BCE"/>
    <w:rsid w:val="003A2E17"/>
    <w:rsid w:val="003A3C45"/>
    <w:rsid w:val="003A494C"/>
    <w:rsid w:val="003A49C0"/>
    <w:rsid w:val="003A5790"/>
    <w:rsid w:val="003B01EF"/>
    <w:rsid w:val="003B19BB"/>
    <w:rsid w:val="003B2442"/>
    <w:rsid w:val="003B280B"/>
    <w:rsid w:val="003B2BC6"/>
    <w:rsid w:val="003B3E26"/>
    <w:rsid w:val="003B5016"/>
    <w:rsid w:val="003B578F"/>
    <w:rsid w:val="003C11A1"/>
    <w:rsid w:val="003C3322"/>
    <w:rsid w:val="003C6820"/>
    <w:rsid w:val="003C763A"/>
    <w:rsid w:val="003D0108"/>
    <w:rsid w:val="003D1A76"/>
    <w:rsid w:val="003D2C06"/>
    <w:rsid w:val="003D3D9A"/>
    <w:rsid w:val="003D5958"/>
    <w:rsid w:val="003D59E8"/>
    <w:rsid w:val="003D6D97"/>
    <w:rsid w:val="003D7427"/>
    <w:rsid w:val="003E093C"/>
    <w:rsid w:val="003E1808"/>
    <w:rsid w:val="003E1895"/>
    <w:rsid w:val="003E4394"/>
    <w:rsid w:val="003E4A24"/>
    <w:rsid w:val="003E5281"/>
    <w:rsid w:val="003E5B34"/>
    <w:rsid w:val="003E70D8"/>
    <w:rsid w:val="003E7EEF"/>
    <w:rsid w:val="003F1B7E"/>
    <w:rsid w:val="003F2F66"/>
    <w:rsid w:val="003F3219"/>
    <w:rsid w:val="003F6838"/>
    <w:rsid w:val="003F74DB"/>
    <w:rsid w:val="003F7766"/>
    <w:rsid w:val="003F7806"/>
    <w:rsid w:val="0040043B"/>
    <w:rsid w:val="00400CBD"/>
    <w:rsid w:val="00402781"/>
    <w:rsid w:val="004044D3"/>
    <w:rsid w:val="00404521"/>
    <w:rsid w:val="00404D55"/>
    <w:rsid w:val="004057BB"/>
    <w:rsid w:val="00407C17"/>
    <w:rsid w:val="00410C1F"/>
    <w:rsid w:val="00412060"/>
    <w:rsid w:val="004142BF"/>
    <w:rsid w:val="00414363"/>
    <w:rsid w:val="00416DCB"/>
    <w:rsid w:val="00420024"/>
    <w:rsid w:val="004209BA"/>
    <w:rsid w:val="00421A6D"/>
    <w:rsid w:val="00421D02"/>
    <w:rsid w:val="004223F2"/>
    <w:rsid w:val="004242DE"/>
    <w:rsid w:val="0042622B"/>
    <w:rsid w:val="0043235D"/>
    <w:rsid w:val="00436320"/>
    <w:rsid w:val="004400B9"/>
    <w:rsid w:val="004400D3"/>
    <w:rsid w:val="00441DC8"/>
    <w:rsid w:val="0044256B"/>
    <w:rsid w:val="00442F8E"/>
    <w:rsid w:val="00445CD6"/>
    <w:rsid w:val="004463F5"/>
    <w:rsid w:val="00447429"/>
    <w:rsid w:val="00450E64"/>
    <w:rsid w:val="00452DB0"/>
    <w:rsid w:val="004549EF"/>
    <w:rsid w:val="00455C99"/>
    <w:rsid w:val="004572E9"/>
    <w:rsid w:val="00460271"/>
    <w:rsid w:val="00460719"/>
    <w:rsid w:val="00460D01"/>
    <w:rsid w:val="00462EFC"/>
    <w:rsid w:val="00465A99"/>
    <w:rsid w:val="00467681"/>
    <w:rsid w:val="00467708"/>
    <w:rsid w:val="00470A06"/>
    <w:rsid w:val="00470C1E"/>
    <w:rsid w:val="00473296"/>
    <w:rsid w:val="00473481"/>
    <w:rsid w:val="00473C9E"/>
    <w:rsid w:val="00475F0F"/>
    <w:rsid w:val="0048082E"/>
    <w:rsid w:val="00480834"/>
    <w:rsid w:val="00480ECA"/>
    <w:rsid w:val="00484085"/>
    <w:rsid w:val="00485630"/>
    <w:rsid w:val="00486E29"/>
    <w:rsid w:val="00490EC2"/>
    <w:rsid w:val="00492C4A"/>
    <w:rsid w:val="0049414C"/>
    <w:rsid w:val="00494E69"/>
    <w:rsid w:val="0049521A"/>
    <w:rsid w:val="00495BC8"/>
    <w:rsid w:val="004A1718"/>
    <w:rsid w:val="004A7EFB"/>
    <w:rsid w:val="004B0F4B"/>
    <w:rsid w:val="004B2E6E"/>
    <w:rsid w:val="004B307C"/>
    <w:rsid w:val="004B3BB8"/>
    <w:rsid w:val="004B3F3C"/>
    <w:rsid w:val="004C1C31"/>
    <w:rsid w:val="004C2453"/>
    <w:rsid w:val="004C3052"/>
    <w:rsid w:val="004C43EA"/>
    <w:rsid w:val="004C5C32"/>
    <w:rsid w:val="004C6B80"/>
    <w:rsid w:val="004C781E"/>
    <w:rsid w:val="004C7AEE"/>
    <w:rsid w:val="004D1092"/>
    <w:rsid w:val="004D36C4"/>
    <w:rsid w:val="004D72FD"/>
    <w:rsid w:val="004D7CB6"/>
    <w:rsid w:val="004E075C"/>
    <w:rsid w:val="004E0D95"/>
    <w:rsid w:val="004E0EE2"/>
    <w:rsid w:val="004E1403"/>
    <w:rsid w:val="004E1B0D"/>
    <w:rsid w:val="004E308D"/>
    <w:rsid w:val="004E3DC3"/>
    <w:rsid w:val="004E3E0A"/>
    <w:rsid w:val="004E61DC"/>
    <w:rsid w:val="004E6783"/>
    <w:rsid w:val="004E7EE6"/>
    <w:rsid w:val="004E7FBF"/>
    <w:rsid w:val="004F305F"/>
    <w:rsid w:val="004F6172"/>
    <w:rsid w:val="004F7CF6"/>
    <w:rsid w:val="00500050"/>
    <w:rsid w:val="00500120"/>
    <w:rsid w:val="00500CF2"/>
    <w:rsid w:val="0050259D"/>
    <w:rsid w:val="005026D7"/>
    <w:rsid w:val="00502D19"/>
    <w:rsid w:val="005037D8"/>
    <w:rsid w:val="00505AAE"/>
    <w:rsid w:val="00510774"/>
    <w:rsid w:val="00510825"/>
    <w:rsid w:val="005118D0"/>
    <w:rsid w:val="00511AC7"/>
    <w:rsid w:val="005121ED"/>
    <w:rsid w:val="00513737"/>
    <w:rsid w:val="00514138"/>
    <w:rsid w:val="00515694"/>
    <w:rsid w:val="00516548"/>
    <w:rsid w:val="005175EF"/>
    <w:rsid w:val="00517735"/>
    <w:rsid w:val="00520AEF"/>
    <w:rsid w:val="00522DC2"/>
    <w:rsid w:val="0052362B"/>
    <w:rsid w:val="00524F72"/>
    <w:rsid w:val="005262CD"/>
    <w:rsid w:val="00526617"/>
    <w:rsid w:val="005271B4"/>
    <w:rsid w:val="00527BAE"/>
    <w:rsid w:val="005320FD"/>
    <w:rsid w:val="005327A5"/>
    <w:rsid w:val="00533C91"/>
    <w:rsid w:val="00534466"/>
    <w:rsid w:val="00534C3F"/>
    <w:rsid w:val="005365A0"/>
    <w:rsid w:val="005421FC"/>
    <w:rsid w:val="005439D6"/>
    <w:rsid w:val="00550167"/>
    <w:rsid w:val="0055024C"/>
    <w:rsid w:val="005518E8"/>
    <w:rsid w:val="00553F7E"/>
    <w:rsid w:val="00554664"/>
    <w:rsid w:val="00554AA9"/>
    <w:rsid w:val="0055743D"/>
    <w:rsid w:val="00561897"/>
    <w:rsid w:val="00561B09"/>
    <w:rsid w:val="005624D7"/>
    <w:rsid w:val="0056635B"/>
    <w:rsid w:val="00566CA6"/>
    <w:rsid w:val="0056719F"/>
    <w:rsid w:val="00571518"/>
    <w:rsid w:val="005716A9"/>
    <w:rsid w:val="00574006"/>
    <w:rsid w:val="005740CA"/>
    <w:rsid w:val="00575F8A"/>
    <w:rsid w:val="005762E3"/>
    <w:rsid w:val="00580292"/>
    <w:rsid w:val="00580760"/>
    <w:rsid w:val="00581CFE"/>
    <w:rsid w:val="00582C89"/>
    <w:rsid w:val="0058637E"/>
    <w:rsid w:val="00586549"/>
    <w:rsid w:val="005903CC"/>
    <w:rsid w:val="00590D21"/>
    <w:rsid w:val="005910AD"/>
    <w:rsid w:val="005910BA"/>
    <w:rsid w:val="00591A54"/>
    <w:rsid w:val="005922B8"/>
    <w:rsid w:val="005925EE"/>
    <w:rsid w:val="0059433C"/>
    <w:rsid w:val="00594394"/>
    <w:rsid w:val="00594AFF"/>
    <w:rsid w:val="00595B1E"/>
    <w:rsid w:val="005972AA"/>
    <w:rsid w:val="0059789E"/>
    <w:rsid w:val="00597EEE"/>
    <w:rsid w:val="005A0278"/>
    <w:rsid w:val="005A0F37"/>
    <w:rsid w:val="005A1968"/>
    <w:rsid w:val="005A1C0D"/>
    <w:rsid w:val="005A466D"/>
    <w:rsid w:val="005A4ABE"/>
    <w:rsid w:val="005A5F36"/>
    <w:rsid w:val="005A6CF0"/>
    <w:rsid w:val="005A7687"/>
    <w:rsid w:val="005B11E2"/>
    <w:rsid w:val="005B3326"/>
    <w:rsid w:val="005B3BA2"/>
    <w:rsid w:val="005B53A4"/>
    <w:rsid w:val="005B695E"/>
    <w:rsid w:val="005B7B5D"/>
    <w:rsid w:val="005C1EBF"/>
    <w:rsid w:val="005C27BC"/>
    <w:rsid w:val="005C2A53"/>
    <w:rsid w:val="005C47F1"/>
    <w:rsid w:val="005C5DA2"/>
    <w:rsid w:val="005D09CC"/>
    <w:rsid w:val="005D0CE4"/>
    <w:rsid w:val="005D2965"/>
    <w:rsid w:val="005D2AD9"/>
    <w:rsid w:val="005D393B"/>
    <w:rsid w:val="005D4FDC"/>
    <w:rsid w:val="005D72EE"/>
    <w:rsid w:val="005E02C8"/>
    <w:rsid w:val="005E1488"/>
    <w:rsid w:val="005E2DA7"/>
    <w:rsid w:val="005E58B7"/>
    <w:rsid w:val="005E6915"/>
    <w:rsid w:val="005F03F6"/>
    <w:rsid w:val="005F0595"/>
    <w:rsid w:val="005F29CB"/>
    <w:rsid w:val="005F3A69"/>
    <w:rsid w:val="005F43E5"/>
    <w:rsid w:val="005F5498"/>
    <w:rsid w:val="005F6199"/>
    <w:rsid w:val="005F7860"/>
    <w:rsid w:val="005F7C95"/>
    <w:rsid w:val="00604239"/>
    <w:rsid w:val="00604EED"/>
    <w:rsid w:val="006053CA"/>
    <w:rsid w:val="00606F3E"/>
    <w:rsid w:val="00612E54"/>
    <w:rsid w:val="00614359"/>
    <w:rsid w:val="006144EA"/>
    <w:rsid w:val="00616D5F"/>
    <w:rsid w:val="0062067E"/>
    <w:rsid w:val="00620BB1"/>
    <w:rsid w:val="00621186"/>
    <w:rsid w:val="00621278"/>
    <w:rsid w:val="006213D2"/>
    <w:rsid w:val="0062233D"/>
    <w:rsid w:val="00624931"/>
    <w:rsid w:val="00624DB0"/>
    <w:rsid w:val="006250CB"/>
    <w:rsid w:val="0062753E"/>
    <w:rsid w:val="006275B3"/>
    <w:rsid w:val="00627DBA"/>
    <w:rsid w:val="006303B7"/>
    <w:rsid w:val="00630E22"/>
    <w:rsid w:val="00634EEF"/>
    <w:rsid w:val="00636588"/>
    <w:rsid w:val="00640867"/>
    <w:rsid w:val="00642980"/>
    <w:rsid w:val="00642E44"/>
    <w:rsid w:val="00643016"/>
    <w:rsid w:val="0064395A"/>
    <w:rsid w:val="00647D99"/>
    <w:rsid w:val="006506F2"/>
    <w:rsid w:val="00651076"/>
    <w:rsid w:val="00651143"/>
    <w:rsid w:val="00651900"/>
    <w:rsid w:val="006520AE"/>
    <w:rsid w:val="00652C41"/>
    <w:rsid w:val="0065391F"/>
    <w:rsid w:val="00653A67"/>
    <w:rsid w:val="00654AE4"/>
    <w:rsid w:val="00655066"/>
    <w:rsid w:val="00656CC9"/>
    <w:rsid w:val="00657E0C"/>
    <w:rsid w:val="0066398A"/>
    <w:rsid w:val="0066474A"/>
    <w:rsid w:val="00664875"/>
    <w:rsid w:val="00664AD8"/>
    <w:rsid w:val="00666196"/>
    <w:rsid w:val="006661F4"/>
    <w:rsid w:val="00670474"/>
    <w:rsid w:val="006706DD"/>
    <w:rsid w:val="006706E0"/>
    <w:rsid w:val="00670CA3"/>
    <w:rsid w:val="00671F4F"/>
    <w:rsid w:val="00672791"/>
    <w:rsid w:val="00675A98"/>
    <w:rsid w:val="00676D29"/>
    <w:rsid w:val="00677530"/>
    <w:rsid w:val="00677AB9"/>
    <w:rsid w:val="00680C08"/>
    <w:rsid w:val="006843F7"/>
    <w:rsid w:val="006859AB"/>
    <w:rsid w:val="00685B94"/>
    <w:rsid w:val="00686DF1"/>
    <w:rsid w:val="00687152"/>
    <w:rsid w:val="00687430"/>
    <w:rsid w:val="00687F4B"/>
    <w:rsid w:val="0069250B"/>
    <w:rsid w:val="00693779"/>
    <w:rsid w:val="00693A74"/>
    <w:rsid w:val="006950FA"/>
    <w:rsid w:val="00695581"/>
    <w:rsid w:val="006958A4"/>
    <w:rsid w:val="00696380"/>
    <w:rsid w:val="006A5508"/>
    <w:rsid w:val="006A6E9D"/>
    <w:rsid w:val="006B04E0"/>
    <w:rsid w:val="006B17F8"/>
    <w:rsid w:val="006B18A0"/>
    <w:rsid w:val="006B1DF7"/>
    <w:rsid w:val="006B255C"/>
    <w:rsid w:val="006B35B0"/>
    <w:rsid w:val="006B4263"/>
    <w:rsid w:val="006B5D45"/>
    <w:rsid w:val="006B6C98"/>
    <w:rsid w:val="006B71EE"/>
    <w:rsid w:val="006B760F"/>
    <w:rsid w:val="006C2960"/>
    <w:rsid w:val="006D24EC"/>
    <w:rsid w:val="006D3F0C"/>
    <w:rsid w:val="006D4341"/>
    <w:rsid w:val="006D4AAC"/>
    <w:rsid w:val="006D6728"/>
    <w:rsid w:val="006D78C4"/>
    <w:rsid w:val="006D7F79"/>
    <w:rsid w:val="006E0C04"/>
    <w:rsid w:val="006E3706"/>
    <w:rsid w:val="006E6069"/>
    <w:rsid w:val="006E7499"/>
    <w:rsid w:val="006F02CB"/>
    <w:rsid w:val="006F08A5"/>
    <w:rsid w:val="006F2232"/>
    <w:rsid w:val="006F225D"/>
    <w:rsid w:val="006F32DB"/>
    <w:rsid w:val="006F6AD3"/>
    <w:rsid w:val="006F7863"/>
    <w:rsid w:val="00705925"/>
    <w:rsid w:val="00706B3B"/>
    <w:rsid w:val="00710100"/>
    <w:rsid w:val="00710BF7"/>
    <w:rsid w:val="00711614"/>
    <w:rsid w:val="0071254D"/>
    <w:rsid w:val="007134DE"/>
    <w:rsid w:val="007134E6"/>
    <w:rsid w:val="007152AB"/>
    <w:rsid w:val="00715810"/>
    <w:rsid w:val="00715A34"/>
    <w:rsid w:val="00720E10"/>
    <w:rsid w:val="007230E7"/>
    <w:rsid w:val="00725CB0"/>
    <w:rsid w:val="0072688A"/>
    <w:rsid w:val="007268E2"/>
    <w:rsid w:val="00731517"/>
    <w:rsid w:val="007315B2"/>
    <w:rsid w:val="007316C1"/>
    <w:rsid w:val="007321D4"/>
    <w:rsid w:val="007322CA"/>
    <w:rsid w:val="00735ECB"/>
    <w:rsid w:val="00740B87"/>
    <w:rsid w:val="00741F4F"/>
    <w:rsid w:val="00742E6F"/>
    <w:rsid w:val="007432EA"/>
    <w:rsid w:val="00744940"/>
    <w:rsid w:val="00744ECC"/>
    <w:rsid w:val="00745AE3"/>
    <w:rsid w:val="0075030E"/>
    <w:rsid w:val="00751227"/>
    <w:rsid w:val="0075173C"/>
    <w:rsid w:val="0075196E"/>
    <w:rsid w:val="0075230B"/>
    <w:rsid w:val="0075463D"/>
    <w:rsid w:val="00754F87"/>
    <w:rsid w:val="00755BD4"/>
    <w:rsid w:val="00765DFD"/>
    <w:rsid w:val="00766AB3"/>
    <w:rsid w:val="007670D4"/>
    <w:rsid w:val="007675FC"/>
    <w:rsid w:val="00770AE0"/>
    <w:rsid w:val="00774BC4"/>
    <w:rsid w:val="007750EF"/>
    <w:rsid w:val="00775DF3"/>
    <w:rsid w:val="007837DD"/>
    <w:rsid w:val="007908F4"/>
    <w:rsid w:val="007916D8"/>
    <w:rsid w:val="00791BB3"/>
    <w:rsid w:val="0079653E"/>
    <w:rsid w:val="00797C66"/>
    <w:rsid w:val="007A0D7B"/>
    <w:rsid w:val="007A1346"/>
    <w:rsid w:val="007A2144"/>
    <w:rsid w:val="007A264B"/>
    <w:rsid w:val="007A55E3"/>
    <w:rsid w:val="007A5EC7"/>
    <w:rsid w:val="007B1AB2"/>
    <w:rsid w:val="007B1E89"/>
    <w:rsid w:val="007B2B46"/>
    <w:rsid w:val="007B41F3"/>
    <w:rsid w:val="007B4673"/>
    <w:rsid w:val="007B581D"/>
    <w:rsid w:val="007C0055"/>
    <w:rsid w:val="007C162A"/>
    <w:rsid w:val="007C2C7B"/>
    <w:rsid w:val="007C33B1"/>
    <w:rsid w:val="007C6366"/>
    <w:rsid w:val="007D12F7"/>
    <w:rsid w:val="007D1EAA"/>
    <w:rsid w:val="007D20AF"/>
    <w:rsid w:val="007D2468"/>
    <w:rsid w:val="007D2D15"/>
    <w:rsid w:val="007D46D3"/>
    <w:rsid w:val="007D4C9A"/>
    <w:rsid w:val="007D5080"/>
    <w:rsid w:val="007D54A1"/>
    <w:rsid w:val="007D6696"/>
    <w:rsid w:val="007D7C37"/>
    <w:rsid w:val="007E1539"/>
    <w:rsid w:val="007E52E2"/>
    <w:rsid w:val="007E5BF0"/>
    <w:rsid w:val="007E6D6D"/>
    <w:rsid w:val="007E6E54"/>
    <w:rsid w:val="007E743A"/>
    <w:rsid w:val="007E776B"/>
    <w:rsid w:val="007E7D0B"/>
    <w:rsid w:val="007F17C7"/>
    <w:rsid w:val="007F344F"/>
    <w:rsid w:val="007F3CCC"/>
    <w:rsid w:val="007F75DB"/>
    <w:rsid w:val="00800010"/>
    <w:rsid w:val="00801430"/>
    <w:rsid w:val="008022CB"/>
    <w:rsid w:val="00802586"/>
    <w:rsid w:val="00803875"/>
    <w:rsid w:val="00803940"/>
    <w:rsid w:val="008039F9"/>
    <w:rsid w:val="008044AC"/>
    <w:rsid w:val="0080617F"/>
    <w:rsid w:val="00810F40"/>
    <w:rsid w:val="00811D20"/>
    <w:rsid w:val="0081452D"/>
    <w:rsid w:val="00815E1A"/>
    <w:rsid w:val="00816154"/>
    <w:rsid w:val="00820E59"/>
    <w:rsid w:val="0082423D"/>
    <w:rsid w:val="0082437C"/>
    <w:rsid w:val="00824E4F"/>
    <w:rsid w:val="00825336"/>
    <w:rsid w:val="00830A40"/>
    <w:rsid w:val="00832F9B"/>
    <w:rsid w:val="00834797"/>
    <w:rsid w:val="00834EFF"/>
    <w:rsid w:val="00835640"/>
    <w:rsid w:val="00835C81"/>
    <w:rsid w:val="0083669D"/>
    <w:rsid w:val="00836B29"/>
    <w:rsid w:val="00837A76"/>
    <w:rsid w:val="0084178D"/>
    <w:rsid w:val="00842608"/>
    <w:rsid w:val="00842D96"/>
    <w:rsid w:val="00845172"/>
    <w:rsid w:val="008452DB"/>
    <w:rsid w:val="008455B9"/>
    <w:rsid w:val="008459BE"/>
    <w:rsid w:val="0084723C"/>
    <w:rsid w:val="00850177"/>
    <w:rsid w:val="008509CF"/>
    <w:rsid w:val="00855650"/>
    <w:rsid w:val="00856718"/>
    <w:rsid w:val="00862A13"/>
    <w:rsid w:val="00865647"/>
    <w:rsid w:val="008658A9"/>
    <w:rsid w:val="00866DD3"/>
    <w:rsid w:val="008710B5"/>
    <w:rsid w:val="00872E14"/>
    <w:rsid w:val="00881BD5"/>
    <w:rsid w:val="008828D0"/>
    <w:rsid w:val="00884FB7"/>
    <w:rsid w:val="008858A2"/>
    <w:rsid w:val="008862FF"/>
    <w:rsid w:val="00887547"/>
    <w:rsid w:val="00887CDC"/>
    <w:rsid w:val="00890F09"/>
    <w:rsid w:val="00891E43"/>
    <w:rsid w:val="00892F9A"/>
    <w:rsid w:val="008930FD"/>
    <w:rsid w:val="0089349A"/>
    <w:rsid w:val="0089412B"/>
    <w:rsid w:val="008957DE"/>
    <w:rsid w:val="00895CA5"/>
    <w:rsid w:val="008A13BD"/>
    <w:rsid w:val="008A6A28"/>
    <w:rsid w:val="008B0424"/>
    <w:rsid w:val="008B10FA"/>
    <w:rsid w:val="008B175A"/>
    <w:rsid w:val="008B21FC"/>
    <w:rsid w:val="008B2277"/>
    <w:rsid w:val="008B2C9B"/>
    <w:rsid w:val="008B372C"/>
    <w:rsid w:val="008B3807"/>
    <w:rsid w:val="008B39B5"/>
    <w:rsid w:val="008B3EC6"/>
    <w:rsid w:val="008B422E"/>
    <w:rsid w:val="008C008F"/>
    <w:rsid w:val="008C03FE"/>
    <w:rsid w:val="008C14A0"/>
    <w:rsid w:val="008C16C4"/>
    <w:rsid w:val="008C2243"/>
    <w:rsid w:val="008C366B"/>
    <w:rsid w:val="008C7C3B"/>
    <w:rsid w:val="008D36DC"/>
    <w:rsid w:val="008D3CFB"/>
    <w:rsid w:val="008D4C62"/>
    <w:rsid w:val="008D6CDD"/>
    <w:rsid w:val="008D760C"/>
    <w:rsid w:val="008E074A"/>
    <w:rsid w:val="008E37C5"/>
    <w:rsid w:val="008F0FE2"/>
    <w:rsid w:val="008F1544"/>
    <w:rsid w:val="008F3E12"/>
    <w:rsid w:val="008F5C0A"/>
    <w:rsid w:val="008F5F3C"/>
    <w:rsid w:val="008F636B"/>
    <w:rsid w:val="008F7EBE"/>
    <w:rsid w:val="008F7F76"/>
    <w:rsid w:val="009005B6"/>
    <w:rsid w:val="009006AD"/>
    <w:rsid w:val="00900C03"/>
    <w:rsid w:val="00903436"/>
    <w:rsid w:val="0090482D"/>
    <w:rsid w:val="0090789B"/>
    <w:rsid w:val="00911715"/>
    <w:rsid w:val="00911A68"/>
    <w:rsid w:val="0091250A"/>
    <w:rsid w:val="00914584"/>
    <w:rsid w:val="00915B07"/>
    <w:rsid w:val="00917CC0"/>
    <w:rsid w:val="00920156"/>
    <w:rsid w:val="00920F76"/>
    <w:rsid w:val="00922F6E"/>
    <w:rsid w:val="009237C3"/>
    <w:rsid w:val="00923B9C"/>
    <w:rsid w:val="0092599A"/>
    <w:rsid w:val="00926F5B"/>
    <w:rsid w:val="009272AB"/>
    <w:rsid w:val="0093073F"/>
    <w:rsid w:val="00930ED9"/>
    <w:rsid w:val="00931AE3"/>
    <w:rsid w:val="00931E14"/>
    <w:rsid w:val="00933201"/>
    <w:rsid w:val="00937AEF"/>
    <w:rsid w:val="00937E13"/>
    <w:rsid w:val="00937F30"/>
    <w:rsid w:val="00940BE7"/>
    <w:rsid w:val="00941268"/>
    <w:rsid w:val="00945251"/>
    <w:rsid w:val="00946F5C"/>
    <w:rsid w:val="00947A3B"/>
    <w:rsid w:val="009503F7"/>
    <w:rsid w:val="0095067A"/>
    <w:rsid w:val="00950D00"/>
    <w:rsid w:val="00950E24"/>
    <w:rsid w:val="00950F17"/>
    <w:rsid w:val="00951449"/>
    <w:rsid w:val="00951632"/>
    <w:rsid w:val="0095236A"/>
    <w:rsid w:val="009533AE"/>
    <w:rsid w:val="00960432"/>
    <w:rsid w:val="009619B1"/>
    <w:rsid w:val="009642B8"/>
    <w:rsid w:val="00964820"/>
    <w:rsid w:val="00964B09"/>
    <w:rsid w:val="009659D9"/>
    <w:rsid w:val="00965DD0"/>
    <w:rsid w:val="009667C4"/>
    <w:rsid w:val="009676DC"/>
    <w:rsid w:val="00970699"/>
    <w:rsid w:val="009711C0"/>
    <w:rsid w:val="0097202C"/>
    <w:rsid w:val="00972AB9"/>
    <w:rsid w:val="00974ED7"/>
    <w:rsid w:val="00976A60"/>
    <w:rsid w:val="00981DA1"/>
    <w:rsid w:val="00982292"/>
    <w:rsid w:val="009824BC"/>
    <w:rsid w:val="009844C6"/>
    <w:rsid w:val="00987CC5"/>
    <w:rsid w:val="00992A70"/>
    <w:rsid w:val="00992C3E"/>
    <w:rsid w:val="0099357F"/>
    <w:rsid w:val="00995C3A"/>
    <w:rsid w:val="00996E10"/>
    <w:rsid w:val="0099756F"/>
    <w:rsid w:val="009A057C"/>
    <w:rsid w:val="009A3BBF"/>
    <w:rsid w:val="009A5E56"/>
    <w:rsid w:val="009A7322"/>
    <w:rsid w:val="009B1EF9"/>
    <w:rsid w:val="009B7266"/>
    <w:rsid w:val="009C08C8"/>
    <w:rsid w:val="009C0BA7"/>
    <w:rsid w:val="009C1183"/>
    <w:rsid w:val="009C46F4"/>
    <w:rsid w:val="009C4EB6"/>
    <w:rsid w:val="009C5762"/>
    <w:rsid w:val="009C5985"/>
    <w:rsid w:val="009C5CDD"/>
    <w:rsid w:val="009C6505"/>
    <w:rsid w:val="009C666D"/>
    <w:rsid w:val="009C7D68"/>
    <w:rsid w:val="009D0E44"/>
    <w:rsid w:val="009D25AD"/>
    <w:rsid w:val="009D388F"/>
    <w:rsid w:val="009D422A"/>
    <w:rsid w:val="009D42C6"/>
    <w:rsid w:val="009D5680"/>
    <w:rsid w:val="009D7770"/>
    <w:rsid w:val="009E0A85"/>
    <w:rsid w:val="009E15E7"/>
    <w:rsid w:val="009E37D0"/>
    <w:rsid w:val="009E3891"/>
    <w:rsid w:val="009E6A9E"/>
    <w:rsid w:val="009F0965"/>
    <w:rsid w:val="009F3748"/>
    <w:rsid w:val="009F38EE"/>
    <w:rsid w:val="009F4412"/>
    <w:rsid w:val="009F7BF8"/>
    <w:rsid w:val="00A013DE"/>
    <w:rsid w:val="00A02356"/>
    <w:rsid w:val="00A02B4F"/>
    <w:rsid w:val="00A0318E"/>
    <w:rsid w:val="00A051CC"/>
    <w:rsid w:val="00A0604B"/>
    <w:rsid w:val="00A06A3C"/>
    <w:rsid w:val="00A076E1"/>
    <w:rsid w:val="00A1035E"/>
    <w:rsid w:val="00A11913"/>
    <w:rsid w:val="00A12B5C"/>
    <w:rsid w:val="00A12EF5"/>
    <w:rsid w:val="00A13778"/>
    <w:rsid w:val="00A139B9"/>
    <w:rsid w:val="00A13A30"/>
    <w:rsid w:val="00A15814"/>
    <w:rsid w:val="00A16317"/>
    <w:rsid w:val="00A16C3E"/>
    <w:rsid w:val="00A1790C"/>
    <w:rsid w:val="00A2091A"/>
    <w:rsid w:val="00A24C36"/>
    <w:rsid w:val="00A2723A"/>
    <w:rsid w:val="00A2784C"/>
    <w:rsid w:val="00A31DED"/>
    <w:rsid w:val="00A34F72"/>
    <w:rsid w:val="00A360BE"/>
    <w:rsid w:val="00A367C8"/>
    <w:rsid w:val="00A47053"/>
    <w:rsid w:val="00A50209"/>
    <w:rsid w:val="00A53294"/>
    <w:rsid w:val="00A548C1"/>
    <w:rsid w:val="00A55FE4"/>
    <w:rsid w:val="00A561B7"/>
    <w:rsid w:val="00A57686"/>
    <w:rsid w:val="00A60EA2"/>
    <w:rsid w:val="00A61544"/>
    <w:rsid w:val="00A64852"/>
    <w:rsid w:val="00A64BBB"/>
    <w:rsid w:val="00A650DC"/>
    <w:rsid w:val="00A6512C"/>
    <w:rsid w:val="00A670E0"/>
    <w:rsid w:val="00A71D8E"/>
    <w:rsid w:val="00A72EF6"/>
    <w:rsid w:val="00A73802"/>
    <w:rsid w:val="00A73ABD"/>
    <w:rsid w:val="00A80796"/>
    <w:rsid w:val="00A8104A"/>
    <w:rsid w:val="00A8391E"/>
    <w:rsid w:val="00A85FE9"/>
    <w:rsid w:val="00A861FD"/>
    <w:rsid w:val="00A905A7"/>
    <w:rsid w:val="00A922EB"/>
    <w:rsid w:val="00A92B12"/>
    <w:rsid w:val="00A9465F"/>
    <w:rsid w:val="00A94ED0"/>
    <w:rsid w:val="00A955FA"/>
    <w:rsid w:val="00A976E5"/>
    <w:rsid w:val="00AA0FCF"/>
    <w:rsid w:val="00AA47BC"/>
    <w:rsid w:val="00AA5230"/>
    <w:rsid w:val="00AA6062"/>
    <w:rsid w:val="00AA7396"/>
    <w:rsid w:val="00AB2E88"/>
    <w:rsid w:val="00AB3817"/>
    <w:rsid w:val="00AB384D"/>
    <w:rsid w:val="00AB42F7"/>
    <w:rsid w:val="00AB7115"/>
    <w:rsid w:val="00AB7342"/>
    <w:rsid w:val="00AB7BF4"/>
    <w:rsid w:val="00AC1898"/>
    <w:rsid w:val="00AC3FDB"/>
    <w:rsid w:val="00AC523B"/>
    <w:rsid w:val="00AC5F71"/>
    <w:rsid w:val="00AD0F52"/>
    <w:rsid w:val="00AD3708"/>
    <w:rsid w:val="00AD45BE"/>
    <w:rsid w:val="00AD5145"/>
    <w:rsid w:val="00AD557A"/>
    <w:rsid w:val="00AD5F4E"/>
    <w:rsid w:val="00AD7A29"/>
    <w:rsid w:val="00AD7EF5"/>
    <w:rsid w:val="00AE04E0"/>
    <w:rsid w:val="00AE0E82"/>
    <w:rsid w:val="00AE191E"/>
    <w:rsid w:val="00AE38B3"/>
    <w:rsid w:val="00AE3966"/>
    <w:rsid w:val="00AE4205"/>
    <w:rsid w:val="00AE44B5"/>
    <w:rsid w:val="00AE5536"/>
    <w:rsid w:val="00AE5AD0"/>
    <w:rsid w:val="00AE6E17"/>
    <w:rsid w:val="00AE7F17"/>
    <w:rsid w:val="00AF3138"/>
    <w:rsid w:val="00AF4C58"/>
    <w:rsid w:val="00AF561C"/>
    <w:rsid w:val="00AF5C42"/>
    <w:rsid w:val="00AF5E33"/>
    <w:rsid w:val="00AF61BE"/>
    <w:rsid w:val="00AF633E"/>
    <w:rsid w:val="00AF63FB"/>
    <w:rsid w:val="00AF71D2"/>
    <w:rsid w:val="00AF72F2"/>
    <w:rsid w:val="00B000D1"/>
    <w:rsid w:val="00B0076C"/>
    <w:rsid w:val="00B04359"/>
    <w:rsid w:val="00B049D7"/>
    <w:rsid w:val="00B04D45"/>
    <w:rsid w:val="00B04EEA"/>
    <w:rsid w:val="00B059F8"/>
    <w:rsid w:val="00B059F9"/>
    <w:rsid w:val="00B05C1F"/>
    <w:rsid w:val="00B10B2C"/>
    <w:rsid w:val="00B1123A"/>
    <w:rsid w:val="00B11B15"/>
    <w:rsid w:val="00B11DA9"/>
    <w:rsid w:val="00B12C05"/>
    <w:rsid w:val="00B15310"/>
    <w:rsid w:val="00B17467"/>
    <w:rsid w:val="00B21109"/>
    <w:rsid w:val="00B21DE5"/>
    <w:rsid w:val="00B24871"/>
    <w:rsid w:val="00B24BF8"/>
    <w:rsid w:val="00B25212"/>
    <w:rsid w:val="00B254C6"/>
    <w:rsid w:val="00B265E8"/>
    <w:rsid w:val="00B31358"/>
    <w:rsid w:val="00B33336"/>
    <w:rsid w:val="00B358B6"/>
    <w:rsid w:val="00B364E1"/>
    <w:rsid w:val="00B37720"/>
    <w:rsid w:val="00B37A4C"/>
    <w:rsid w:val="00B40A3D"/>
    <w:rsid w:val="00B41B6F"/>
    <w:rsid w:val="00B42A49"/>
    <w:rsid w:val="00B434BD"/>
    <w:rsid w:val="00B50B8C"/>
    <w:rsid w:val="00B513BB"/>
    <w:rsid w:val="00B535E2"/>
    <w:rsid w:val="00B54C2C"/>
    <w:rsid w:val="00B54DB5"/>
    <w:rsid w:val="00B61832"/>
    <w:rsid w:val="00B62148"/>
    <w:rsid w:val="00B63A23"/>
    <w:rsid w:val="00B63D20"/>
    <w:rsid w:val="00B6662E"/>
    <w:rsid w:val="00B66C8D"/>
    <w:rsid w:val="00B67386"/>
    <w:rsid w:val="00B70B35"/>
    <w:rsid w:val="00B7274C"/>
    <w:rsid w:val="00B732F6"/>
    <w:rsid w:val="00B74CD1"/>
    <w:rsid w:val="00B75371"/>
    <w:rsid w:val="00B76725"/>
    <w:rsid w:val="00B767FA"/>
    <w:rsid w:val="00B77725"/>
    <w:rsid w:val="00B77B6E"/>
    <w:rsid w:val="00B8462A"/>
    <w:rsid w:val="00B85ECC"/>
    <w:rsid w:val="00B86379"/>
    <w:rsid w:val="00B86EB7"/>
    <w:rsid w:val="00B8796D"/>
    <w:rsid w:val="00B87C85"/>
    <w:rsid w:val="00B9143D"/>
    <w:rsid w:val="00B92F83"/>
    <w:rsid w:val="00B96C66"/>
    <w:rsid w:val="00B97472"/>
    <w:rsid w:val="00BA0530"/>
    <w:rsid w:val="00BA1079"/>
    <w:rsid w:val="00BA10FC"/>
    <w:rsid w:val="00BA1BE4"/>
    <w:rsid w:val="00BA2784"/>
    <w:rsid w:val="00BA2C6C"/>
    <w:rsid w:val="00BA47A8"/>
    <w:rsid w:val="00BA4D8C"/>
    <w:rsid w:val="00BA4EC0"/>
    <w:rsid w:val="00BB061B"/>
    <w:rsid w:val="00BB06A1"/>
    <w:rsid w:val="00BB1979"/>
    <w:rsid w:val="00BB2445"/>
    <w:rsid w:val="00BB2B9C"/>
    <w:rsid w:val="00BB3F80"/>
    <w:rsid w:val="00BB4238"/>
    <w:rsid w:val="00BB4888"/>
    <w:rsid w:val="00BC1A69"/>
    <w:rsid w:val="00BC2BC6"/>
    <w:rsid w:val="00BC32E4"/>
    <w:rsid w:val="00BC67A8"/>
    <w:rsid w:val="00BC7B88"/>
    <w:rsid w:val="00BD1376"/>
    <w:rsid w:val="00BD261F"/>
    <w:rsid w:val="00BD2821"/>
    <w:rsid w:val="00BD3291"/>
    <w:rsid w:val="00BD5D7C"/>
    <w:rsid w:val="00BD6225"/>
    <w:rsid w:val="00BD7DFF"/>
    <w:rsid w:val="00BD7FA7"/>
    <w:rsid w:val="00BE0541"/>
    <w:rsid w:val="00BE229D"/>
    <w:rsid w:val="00BE738D"/>
    <w:rsid w:val="00BE79FC"/>
    <w:rsid w:val="00BF2329"/>
    <w:rsid w:val="00BF3954"/>
    <w:rsid w:val="00BF39C9"/>
    <w:rsid w:val="00C02068"/>
    <w:rsid w:val="00C04D65"/>
    <w:rsid w:val="00C04EDC"/>
    <w:rsid w:val="00C0618D"/>
    <w:rsid w:val="00C07271"/>
    <w:rsid w:val="00C10E8A"/>
    <w:rsid w:val="00C11156"/>
    <w:rsid w:val="00C11E64"/>
    <w:rsid w:val="00C12152"/>
    <w:rsid w:val="00C12AEE"/>
    <w:rsid w:val="00C12B8E"/>
    <w:rsid w:val="00C12E1C"/>
    <w:rsid w:val="00C13B80"/>
    <w:rsid w:val="00C148E1"/>
    <w:rsid w:val="00C14EF9"/>
    <w:rsid w:val="00C16B77"/>
    <w:rsid w:val="00C17D74"/>
    <w:rsid w:val="00C20477"/>
    <w:rsid w:val="00C204EC"/>
    <w:rsid w:val="00C2052B"/>
    <w:rsid w:val="00C20E2D"/>
    <w:rsid w:val="00C21983"/>
    <w:rsid w:val="00C2236C"/>
    <w:rsid w:val="00C2647E"/>
    <w:rsid w:val="00C27973"/>
    <w:rsid w:val="00C27E98"/>
    <w:rsid w:val="00C306BA"/>
    <w:rsid w:val="00C309BF"/>
    <w:rsid w:val="00C30ABB"/>
    <w:rsid w:val="00C30B80"/>
    <w:rsid w:val="00C31A70"/>
    <w:rsid w:val="00C32F79"/>
    <w:rsid w:val="00C333C3"/>
    <w:rsid w:val="00C454C2"/>
    <w:rsid w:val="00C51BA5"/>
    <w:rsid w:val="00C5260B"/>
    <w:rsid w:val="00C5318B"/>
    <w:rsid w:val="00C572B2"/>
    <w:rsid w:val="00C57736"/>
    <w:rsid w:val="00C6022F"/>
    <w:rsid w:val="00C620A3"/>
    <w:rsid w:val="00C63E65"/>
    <w:rsid w:val="00C640DE"/>
    <w:rsid w:val="00C64D61"/>
    <w:rsid w:val="00C6581D"/>
    <w:rsid w:val="00C67128"/>
    <w:rsid w:val="00C7036D"/>
    <w:rsid w:val="00C705C0"/>
    <w:rsid w:val="00C734D5"/>
    <w:rsid w:val="00C7579E"/>
    <w:rsid w:val="00C75C68"/>
    <w:rsid w:val="00C77115"/>
    <w:rsid w:val="00C7755D"/>
    <w:rsid w:val="00C813E6"/>
    <w:rsid w:val="00C815FD"/>
    <w:rsid w:val="00C81999"/>
    <w:rsid w:val="00C829C6"/>
    <w:rsid w:val="00C82B6B"/>
    <w:rsid w:val="00C8457B"/>
    <w:rsid w:val="00C8608F"/>
    <w:rsid w:val="00C906CE"/>
    <w:rsid w:val="00C91793"/>
    <w:rsid w:val="00C93AE9"/>
    <w:rsid w:val="00C94D0B"/>
    <w:rsid w:val="00CA1E41"/>
    <w:rsid w:val="00CB2F9D"/>
    <w:rsid w:val="00CB3702"/>
    <w:rsid w:val="00CB449B"/>
    <w:rsid w:val="00CB45D0"/>
    <w:rsid w:val="00CC0251"/>
    <w:rsid w:val="00CC4761"/>
    <w:rsid w:val="00CC63CD"/>
    <w:rsid w:val="00CC76E3"/>
    <w:rsid w:val="00CD20A7"/>
    <w:rsid w:val="00CD2E30"/>
    <w:rsid w:val="00CD3B2B"/>
    <w:rsid w:val="00CD3E3E"/>
    <w:rsid w:val="00CD418E"/>
    <w:rsid w:val="00CD4D90"/>
    <w:rsid w:val="00CD6C90"/>
    <w:rsid w:val="00CD6EEC"/>
    <w:rsid w:val="00CD7BCC"/>
    <w:rsid w:val="00CE0761"/>
    <w:rsid w:val="00CE19AC"/>
    <w:rsid w:val="00CE272C"/>
    <w:rsid w:val="00CE485B"/>
    <w:rsid w:val="00CE5AAA"/>
    <w:rsid w:val="00CF1566"/>
    <w:rsid w:val="00CF5234"/>
    <w:rsid w:val="00CF53D9"/>
    <w:rsid w:val="00CF664B"/>
    <w:rsid w:val="00CF7F7F"/>
    <w:rsid w:val="00D00E3C"/>
    <w:rsid w:val="00D017A2"/>
    <w:rsid w:val="00D01939"/>
    <w:rsid w:val="00D029F5"/>
    <w:rsid w:val="00D03BBC"/>
    <w:rsid w:val="00D03EF1"/>
    <w:rsid w:val="00D04DCC"/>
    <w:rsid w:val="00D111B0"/>
    <w:rsid w:val="00D129FE"/>
    <w:rsid w:val="00D12D7E"/>
    <w:rsid w:val="00D15EA7"/>
    <w:rsid w:val="00D17487"/>
    <w:rsid w:val="00D21A33"/>
    <w:rsid w:val="00D21A41"/>
    <w:rsid w:val="00D21B2D"/>
    <w:rsid w:val="00D234A8"/>
    <w:rsid w:val="00D23CAC"/>
    <w:rsid w:val="00D25086"/>
    <w:rsid w:val="00D253B3"/>
    <w:rsid w:val="00D26E73"/>
    <w:rsid w:val="00D3314C"/>
    <w:rsid w:val="00D33699"/>
    <w:rsid w:val="00D34D88"/>
    <w:rsid w:val="00D35A42"/>
    <w:rsid w:val="00D43461"/>
    <w:rsid w:val="00D44241"/>
    <w:rsid w:val="00D44D4D"/>
    <w:rsid w:val="00D455D9"/>
    <w:rsid w:val="00D464CA"/>
    <w:rsid w:val="00D517D4"/>
    <w:rsid w:val="00D51A73"/>
    <w:rsid w:val="00D51B24"/>
    <w:rsid w:val="00D51B7C"/>
    <w:rsid w:val="00D52097"/>
    <w:rsid w:val="00D53A59"/>
    <w:rsid w:val="00D55B0A"/>
    <w:rsid w:val="00D6222B"/>
    <w:rsid w:val="00D622DB"/>
    <w:rsid w:val="00D638A3"/>
    <w:rsid w:val="00D641CC"/>
    <w:rsid w:val="00D64276"/>
    <w:rsid w:val="00D645AB"/>
    <w:rsid w:val="00D64659"/>
    <w:rsid w:val="00D652A7"/>
    <w:rsid w:val="00D67182"/>
    <w:rsid w:val="00D67D28"/>
    <w:rsid w:val="00D754D3"/>
    <w:rsid w:val="00D775F7"/>
    <w:rsid w:val="00D83DA3"/>
    <w:rsid w:val="00D85C4D"/>
    <w:rsid w:val="00D86780"/>
    <w:rsid w:val="00D92882"/>
    <w:rsid w:val="00D92F43"/>
    <w:rsid w:val="00D961CB"/>
    <w:rsid w:val="00D96BB5"/>
    <w:rsid w:val="00D973D1"/>
    <w:rsid w:val="00DA23FF"/>
    <w:rsid w:val="00DA5245"/>
    <w:rsid w:val="00DA5C6A"/>
    <w:rsid w:val="00DA5FC5"/>
    <w:rsid w:val="00DA6F99"/>
    <w:rsid w:val="00DA7207"/>
    <w:rsid w:val="00DA75E3"/>
    <w:rsid w:val="00DB00EA"/>
    <w:rsid w:val="00DB0F42"/>
    <w:rsid w:val="00DB197C"/>
    <w:rsid w:val="00DB1EC4"/>
    <w:rsid w:val="00DB2F82"/>
    <w:rsid w:val="00DB3D85"/>
    <w:rsid w:val="00DB479D"/>
    <w:rsid w:val="00DB5285"/>
    <w:rsid w:val="00DB5549"/>
    <w:rsid w:val="00DB6556"/>
    <w:rsid w:val="00DC2B18"/>
    <w:rsid w:val="00DC406C"/>
    <w:rsid w:val="00DC4AA0"/>
    <w:rsid w:val="00DC4FEA"/>
    <w:rsid w:val="00DC60ED"/>
    <w:rsid w:val="00DC773E"/>
    <w:rsid w:val="00DC7DE5"/>
    <w:rsid w:val="00DD04E4"/>
    <w:rsid w:val="00DD0E8F"/>
    <w:rsid w:val="00DD13AB"/>
    <w:rsid w:val="00DD1456"/>
    <w:rsid w:val="00DD1642"/>
    <w:rsid w:val="00DD1CBB"/>
    <w:rsid w:val="00DD260A"/>
    <w:rsid w:val="00DD2E84"/>
    <w:rsid w:val="00DD4231"/>
    <w:rsid w:val="00DD50E0"/>
    <w:rsid w:val="00DD5E7F"/>
    <w:rsid w:val="00DD6BAD"/>
    <w:rsid w:val="00DD7349"/>
    <w:rsid w:val="00DE05DC"/>
    <w:rsid w:val="00DE2CD3"/>
    <w:rsid w:val="00DE7E2E"/>
    <w:rsid w:val="00DF02BA"/>
    <w:rsid w:val="00DF1464"/>
    <w:rsid w:val="00DF2F43"/>
    <w:rsid w:val="00DF3AB9"/>
    <w:rsid w:val="00E00B3F"/>
    <w:rsid w:val="00E0163F"/>
    <w:rsid w:val="00E01889"/>
    <w:rsid w:val="00E05CAE"/>
    <w:rsid w:val="00E06E5E"/>
    <w:rsid w:val="00E070C7"/>
    <w:rsid w:val="00E12D0B"/>
    <w:rsid w:val="00E13D96"/>
    <w:rsid w:val="00E14431"/>
    <w:rsid w:val="00E17694"/>
    <w:rsid w:val="00E17C6A"/>
    <w:rsid w:val="00E231DE"/>
    <w:rsid w:val="00E25BCC"/>
    <w:rsid w:val="00E2639D"/>
    <w:rsid w:val="00E26CD2"/>
    <w:rsid w:val="00E27DF5"/>
    <w:rsid w:val="00E33D5F"/>
    <w:rsid w:val="00E344B8"/>
    <w:rsid w:val="00E35C5D"/>
    <w:rsid w:val="00E35DA8"/>
    <w:rsid w:val="00E36878"/>
    <w:rsid w:val="00E41ABC"/>
    <w:rsid w:val="00E45F11"/>
    <w:rsid w:val="00E46A24"/>
    <w:rsid w:val="00E511CD"/>
    <w:rsid w:val="00E52854"/>
    <w:rsid w:val="00E555FA"/>
    <w:rsid w:val="00E60C0A"/>
    <w:rsid w:val="00E61BF0"/>
    <w:rsid w:val="00E62155"/>
    <w:rsid w:val="00E6305D"/>
    <w:rsid w:val="00E64C7D"/>
    <w:rsid w:val="00E65851"/>
    <w:rsid w:val="00E65D7C"/>
    <w:rsid w:val="00E670EF"/>
    <w:rsid w:val="00E6753D"/>
    <w:rsid w:val="00E7008A"/>
    <w:rsid w:val="00E71E3E"/>
    <w:rsid w:val="00E7212A"/>
    <w:rsid w:val="00E7236D"/>
    <w:rsid w:val="00E7268A"/>
    <w:rsid w:val="00E735BF"/>
    <w:rsid w:val="00E74523"/>
    <w:rsid w:val="00E74FE5"/>
    <w:rsid w:val="00E75E72"/>
    <w:rsid w:val="00E81442"/>
    <w:rsid w:val="00E828AB"/>
    <w:rsid w:val="00E84498"/>
    <w:rsid w:val="00E8476A"/>
    <w:rsid w:val="00E84D24"/>
    <w:rsid w:val="00E86A50"/>
    <w:rsid w:val="00E87EB9"/>
    <w:rsid w:val="00E911CE"/>
    <w:rsid w:val="00E9462D"/>
    <w:rsid w:val="00E96B2A"/>
    <w:rsid w:val="00E97E00"/>
    <w:rsid w:val="00EA3046"/>
    <w:rsid w:val="00EA4CC9"/>
    <w:rsid w:val="00EA6ED1"/>
    <w:rsid w:val="00EB05D9"/>
    <w:rsid w:val="00EB098A"/>
    <w:rsid w:val="00EB0B47"/>
    <w:rsid w:val="00EB35BC"/>
    <w:rsid w:val="00EB3B68"/>
    <w:rsid w:val="00EB511A"/>
    <w:rsid w:val="00EB7051"/>
    <w:rsid w:val="00EB72AD"/>
    <w:rsid w:val="00EB7F88"/>
    <w:rsid w:val="00EC160C"/>
    <w:rsid w:val="00EC1C38"/>
    <w:rsid w:val="00EC3364"/>
    <w:rsid w:val="00EC3CE4"/>
    <w:rsid w:val="00EC4182"/>
    <w:rsid w:val="00EC49EC"/>
    <w:rsid w:val="00ED0DBD"/>
    <w:rsid w:val="00ED244E"/>
    <w:rsid w:val="00ED3D2C"/>
    <w:rsid w:val="00ED5E11"/>
    <w:rsid w:val="00EE4994"/>
    <w:rsid w:val="00EE6914"/>
    <w:rsid w:val="00EF0A28"/>
    <w:rsid w:val="00EF0ABD"/>
    <w:rsid w:val="00EF129E"/>
    <w:rsid w:val="00EF4725"/>
    <w:rsid w:val="00EF486C"/>
    <w:rsid w:val="00EF5ACB"/>
    <w:rsid w:val="00EF5FFA"/>
    <w:rsid w:val="00EF63EF"/>
    <w:rsid w:val="00EF69A5"/>
    <w:rsid w:val="00F00C68"/>
    <w:rsid w:val="00F0354D"/>
    <w:rsid w:val="00F04AAA"/>
    <w:rsid w:val="00F04AB9"/>
    <w:rsid w:val="00F06112"/>
    <w:rsid w:val="00F06696"/>
    <w:rsid w:val="00F06D4A"/>
    <w:rsid w:val="00F17C3F"/>
    <w:rsid w:val="00F235FB"/>
    <w:rsid w:val="00F25E36"/>
    <w:rsid w:val="00F2670B"/>
    <w:rsid w:val="00F26BEB"/>
    <w:rsid w:val="00F275AD"/>
    <w:rsid w:val="00F31154"/>
    <w:rsid w:val="00F36285"/>
    <w:rsid w:val="00F3699C"/>
    <w:rsid w:val="00F37493"/>
    <w:rsid w:val="00F41D38"/>
    <w:rsid w:val="00F431A0"/>
    <w:rsid w:val="00F468F5"/>
    <w:rsid w:val="00F47CA7"/>
    <w:rsid w:val="00F51DE8"/>
    <w:rsid w:val="00F55FEF"/>
    <w:rsid w:val="00F56F2C"/>
    <w:rsid w:val="00F56FC7"/>
    <w:rsid w:val="00F6070E"/>
    <w:rsid w:val="00F6074F"/>
    <w:rsid w:val="00F62C85"/>
    <w:rsid w:val="00F649F6"/>
    <w:rsid w:val="00F66D54"/>
    <w:rsid w:val="00F670C4"/>
    <w:rsid w:val="00F70920"/>
    <w:rsid w:val="00F72778"/>
    <w:rsid w:val="00F74511"/>
    <w:rsid w:val="00F74A9F"/>
    <w:rsid w:val="00F775DB"/>
    <w:rsid w:val="00F823BA"/>
    <w:rsid w:val="00F83ACA"/>
    <w:rsid w:val="00F86922"/>
    <w:rsid w:val="00F87C85"/>
    <w:rsid w:val="00F91D7F"/>
    <w:rsid w:val="00F9223D"/>
    <w:rsid w:val="00F92E45"/>
    <w:rsid w:val="00F93A44"/>
    <w:rsid w:val="00F95133"/>
    <w:rsid w:val="00F96F0C"/>
    <w:rsid w:val="00FA0960"/>
    <w:rsid w:val="00FA246F"/>
    <w:rsid w:val="00FA24E2"/>
    <w:rsid w:val="00FA3F48"/>
    <w:rsid w:val="00FA4E34"/>
    <w:rsid w:val="00FA5165"/>
    <w:rsid w:val="00FA5382"/>
    <w:rsid w:val="00FA7E14"/>
    <w:rsid w:val="00FB0392"/>
    <w:rsid w:val="00FB1ABA"/>
    <w:rsid w:val="00FB3446"/>
    <w:rsid w:val="00FB3E9A"/>
    <w:rsid w:val="00FB5784"/>
    <w:rsid w:val="00FB5927"/>
    <w:rsid w:val="00FB5E6B"/>
    <w:rsid w:val="00FB7780"/>
    <w:rsid w:val="00FC42BC"/>
    <w:rsid w:val="00FC4C4D"/>
    <w:rsid w:val="00FC64DA"/>
    <w:rsid w:val="00FC6592"/>
    <w:rsid w:val="00FD110D"/>
    <w:rsid w:val="00FD19F8"/>
    <w:rsid w:val="00FD2430"/>
    <w:rsid w:val="00FD26A0"/>
    <w:rsid w:val="00FD32AE"/>
    <w:rsid w:val="00FD383F"/>
    <w:rsid w:val="00FD3BAA"/>
    <w:rsid w:val="00FD7306"/>
    <w:rsid w:val="00FE0C35"/>
    <w:rsid w:val="00FE5250"/>
    <w:rsid w:val="00FE7F04"/>
    <w:rsid w:val="00FF04A3"/>
    <w:rsid w:val="00FF071D"/>
    <w:rsid w:val="00FF101B"/>
    <w:rsid w:val="00FF2AC7"/>
    <w:rsid w:val="00FF33D6"/>
    <w:rsid w:val="00FF4F9C"/>
    <w:rsid w:val="00FF647D"/>
    <w:rsid w:val="00FF6E32"/>
    <w:rsid w:val="00FF7F72"/>
    <w:rsid w:val="29B7EF5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FAA436"/>
  <w15:docId w15:val="{56418644-9F28-45C0-BFAE-382EB5C83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7A8"/>
  </w:style>
  <w:style w:type="paragraph" w:styleId="Ttulo1">
    <w:name w:val="heading 1"/>
    <w:basedOn w:val="Normal"/>
    <w:next w:val="Normal"/>
    <w:link w:val="Ttulo1Car"/>
    <w:qFormat/>
    <w:rsid w:val="007D5080"/>
    <w:pPr>
      <w:numPr>
        <w:numId w:val="1"/>
      </w:numPr>
      <w:pBdr>
        <w:bottom w:val="single" w:sz="4" w:space="1" w:color="auto"/>
      </w:pBdr>
      <w:spacing w:before="300" w:after="40" w:line="240" w:lineRule="auto"/>
      <w:jc w:val="left"/>
      <w:outlineLvl w:val="0"/>
    </w:pPr>
    <w:rPr>
      <w:b/>
      <w:smallCaps/>
      <w:spacing w:val="5"/>
      <w:sz w:val="32"/>
      <w:szCs w:val="32"/>
      <w:lang w:val="es-CL"/>
    </w:rPr>
  </w:style>
  <w:style w:type="paragraph" w:styleId="Ttulo2">
    <w:name w:val="heading 2"/>
    <w:basedOn w:val="Normal"/>
    <w:next w:val="Normal"/>
    <w:link w:val="Ttulo2Car"/>
    <w:unhideWhenUsed/>
    <w:qFormat/>
    <w:rsid w:val="001411D6"/>
    <w:pPr>
      <w:numPr>
        <w:ilvl w:val="1"/>
        <w:numId w:val="1"/>
      </w:numPr>
      <w:pBdr>
        <w:bottom w:val="single" w:sz="4" w:space="1" w:color="auto"/>
      </w:pBdr>
      <w:spacing w:before="600" w:after="120"/>
      <w:jc w:val="left"/>
      <w:outlineLvl w:val="1"/>
    </w:pPr>
    <w:rPr>
      <w:smallCaps/>
      <w:spacing w:val="5"/>
      <w:sz w:val="28"/>
      <w:szCs w:val="28"/>
      <w:lang w:val="es-CL"/>
    </w:rPr>
  </w:style>
  <w:style w:type="paragraph" w:styleId="Ttulo3">
    <w:name w:val="heading 3"/>
    <w:basedOn w:val="Normal"/>
    <w:next w:val="Normal"/>
    <w:link w:val="Ttulo3Car"/>
    <w:unhideWhenUsed/>
    <w:qFormat/>
    <w:rsid w:val="001411D6"/>
    <w:pPr>
      <w:numPr>
        <w:ilvl w:val="2"/>
        <w:numId w:val="1"/>
      </w:numPr>
      <w:pBdr>
        <w:bottom w:val="single" w:sz="4" w:space="1" w:color="auto"/>
      </w:pBdr>
      <w:spacing w:before="360" w:after="120"/>
      <w:jc w:val="left"/>
      <w:outlineLvl w:val="2"/>
    </w:pPr>
    <w:rPr>
      <w:smallCaps/>
      <w:spacing w:val="5"/>
      <w:sz w:val="24"/>
      <w:szCs w:val="24"/>
      <w:lang w:val="es-CL"/>
    </w:rPr>
  </w:style>
  <w:style w:type="paragraph" w:styleId="Ttulo4">
    <w:name w:val="heading 4"/>
    <w:basedOn w:val="Normal"/>
    <w:next w:val="Normal"/>
    <w:link w:val="Ttulo4Car"/>
    <w:uiPriority w:val="9"/>
    <w:unhideWhenUsed/>
    <w:qFormat/>
    <w:rsid w:val="001411D6"/>
    <w:pPr>
      <w:numPr>
        <w:ilvl w:val="3"/>
        <w:numId w:val="1"/>
      </w:numPr>
      <w:pBdr>
        <w:bottom w:val="single" w:sz="4" w:space="1" w:color="auto"/>
      </w:pBdr>
      <w:spacing w:before="480" w:after="120"/>
      <w:jc w:val="left"/>
      <w:outlineLvl w:val="3"/>
    </w:pPr>
    <w:rPr>
      <w:smallCaps/>
      <w:spacing w:val="10"/>
      <w:sz w:val="22"/>
      <w:szCs w:val="22"/>
      <w:lang w:val="es-CL"/>
    </w:rPr>
  </w:style>
  <w:style w:type="paragraph" w:styleId="Ttulo5">
    <w:name w:val="heading 5"/>
    <w:basedOn w:val="Normal"/>
    <w:next w:val="Normal"/>
    <w:link w:val="Ttulo5Car"/>
    <w:unhideWhenUsed/>
    <w:qFormat/>
    <w:rsid w:val="001411D6"/>
    <w:pPr>
      <w:numPr>
        <w:ilvl w:val="4"/>
        <w:numId w:val="1"/>
      </w:numPr>
      <w:pBdr>
        <w:bottom w:val="single" w:sz="4" w:space="1" w:color="auto"/>
      </w:pBdr>
      <w:spacing w:before="360" w:after="120"/>
      <w:ind w:left="1009" w:hanging="1009"/>
      <w:jc w:val="left"/>
      <w:outlineLvl w:val="4"/>
    </w:pPr>
    <w:rPr>
      <w:smallCaps/>
      <w:color w:val="000000" w:themeColor="text1"/>
      <w:spacing w:val="10"/>
      <w:sz w:val="22"/>
      <w:szCs w:val="26"/>
      <w:lang w:val="es-CL"/>
    </w:rPr>
  </w:style>
  <w:style w:type="paragraph" w:styleId="Ttulo6">
    <w:name w:val="heading 6"/>
    <w:basedOn w:val="Normal"/>
    <w:next w:val="Normal"/>
    <w:link w:val="Ttulo6Car"/>
    <w:uiPriority w:val="9"/>
    <w:semiHidden/>
    <w:unhideWhenUsed/>
    <w:qFormat/>
    <w:rsid w:val="00BC67A8"/>
    <w:pPr>
      <w:numPr>
        <w:ilvl w:val="5"/>
        <w:numId w:val="1"/>
      </w:num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BC67A8"/>
    <w:pPr>
      <w:numPr>
        <w:ilvl w:val="6"/>
        <w:numId w:val="1"/>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BC67A8"/>
    <w:pPr>
      <w:numPr>
        <w:ilvl w:val="7"/>
        <w:numId w:val="1"/>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BC67A8"/>
    <w:pPr>
      <w:numPr>
        <w:ilvl w:val="8"/>
        <w:numId w:val="1"/>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D5080"/>
    <w:rPr>
      <w:b/>
      <w:smallCaps/>
      <w:spacing w:val="5"/>
      <w:sz w:val="32"/>
      <w:szCs w:val="32"/>
      <w:lang w:val="es-CL"/>
    </w:rPr>
  </w:style>
  <w:style w:type="character" w:customStyle="1" w:styleId="Ttulo2Car">
    <w:name w:val="Título 2 Car"/>
    <w:basedOn w:val="Fuentedeprrafopredeter"/>
    <w:link w:val="Ttulo2"/>
    <w:rsid w:val="001411D6"/>
    <w:rPr>
      <w:smallCaps/>
      <w:spacing w:val="5"/>
      <w:sz w:val="28"/>
      <w:szCs w:val="28"/>
      <w:lang w:val="es-CL"/>
    </w:rPr>
  </w:style>
  <w:style w:type="character" w:customStyle="1" w:styleId="Ttulo3Car">
    <w:name w:val="Título 3 Car"/>
    <w:basedOn w:val="Fuentedeprrafopredeter"/>
    <w:link w:val="Ttulo3"/>
    <w:rsid w:val="001411D6"/>
    <w:rPr>
      <w:smallCaps/>
      <w:spacing w:val="5"/>
      <w:sz w:val="24"/>
      <w:szCs w:val="24"/>
      <w:lang w:val="es-CL"/>
    </w:rPr>
  </w:style>
  <w:style w:type="character" w:customStyle="1" w:styleId="Ttulo4Car">
    <w:name w:val="Título 4 Car"/>
    <w:basedOn w:val="Fuentedeprrafopredeter"/>
    <w:link w:val="Ttulo4"/>
    <w:uiPriority w:val="9"/>
    <w:rsid w:val="001411D6"/>
    <w:rPr>
      <w:smallCaps/>
      <w:spacing w:val="10"/>
      <w:sz w:val="22"/>
      <w:szCs w:val="22"/>
      <w:lang w:val="es-CL"/>
    </w:rPr>
  </w:style>
  <w:style w:type="character" w:customStyle="1" w:styleId="Ttulo5Car">
    <w:name w:val="Título 5 Car"/>
    <w:basedOn w:val="Fuentedeprrafopredeter"/>
    <w:link w:val="Ttulo5"/>
    <w:rsid w:val="001411D6"/>
    <w:rPr>
      <w:smallCaps/>
      <w:color w:val="000000" w:themeColor="text1"/>
      <w:spacing w:val="10"/>
      <w:sz w:val="22"/>
      <w:szCs w:val="26"/>
      <w:lang w:val="es-CL"/>
    </w:rPr>
  </w:style>
  <w:style w:type="character" w:customStyle="1" w:styleId="Ttulo6Car">
    <w:name w:val="Título 6 Car"/>
    <w:basedOn w:val="Fuentedeprrafopredeter"/>
    <w:link w:val="Ttulo6"/>
    <w:uiPriority w:val="9"/>
    <w:semiHidden/>
    <w:rsid w:val="00BC67A8"/>
    <w:rPr>
      <w:smallCaps/>
      <w:color w:val="C0504D" w:themeColor="accent2"/>
      <w:spacing w:val="5"/>
      <w:sz w:val="22"/>
    </w:rPr>
  </w:style>
  <w:style w:type="character" w:customStyle="1" w:styleId="Ttulo7Car">
    <w:name w:val="Título 7 Car"/>
    <w:basedOn w:val="Fuentedeprrafopredeter"/>
    <w:link w:val="Ttulo7"/>
    <w:uiPriority w:val="9"/>
    <w:semiHidden/>
    <w:rsid w:val="00BC67A8"/>
    <w:rPr>
      <w:b/>
      <w:smallCaps/>
      <w:color w:val="C0504D" w:themeColor="accent2"/>
      <w:spacing w:val="10"/>
    </w:rPr>
  </w:style>
  <w:style w:type="character" w:customStyle="1" w:styleId="Ttulo8Car">
    <w:name w:val="Título 8 Car"/>
    <w:basedOn w:val="Fuentedeprrafopredeter"/>
    <w:link w:val="Ttulo8"/>
    <w:uiPriority w:val="9"/>
    <w:semiHidden/>
    <w:rsid w:val="00BC67A8"/>
    <w:rPr>
      <w:b/>
      <w:i/>
      <w:smallCaps/>
      <w:color w:val="943634" w:themeColor="accent2" w:themeShade="BF"/>
    </w:rPr>
  </w:style>
  <w:style w:type="character" w:customStyle="1" w:styleId="Ttulo9Car">
    <w:name w:val="Título 9 Car"/>
    <w:basedOn w:val="Fuentedeprrafopredeter"/>
    <w:link w:val="Ttulo9"/>
    <w:uiPriority w:val="9"/>
    <w:semiHidden/>
    <w:rsid w:val="00BC67A8"/>
    <w:rPr>
      <w:b/>
      <w:i/>
      <w:smallCaps/>
      <w:color w:val="622423" w:themeColor="accent2" w:themeShade="7F"/>
    </w:rPr>
  </w:style>
  <w:style w:type="paragraph" w:styleId="Descripcin">
    <w:name w:val="caption"/>
    <w:basedOn w:val="Normal"/>
    <w:next w:val="Normal"/>
    <w:uiPriority w:val="35"/>
    <w:unhideWhenUsed/>
    <w:qFormat/>
    <w:rsid w:val="005C5DA2"/>
    <w:pPr>
      <w:pBdr>
        <w:top w:val="single" w:sz="4" w:space="1" w:color="auto"/>
        <w:bottom w:val="single" w:sz="4" w:space="1" w:color="auto"/>
      </w:pBdr>
      <w:spacing w:before="120" w:after="60" w:line="240" w:lineRule="auto"/>
    </w:pPr>
    <w:rPr>
      <w:b/>
      <w:bCs/>
      <w:caps/>
      <w:sz w:val="16"/>
      <w:szCs w:val="18"/>
      <w:lang w:val="es-CL"/>
    </w:rPr>
  </w:style>
  <w:style w:type="paragraph" w:styleId="Ttulo">
    <w:name w:val="Title"/>
    <w:basedOn w:val="Normal"/>
    <w:next w:val="Normal"/>
    <w:link w:val="TtuloCar"/>
    <w:qFormat/>
    <w:rsid w:val="00BC67A8"/>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rsid w:val="00BC67A8"/>
    <w:rPr>
      <w:smallCaps/>
      <w:sz w:val="48"/>
      <w:szCs w:val="48"/>
    </w:rPr>
  </w:style>
  <w:style w:type="paragraph" w:styleId="Subttulo">
    <w:name w:val="Subtitle"/>
    <w:basedOn w:val="Normal"/>
    <w:next w:val="Normal"/>
    <w:link w:val="SubttuloCar"/>
    <w:qFormat/>
    <w:rsid w:val="00BC67A8"/>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rsid w:val="00BC67A8"/>
    <w:rPr>
      <w:rFonts w:asciiTheme="majorHAnsi" w:eastAsiaTheme="majorEastAsia" w:hAnsiTheme="majorHAnsi" w:cstheme="majorBidi"/>
      <w:szCs w:val="22"/>
    </w:rPr>
  </w:style>
  <w:style w:type="character" w:styleId="Textoennegrita">
    <w:name w:val="Strong"/>
    <w:uiPriority w:val="22"/>
    <w:qFormat/>
    <w:rsid w:val="00BC67A8"/>
    <w:rPr>
      <w:b/>
      <w:color w:val="C0504D" w:themeColor="accent2"/>
    </w:rPr>
  </w:style>
  <w:style w:type="character" w:styleId="nfasis">
    <w:name w:val="Emphasis"/>
    <w:uiPriority w:val="20"/>
    <w:qFormat/>
    <w:rsid w:val="00BC67A8"/>
    <w:rPr>
      <w:b/>
      <w:i/>
      <w:spacing w:val="10"/>
    </w:rPr>
  </w:style>
  <w:style w:type="paragraph" w:styleId="Sinespaciado">
    <w:name w:val="No Spacing"/>
    <w:basedOn w:val="Normal"/>
    <w:link w:val="SinespaciadoCar"/>
    <w:uiPriority w:val="1"/>
    <w:qFormat/>
    <w:rsid w:val="00BC67A8"/>
    <w:pPr>
      <w:spacing w:after="0" w:line="240" w:lineRule="auto"/>
    </w:pPr>
  </w:style>
  <w:style w:type="character" w:customStyle="1" w:styleId="SinespaciadoCar">
    <w:name w:val="Sin espaciado Car"/>
    <w:basedOn w:val="Fuentedeprrafopredeter"/>
    <w:link w:val="Sinespaciado"/>
    <w:uiPriority w:val="1"/>
    <w:rsid w:val="00BC67A8"/>
  </w:style>
  <w:style w:type="paragraph" w:styleId="Prrafodelista">
    <w:name w:val="List Paragraph"/>
    <w:aliases w:val="List number Paragraph,List Paragraph (numbered (a)),Listenabsatz,SOP_bullet1,List Paragraph1,Resume Title,Table of contents numbered,List Paragraph (bulleted list),Bullet 1 List,Dot pt,Bullets,P‡rrafo de lista,Numeracion iniciativas,lp1"/>
    <w:basedOn w:val="Normal"/>
    <w:link w:val="PrrafodelistaCar"/>
    <w:uiPriority w:val="34"/>
    <w:qFormat/>
    <w:rsid w:val="00BC67A8"/>
    <w:pPr>
      <w:ind w:left="720"/>
      <w:contextualSpacing/>
    </w:pPr>
  </w:style>
  <w:style w:type="paragraph" w:styleId="Cita">
    <w:name w:val="Quote"/>
    <w:basedOn w:val="Normal"/>
    <w:next w:val="Normal"/>
    <w:link w:val="CitaCar"/>
    <w:uiPriority w:val="29"/>
    <w:qFormat/>
    <w:rsid w:val="00BC67A8"/>
    <w:rPr>
      <w:i/>
    </w:rPr>
  </w:style>
  <w:style w:type="character" w:customStyle="1" w:styleId="CitaCar">
    <w:name w:val="Cita Car"/>
    <w:basedOn w:val="Fuentedeprrafopredeter"/>
    <w:link w:val="Cita"/>
    <w:uiPriority w:val="29"/>
    <w:rsid w:val="00BC67A8"/>
    <w:rPr>
      <w:i/>
    </w:rPr>
  </w:style>
  <w:style w:type="paragraph" w:styleId="Citadestacada">
    <w:name w:val="Intense Quote"/>
    <w:basedOn w:val="Normal"/>
    <w:next w:val="Normal"/>
    <w:link w:val="CitadestacadaCar"/>
    <w:uiPriority w:val="30"/>
    <w:qFormat/>
    <w:rsid w:val="00BC67A8"/>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BC67A8"/>
    <w:rPr>
      <w:b/>
      <w:i/>
      <w:color w:val="FFFFFF" w:themeColor="background1"/>
      <w:shd w:val="clear" w:color="auto" w:fill="C0504D" w:themeFill="accent2"/>
    </w:rPr>
  </w:style>
  <w:style w:type="character" w:styleId="nfasissutil">
    <w:name w:val="Subtle Emphasis"/>
    <w:uiPriority w:val="19"/>
    <w:qFormat/>
    <w:rsid w:val="00BC67A8"/>
    <w:rPr>
      <w:i/>
    </w:rPr>
  </w:style>
  <w:style w:type="character" w:styleId="nfasisintenso">
    <w:name w:val="Intense Emphasis"/>
    <w:uiPriority w:val="21"/>
    <w:qFormat/>
    <w:rsid w:val="00BC67A8"/>
    <w:rPr>
      <w:b/>
      <w:i/>
      <w:color w:val="C0504D" w:themeColor="accent2"/>
      <w:spacing w:val="10"/>
    </w:rPr>
  </w:style>
  <w:style w:type="character" w:styleId="Referenciasutil">
    <w:name w:val="Subtle Reference"/>
    <w:uiPriority w:val="31"/>
    <w:qFormat/>
    <w:rsid w:val="00BC67A8"/>
    <w:rPr>
      <w:b/>
    </w:rPr>
  </w:style>
  <w:style w:type="character" w:styleId="Referenciaintensa">
    <w:name w:val="Intense Reference"/>
    <w:uiPriority w:val="32"/>
    <w:qFormat/>
    <w:rsid w:val="00BC67A8"/>
    <w:rPr>
      <w:b/>
      <w:bCs/>
      <w:smallCaps/>
      <w:spacing w:val="5"/>
      <w:sz w:val="22"/>
      <w:szCs w:val="22"/>
      <w:u w:val="single"/>
    </w:rPr>
  </w:style>
  <w:style w:type="character" w:styleId="Ttulodellibro">
    <w:name w:val="Book Title"/>
    <w:uiPriority w:val="33"/>
    <w:qFormat/>
    <w:rsid w:val="00BC67A8"/>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6144EA"/>
    <w:pPr>
      <w:outlineLvl w:val="9"/>
    </w:pPr>
  </w:style>
  <w:style w:type="paragraph" w:styleId="Textodeglobo">
    <w:name w:val="Balloon Text"/>
    <w:basedOn w:val="Normal"/>
    <w:link w:val="TextodegloboCar"/>
    <w:uiPriority w:val="99"/>
    <w:semiHidden/>
    <w:unhideWhenUsed/>
    <w:rsid w:val="00505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5AAE"/>
    <w:rPr>
      <w:rFonts w:ascii="Tahoma" w:hAnsi="Tahoma" w:cs="Tahoma"/>
      <w:sz w:val="16"/>
      <w:szCs w:val="16"/>
    </w:rPr>
  </w:style>
  <w:style w:type="table" w:styleId="Tablaconcuadrcula">
    <w:name w:val="Table Grid"/>
    <w:basedOn w:val="Tablanormal"/>
    <w:uiPriority w:val="59"/>
    <w:rsid w:val="001526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unhideWhenUsed/>
    <w:rsid w:val="00E7268A"/>
    <w:rPr>
      <w:sz w:val="16"/>
      <w:szCs w:val="16"/>
    </w:rPr>
  </w:style>
  <w:style w:type="paragraph" w:styleId="Textocomentario">
    <w:name w:val="annotation text"/>
    <w:basedOn w:val="Normal"/>
    <w:link w:val="TextocomentarioCar"/>
    <w:uiPriority w:val="99"/>
    <w:semiHidden/>
    <w:unhideWhenUsed/>
    <w:rsid w:val="00E7268A"/>
    <w:pPr>
      <w:spacing w:line="240" w:lineRule="auto"/>
    </w:pPr>
  </w:style>
  <w:style w:type="character" w:customStyle="1" w:styleId="TextocomentarioCar">
    <w:name w:val="Texto comentario Car"/>
    <w:basedOn w:val="Fuentedeprrafopredeter"/>
    <w:link w:val="Textocomentario"/>
    <w:uiPriority w:val="99"/>
    <w:semiHidden/>
    <w:rsid w:val="00E7268A"/>
  </w:style>
  <w:style w:type="paragraph" w:styleId="Asuntodelcomentario">
    <w:name w:val="annotation subject"/>
    <w:basedOn w:val="Textocomentario"/>
    <w:next w:val="Textocomentario"/>
    <w:link w:val="AsuntodelcomentarioCar"/>
    <w:uiPriority w:val="99"/>
    <w:semiHidden/>
    <w:unhideWhenUsed/>
    <w:rsid w:val="00E7268A"/>
    <w:rPr>
      <w:b/>
      <w:bCs/>
    </w:rPr>
  </w:style>
  <w:style w:type="character" w:customStyle="1" w:styleId="AsuntodelcomentarioCar">
    <w:name w:val="Asunto del comentario Car"/>
    <w:basedOn w:val="TextocomentarioCar"/>
    <w:link w:val="Asuntodelcomentario"/>
    <w:uiPriority w:val="99"/>
    <w:semiHidden/>
    <w:rsid w:val="00E7268A"/>
    <w:rPr>
      <w:b/>
      <w:bCs/>
    </w:rPr>
  </w:style>
  <w:style w:type="paragraph" w:styleId="TDC1">
    <w:name w:val="toc 1"/>
    <w:basedOn w:val="Normal"/>
    <w:next w:val="Normal"/>
    <w:autoRedefine/>
    <w:uiPriority w:val="39"/>
    <w:unhideWhenUsed/>
    <w:qFormat/>
    <w:rsid w:val="007675FC"/>
    <w:pPr>
      <w:tabs>
        <w:tab w:val="left" w:pos="332"/>
        <w:tab w:val="right" w:pos="8828"/>
      </w:tabs>
      <w:spacing w:before="360" w:after="360"/>
      <w:jc w:val="left"/>
    </w:pPr>
    <w:rPr>
      <w:b/>
      <w:bCs/>
      <w:caps/>
      <w:sz w:val="12"/>
      <w:szCs w:val="22"/>
    </w:rPr>
  </w:style>
  <w:style w:type="paragraph" w:styleId="TDC2">
    <w:name w:val="toc 2"/>
    <w:basedOn w:val="Normal"/>
    <w:next w:val="Normal"/>
    <w:autoRedefine/>
    <w:uiPriority w:val="39"/>
    <w:unhideWhenUsed/>
    <w:qFormat/>
    <w:rsid w:val="00331CA2"/>
    <w:pPr>
      <w:spacing w:after="0"/>
      <w:jc w:val="left"/>
    </w:pPr>
    <w:rPr>
      <w:b/>
      <w:bCs/>
      <w:smallCaps/>
      <w:sz w:val="22"/>
      <w:szCs w:val="22"/>
    </w:rPr>
  </w:style>
  <w:style w:type="paragraph" w:styleId="TDC3">
    <w:name w:val="toc 3"/>
    <w:basedOn w:val="Normal"/>
    <w:next w:val="Normal"/>
    <w:autoRedefine/>
    <w:uiPriority w:val="39"/>
    <w:unhideWhenUsed/>
    <w:qFormat/>
    <w:rsid w:val="00331CA2"/>
    <w:pPr>
      <w:spacing w:after="0"/>
      <w:jc w:val="left"/>
    </w:pPr>
    <w:rPr>
      <w:smallCaps/>
      <w:sz w:val="22"/>
      <w:szCs w:val="22"/>
    </w:rPr>
  </w:style>
  <w:style w:type="character" w:styleId="Hipervnculo">
    <w:name w:val="Hyperlink"/>
    <w:basedOn w:val="Fuentedeprrafopredeter"/>
    <w:uiPriority w:val="99"/>
    <w:unhideWhenUsed/>
    <w:rsid w:val="00331CA2"/>
    <w:rPr>
      <w:color w:val="0000FF" w:themeColor="hyperlink"/>
      <w:u w:val="single"/>
    </w:rPr>
  </w:style>
  <w:style w:type="paragraph" w:styleId="TDC4">
    <w:name w:val="toc 4"/>
    <w:basedOn w:val="Normal"/>
    <w:next w:val="Normal"/>
    <w:autoRedefine/>
    <w:uiPriority w:val="39"/>
    <w:unhideWhenUsed/>
    <w:rsid w:val="007C33B1"/>
    <w:pPr>
      <w:spacing w:after="0"/>
      <w:jc w:val="left"/>
    </w:pPr>
    <w:rPr>
      <w:sz w:val="22"/>
      <w:szCs w:val="22"/>
    </w:rPr>
  </w:style>
  <w:style w:type="paragraph" w:styleId="TDC5">
    <w:name w:val="toc 5"/>
    <w:basedOn w:val="Normal"/>
    <w:next w:val="Normal"/>
    <w:autoRedefine/>
    <w:uiPriority w:val="39"/>
    <w:unhideWhenUsed/>
    <w:rsid w:val="007C33B1"/>
    <w:pPr>
      <w:spacing w:after="0"/>
      <w:jc w:val="left"/>
    </w:pPr>
    <w:rPr>
      <w:sz w:val="22"/>
      <w:szCs w:val="22"/>
    </w:rPr>
  </w:style>
  <w:style w:type="paragraph" w:styleId="TDC6">
    <w:name w:val="toc 6"/>
    <w:basedOn w:val="Normal"/>
    <w:next w:val="Normal"/>
    <w:autoRedefine/>
    <w:uiPriority w:val="39"/>
    <w:unhideWhenUsed/>
    <w:rsid w:val="00500120"/>
    <w:pPr>
      <w:spacing w:after="0"/>
      <w:jc w:val="left"/>
    </w:pPr>
    <w:rPr>
      <w:sz w:val="22"/>
      <w:szCs w:val="22"/>
    </w:rPr>
  </w:style>
  <w:style w:type="paragraph" w:styleId="TDC7">
    <w:name w:val="toc 7"/>
    <w:basedOn w:val="Normal"/>
    <w:next w:val="Normal"/>
    <w:autoRedefine/>
    <w:uiPriority w:val="39"/>
    <w:unhideWhenUsed/>
    <w:rsid w:val="00500120"/>
    <w:pPr>
      <w:spacing w:after="0"/>
      <w:jc w:val="left"/>
    </w:pPr>
    <w:rPr>
      <w:sz w:val="22"/>
      <w:szCs w:val="22"/>
    </w:rPr>
  </w:style>
  <w:style w:type="paragraph" w:styleId="TDC8">
    <w:name w:val="toc 8"/>
    <w:basedOn w:val="Normal"/>
    <w:next w:val="Normal"/>
    <w:autoRedefine/>
    <w:uiPriority w:val="39"/>
    <w:unhideWhenUsed/>
    <w:rsid w:val="00500120"/>
    <w:pPr>
      <w:spacing w:after="0"/>
      <w:jc w:val="left"/>
    </w:pPr>
    <w:rPr>
      <w:sz w:val="22"/>
      <w:szCs w:val="22"/>
    </w:rPr>
  </w:style>
  <w:style w:type="paragraph" w:styleId="TDC9">
    <w:name w:val="toc 9"/>
    <w:basedOn w:val="Normal"/>
    <w:next w:val="Normal"/>
    <w:autoRedefine/>
    <w:uiPriority w:val="39"/>
    <w:unhideWhenUsed/>
    <w:rsid w:val="00500120"/>
    <w:pPr>
      <w:spacing w:after="0"/>
      <w:jc w:val="left"/>
    </w:pPr>
    <w:rPr>
      <w:sz w:val="22"/>
      <w:szCs w:val="22"/>
    </w:rPr>
  </w:style>
  <w:style w:type="paragraph" w:styleId="Encabezado">
    <w:name w:val="header"/>
    <w:basedOn w:val="Normal"/>
    <w:link w:val="EncabezadoCar"/>
    <w:uiPriority w:val="99"/>
    <w:unhideWhenUsed/>
    <w:rsid w:val="00BE79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79FC"/>
  </w:style>
  <w:style w:type="paragraph" w:styleId="Piedepgina">
    <w:name w:val="footer"/>
    <w:basedOn w:val="Normal"/>
    <w:link w:val="PiedepginaCar"/>
    <w:unhideWhenUsed/>
    <w:rsid w:val="00BE79FC"/>
    <w:pPr>
      <w:tabs>
        <w:tab w:val="center" w:pos="4419"/>
        <w:tab w:val="right" w:pos="8838"/>
      </w:tabs>
      <w:spacing w:after="0" w:line="240" w:lineRule="auto"/>
    </w:pPr>
  </w:style>
  <w:style w:type="character" w:customStyle="1" w:styleId="PiedepginaCar">
    <w:name w:val="Pie de página Car"/>
    <w:basedOn w:val="Fuentedeprrafopredeter"/>
    <w:link w:val="Piedepgina"/>
    <w:rsid w:val="00BE79FC"/>
  </w:style>
  <w:style w:type="paragraph" w:styleId="Textonotapie">
    <w:name w:val="footnote text"/>
    <w:aliases w:val="Footnote Text Char Char Char Char Char Char,Footnote Text Char Char Char Char1,Footnote Text Char Char Char Char Char1,Footnote Text Char Char Char Char Char,Footnote Text Char Char Char,Footnote Text Char Char Char Cha,DNV-FT,E Fußn,Char"/>
    <w:basedOn w:val="Normal"/>
    <w:link w:val="TextonotapieCar"/>
    <w:uiPriority w:val="99"/>
    <w:unhideWhenUsed/>
    <w:qFormat/>
    <w:rsid w:val="00AC523B"/>
    <w:pPr>
      <w:spacing w:after="0" w:line="240" w:lineRule="auto"/>
    </w:pPr>
    <w:rPr>
      <w:sz w:val="16"/>
    </w:rPr>
  </w:style>
  <w:style w:type="character" w:customStyle="1" w:styleId="TextonotapieCar">
    <w:name w:val="Texto nota pie Car"/>
    <w:aliases w:val="Footnote Text Char Char Char Char Char Char Car,Footnote Text Char Char Char Char1 Car,Footnote Text Char Char Char Char Char1 Car,Footnote Text Char Char Char Char Char Car,Footnote Text Char Char Char Car,DNV-FT Car,E Fußn Car"/>
    <w:basedOn w:val="Fuentedeprrafopredeter"/>
    <w:link w:val="Textonotapie"/>
    <w:uiPriority w:val="99"/>
    <w:rsid w:val="00AC523B"/>
    <w:rPr>
      <w:sz w:val="16"/>
    </w:rPr>
  </w:style>
  <w:style w:type="character" w:styleId="Refdenotaalpie">
    <w:name w:val="footnote reference"/>
    <w:aliases w:val="16 Point,Superscript 6 Point,Superscript 6 Point + 11 pt,SUPERS,E FNZ,-E Fußnotenzeichen,Footnote#,ftref,Appel note de bas de page,BVI fnr,Footnote Reference Number,Footnote Reference_LVL6,Footnote Reference_LVL61,number,Ref,HAB06,FC"/>
    <w:basedOn w:val="Fuentedeprrafopredeter"/>
    <w:uiPriority w:val="99"/>
    <w:unhideWhenUsed/>
    <w:qFormat/>
    <w:rsid w:val="00AD45BE"/>
    <w:rPr>
      <w:vertAlign w:val="superscript"/>
    </w:rPr>
  </w:style>
  <w:style w:type="paragraph" w:styleId="Tabladeilustraciones">
    <w:name w:val="table of figures"/>
    <w:basedOn w:val="Normal"/>
    <w:next w:val="Normal"/>
    <w:uiPriority w:val="99"/>
    <w:unhideWhenUsed/>
    <w:rsid w:val="008039F9"/>
    <w:pPr>
      <w:spacing w:after="0"/>
    </w:pPr>
  </w:style>
  <w:style w:type="character" w:styleId="Textodelmarcadordeposicin">
    <w:name w:val="Placeholder Text"/>
    <w:basedOn w:val="Fuentedeprrafopredeter"/>
    <w:uiPriority w:val="99"/>
    <w:semiHidden/>
    <w:rsid w:val="008862FF"/>
    <w:rPr>
      <w:color w:val="808080"/>
    </w:rPr>
  </w:style>
  <w:style w:type="paragraph" w:customStyle="1" w:styleId="fuente">
    <w:name w:val="fuente"/>
    <w:basedOn w:val="Normal"/>
    <w:qFormat/>
    <w:rsid w:val="005C5DA2"/>
    <w:pPr>
      <w:pBdr>
        <w:bottom w:val="single" w:sz="4" w:space="1" w:color="auto"/>
      </w:pBdr>
    </w:pPr>
    <w:rPr>
      <w:i/>
      <w:sz w:val="16"/>
      <w:lang w:val="es-CL"/>
    </w:rPr>
  </w:style>
  <w:style w:type="paragraph" w:customStyle="1" w:styleId="fuentecuadro">
    <w:name w:val="fuentecuadro"/>
    <w:basedOn w:val="Normal"/>
    <w:qFormat/>
    <w:rsid w:val="00E00B3F"/>
    <w:pPr>
      <w:pBdr>
        <w:bottom w:val="single" w:sz="4" w:space="1" w:color="auto"/>
      </w:pBdr>
    </w:pPr>
    <w:rPr>
      <w:i/>
      <w:iCs/>
      <w:sz w:val="16"/>
      <w:szCs w:val="16"/>
      <w:lang w:val="es-CL"/>
    </w:rPr>
  </w:style>
  <w:style w:type="character" w:styleId="Nmerodepgina">
    <w:name w:val="page number"/>
    <w:basedOn w:val="Fuentedeprrafopredeter"/>
    <w:uiPriority w:val="99"/>
    <w:semiHidden/>
    <w:unhideWhenUsed/>
    <w:rsid w:val="00A15814"/>
  </w:style>
  <w:style w:type="table" w:customStyle="1" w:styleId="TextTable">
    <w:name w:val="Text Table"/>
    <w:basedOn w:val="Tablanormal"/>
    <w:rsid w:val="00687F4B"/>
    <w:pPr>
      <w:spacing w:after="0" w:line="240" w:lineRule="auto"/>
      <w:jc w:val="left"/>
    </w:pPr>
    <w:rPr>
      <w:rFonts w:eastAsiaTheme="minorEastAsia"/>
      <w:sz w:val="22"/>
      <w:szCs w:val="22"/>
      <w:lang w:val="fr-FR" w:bidi="ar-SA"/>
    </w:rPr>
    <w:tblPr>
      <w:jc w:val="center"/>
      <w:tblBorders>
        <w:insideV w:val="single" w:sz="4" w:space="0" w:color="A6A6A6" w:themeColor="background1" w:themeShade="A6"/>
      </w:tblBorders>
      <w:tblCellMar>
        <w:left w:w="144" w:type="dxa"/>
        <w:right w:w="144" w:type="dxa"/>
      </w:tblCellMar>
    </w:tblPr>
    <w:trPr>
      <w:jc w:val="center"/>
    </w:trPr>
  </w:style>
  <w:style w:type="paragraph" w:styleId="Fecha">
    <w:name w:val="Date"/>
    <w:basedOn w:val="Normal"/>
    <w:next w:val="Normal"/>
    <w:link w:val="FechaCar"/>
    <w:rsid w:val="00687F4B"/>
    <w:pPr>
      <w:spacing w:after="0" w:line="240" w:lineRule="auto"/>
      <w:jc w:val="right"/>
    </w:pPr>
    <w:rPr>
      <w:rFonts w:eastAsiaTheme="minorEastAsia"/>
      <w:color w:val="A6A6A6" w:themeColor="background1" w:themeShade="A6"/>
      <w:sz w:val="24"/>
      <w:szCs w:val="24"/>
      <w:lang w:val="fr-FR" w:bidi="ar-SA"/>
    </w:rPr>
  </w:style>
  <w:style w:type="character" w:customStyle="1" w:styleId="FechaCar">
    <w:name w:val="Fecha Car"/>
    <w:basedOn w:val="Fuentedeprrafopredeter"/>
    <w:link w:val="Fecha"/>
    <w:rsid w:val="00687F4B"/>
    <w:rPr>
      <w:rFonts w:eastAsiaTheme="minorEastAsia"/>
      <w:color w:val="A6A6A6" w:themeColor="background1" w:themeShade="A6"/>
      <w:sz w:val="24"/>
      <w:szCs w:val="24"/>
      <w:lang w:val="fr-FR" w:bidi="ar-SA"/>
    </w:rPr>
  </w:style>
  <w:style w:type="paragraph" w:styleId="Textoindependiente">
    <w:name w:val="Body Text"/>
    <w:basedOn w:val="Normal"/>
    <w:link w:val="TextoindependienteCar"/>
    <w:rsid w:val="00E14431"/>
    <w:pPr>
      <w:spacing w:after="120" w:line="240" w:lineRule="auto"/>
    </w:pPr>
    <w:rPr>
      <w:rFonts w:eastAsiaTheme="minorEastAsia"/>
      <w:color w:val="262626" w:themeColor="text1" w:themeTint="D9"/>
      <w:lang w:val="es-ES_tradnl" w:bidi="ar-SA"/>
    </w:rPr>
  </w:style>
  <w:style w:type="character" w:customStyle="1" w:styleId="TextoindependienteCar">
    <w:name w:val="Texto independiente Car"/>
    <w:basedOn w:val="Fuentedeprrafopredeter"/>
    <w:link w:val="Textoindependiente"/>
    <w:rsid w:val="00E14431"/>
    <w:rPr>
      <w:rFonts w:eastAsiaTheme="minorEastAsia"/>
      <w:color w:val="262626" w:themeColor="text1" w:themeTint="D9"/>
      <w:lang w:val="es-ES_tradnl" w:bidi="ar-SA"/>
    </w:rPr>
  </w:style>
  <w:style w:type="character" w:customStyle="1" w:styleId="hps">
    <w:name w:val="hps"/>
    <w:basedOn w:val="Fuentedeprrafopredeter"/>
    <w:qFormat/>
    <w:rsid w:val="00F649F6"/>
    <w:rPr>
      <w:rFonts w:cs="Arial"/>
      <w:szCs w:val="24"/>
      <w:lang w:val="es-ES"/>
    </w:rPr>
  </w:style>
  <w:style w:type="character" w:customStyle="1" w:styleId="PrrafodelistaCar">
    <w:name w:val="Párrafo de lista Car"/>
    <w:aliases w:val="List number Paragraph Car,List Paragraph (numbered (a)) Car,Listenabsatz Car,SOP_bullet1 Car,List Paragraph1 Car,Resume Title Car,Table of contents numbered Car,List Paragraph (bulleted list) Car,Bullet 1 List Car,Dot pt Car,lp1 Car"/>
    <w:link w:val="Prrafodelista"/>
    <w:uiPriority w:val="34"/>
    <w:qFormat/>
    <w:rsid w:val="00F649F6"/>
  </w:style>
  <w:style w:type="character" w:customStyle="1" w:styleId="apple-converted-space">
    <w:name w:val="apple-converted-space"/>
    <w:basedOn w:val="Fuentedeprrafopredeter"/>
    <w:rsid w:val="007268E2"/>
  </w:style>
  <w:style w:type="character" w:styleId="Hipervnculovisitado">
    <w:name w:val="FollowedHyperlink"/>
    <w:basedOn w:val="Fuentedeprrafopredeter"/>
    <w:uiPriority w:val="99"/>
    <w:semiHidden/>
    <w:unhideWhenUsed/>
    <w:rsid w:val="00741F4F"/>
    <w:rPr>
      <w:color w:val="800080" w:themeColor="followedHyperlink"/>
      <w:u w:val="single"/>
    </w:rPr>
  </w:style>
  <w:style w:type="table" w:customStyle="1" w:styleId="Tablanormal41">
    <w:name w:val="Tabla normal 41"/>
    <w:basedOn w:val="Tablanormal"/>
    <w:uiPriority w:val="44"/>
    <w:rsid w:val="008A6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uiPriority w:val="99"/>
    <w:semiHidden/>
    <w:unhideWhenUsed/>
    <w:rsid w:val="00380E36"/>
    <w:pPr>
      <w:spacing w:after="0" w:line="240" w:lineRule="auto"/>
    </w:pPr>
  </w:style>
  <w:style w:type="character" w:customStyle="1" w:styleId="TextonotaalfinalCar">
    <w:name w:val="Texto nota al final Car"/>
    <w:basedOn w:val="Fuentedeprrafopredeter"/>
    <w:link w:val="Textonotaalfinal"/>
    <w:uiPriority w:val="99"/>
    <w:semiHidden/>
    <w:rsid w:val="00380E36"/>
  </w:style>
  <w:style w:type="character" w:styleId="Refdenotaalfinal">
    <w:name w:val="endnote reference"/>
    <w:basedOn w:val="Fuentedeprrafopredeter"/>
    <w:uiPriority w:val="99"/>
    <w:semiHidden/>
    <w:unhideWhenUsed/>
    <w:rsid w:val="00380E36"/>
    <w:rPr>
      <w:vertAlign w:val="superscript"/>
    </w:rPr>
  </w:style>
  <w:style w:type="table" w:customStyle="1" w:styleId="Tabladecuadrcula4-nfasis33">
    <w:name w:val="Tabla de cuadrícula 4 - Énfasis 33"/>
    <w:basedOn w:val="Tablanormal"/>
    <w:next w:val="Tablaconcuadrcula4-nfasis3"/>
    <w:uiPriority w:val="49"/>
    <w:rsid w:val="003066AC"/>
    <w:pPr>
      <w:spacing w:after="0" w:line="240" w:lineRule="auto"/>
      <w:jc w:val="left"/>
    </w:pPr>
    <w:rPr>
      <w:rFonts w:eastAsiaTheme="minorHAnsi"/>
      <w:sz w:val="22"/>
      <w:szCs w:val="22"/>
      <w:lang w:val="es-HN" w:bidi="ar-SA"/>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aconcuadrcula4-nfasis3">
    <w:name w:val="Grid Table 4 Accent 3"/>
    <w:basedOn w:val="Tablanormal"/>
    <w:uiPriority w:val="49"/>
    <w:rsid w:val="003066A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1clara-nfasis6">
    <w:name w:val="Grid Table 1 Light Accent 6"/>
    <w:basedOn w:val="Tablanormal"/>
    <w:uiPriority w:val="46"/>
    <w:rsid w:val="001C428C"/>
    <w:pPr>
      <w:spacing w:after="0" w:line="240" w:lineRule="auto"/>
      <w:jc w:val="left"/>
    </w:pPr>
    <w:rPr>
      <w:rFonts w:ascii="Times New Roman" w:eastAsia="Times New Roman" w:hAnsi="Times New Roman" w:cs="Times New Roman"/>
      <w:lang w:val="es-CL" w:eastAsia="es-CL" w:bidi="ar-SA"/>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E26CD2"/>
    <w:pPr>
      <w:spacing w:after="0" w:line="240" w:lineRule="auto"/>
      <w:jc w:val="left"/>
    </w:pPr>
    <w:rPr>
      <w:rFonts w:eastAsia="Times New Roman" w:cs="Times New Roman"/>
      <w:lang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shd w:val="clear" w:color="auto" w:fill="DBE5F1" w:themeFill="accent1" w:themeFillTint="33"/>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concuadrcula11">
    <w:name w:val="Tabla con cuadrícula11"/>
    <w:basedOn w:val="Tablanormal"/>
    <w:next w:val="Tablaconcuadrcula"/>
    <w:uiPriority w:val="39"/>
    <w:rsid w:val="00380142"/>
    <w:pPr>
      <w:spacing w:after="0" w:line="240" w:lineRule="auto"/>
      <w:jc w:val="left"/>
    </w:pPr>
    <w:rPr>
      <w:rFonts w:eastAsia="Calibri"/>
      <w:sz w:val="22"/>
      <w:szCs w:val="22"/>
      <w:lang w:val="es-CL"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4930">
      <w:bodyDiv w:val="1"/>
      <w:marLeft w:val="0"/>
      <w:marRight w:val="0"/>
      <w:marTop w:val="0"/>
      <w:marBottom w:val="0"/>
      <w:divBdr>
        <w:top w:val="none" w:sz="0" w:space="0" w:color="auto"/>
        <w:left w:val="none" w:sz="0" w:space="0" w:color="auto"/>
        <w:bottom w:val="none" w:sz="0" w:space="0" w:color="auto"/>
        <w:right w:val="none" w:sz="0" w:space="0" w:color="auto"/>
      </w:divBdr>
    </w:div>
    <w:div w:id="110633686">
      <w:bodyDiv w:val="1"/>
      <w:marLeft w:val="0"/>
      <w:marRight w:val="0"/>
      <w:marTop w:val="0"/>
      <w:marBottom w:val="0"/>
      <w:divBdr>
        <w:top w:val="none" w:sz="0" w:space="0" w:color="auto"/>
        <w:left w:val="none" w:sz="0" w:space="0" w:color="auto"/>
        <w:bottom w:val="none" w:sz="0" w:space="0" w:color="auto"/>
        <w:right w:val="none" w:sz="0" w:space="0" w:color="auto"/>
      </w:divBdr>
    </w:div>
    <w:div w:id="203637933">
      <w:bodyDiv w:val="1"/>
      <w:marLeft w:val="0"/>
      <w:marRight w:val="0"/>
      <w:marTop w:val="0"/>
      <w:marBottom w:val="0"/>
      <w:divBdr>
        <w:top w:val="none" w:sz="0" w:space="0" w:color="auto"/>
        <w:left w:val="none" w:sz="0" w:space="0" w:color="auto"/>
        <w:bottom w:val="none" w:sz="0" w:space="0" w:color="auto"/>
        <w:right w:val="none" w:sz="0" w:space="0" w:color="auto"/>
      </w:divBdr>
    </w:div>
    <w:div w:id="531304467">
      <w:bodyDiv w:val="1"/>
      <w:marLeft w:val="0"/>
      <w:marRight w:val="0"/>
      <w:marTop w:val="0"/>
      <w:marBottom w:val="0"/>
      <w:divBdr>
        <w:top w:val="none" w:sz="0" w:space="0" w:color="auto"/>
        <w:left w:val="none" w:sz="0" w:space="0" w:color="auto"/>
        <w:bottom w:val="none" w:sz="0" w:space="0" w:color="auto"/>
        <w:right w:val="none" w:sz="0" w:space="0" w:color="auto"/>
      </w:divBdr>
    </w:div>
    <w:div w:id="1123696993">
      <w:bodyDiv w:val="1"/>
      <w:marLeft w:val="0"/>
      <w:marRight w:val="0"/>
      <w:marTop w:val="0"/>
      <w:marBottom w:val="0"/>
      <w:divBdr>
        <w:top w:val="none" w:sz="0" w:space="0" w:color="auto"/>
        <w:left w:val="none" w:sz="0" w:space="0" w:color="auto"/>
        <w:bottom w:val="none" w:sz="0" w:space="0" w:color="auto"/>
        <w:right w:val="none" w:sz="0" w:space="0" w:color="auto"/>
      </w:divBdr>
    </w:div>
    <w:div w:id="1290817731">
      <w:bodyDiv w:val="1"/>
      <w:marLeft w:val="0"/>
      <w:marRight w:val="0"/>
      <w:marTop w:val="0"/>
      <w:marBottom w:val="0"/>
      <w:divBdr>
        <w:top w:val="none" w:sz="0" w:space="0" w:color="auto"/>
        <w:left w:val="none" w:sz="0" w:space="0" w:color="auto"/>
        <w:bottom w:val="none" w:sz="0" w:space="0" w:color="auto"/>
        <w:right w:val="none" w:sz="0" w:space="0" w:color="auto"/>
      </w:divBdr>
    </w:div>
    <w:div w:id="1350914185">
      <w:bodyDiv w:val="1"/>
      <w:marLeft w:val="0"/>
      <w:marRight w:val="0"/>
      <w:marTop w:val="0"/>
      <w:marBottom w:val="0"/>
      <w:divBdr>
        <w:top w:val="none" w:sz="0" w:space="0" w:color="auto"/>
        <w:left w:val="none" w:sz="0" w:space="0" w:color="auto"/>
        <w:bottom w:val="none" w:sz="0" w:space="0" w:color="auto"/>
        <w:right w:val="none" w:sz="0" w:space="0" w:color="auto"/>
      </w:divBdr>
    </w:div>
    <w:div w:id="1459030851">
      <w:bodyDiv w:val="1"/>
      <w:marLeft w:val="0"/>
      <w:marRight w:val="0"/>
      <w:marTop w:val="0"/>
      <w:marBottom w:val="0"/>
      <w:divBdr>
        <w:top w:val="none" w:sz="0" w:space="0" w:color="auto"/>
        <w:left w:val="none" w:sz="0" w:space="0" w:color="auto"/>
        <w:bottom w:val="none" w:sz="0" w:space="0" w:color="auto"/>
        <w:right w:val="none" w:sz="0" w:space="0" w:color="auto"/>
      </w:divBdr>
    </w:div>
    <w:div w:id="1688629629">
      <w:bodyDiv w:val="1"/>
      <w:marLeft w:val="0"/>
      <w:marRight w:val="0"/>
      <w:marTop w:val="0"/>
      <w:marBottom w:val="0"/>
      <w:divBdr>
        <w:top w:val="none" w:sz="0" w:space="0" w:color="auto"/>
        <w:left w:val="none" w:sz="0" w:space="0" w:color="auto"/>
        <w:bottom w:val="none" w:sz="0" w:space="0" w:color="auto"/>
        <w:right w:val="none" w:sz="0" w:space="0" w:color="auto"/>
      </w:divBdr>
    </w:div>
    <w:div w:id="1999989935">
      <w:bodyDiv w:val="1"/>
      <w:marLeft w:val="0"/>
      <w:marRight w:val="0"/>
      <w:marTop w:val="0"/>
      <w:marBottom w:val="0"/>
      <w:divBdr>
        <w:top w:val="none" w:sz="0" w:space="0" w:color="auto"/>
        <w:left w:val="none" w:sz="0" w:space="0" w:color="auto"/>
        <w:bottom w:val="none" w:sz="0" w:space="0" w:color="auto"/>
        <w:right w:val="none" w:sz="0" w:space="0" w:color="auto"/>
      </w:divBdr>
    </w:div>
    <w:div w:id="2008820641">
      <w:bodyDiv w:val="1"/>
      <w:marLeft w:val="0"/>
      <w:marRight w:val="0"/>
      <w:marTop w:val="0"/>
      <w:marBottom w:val="0"/>
      <w:divBdr>
        <w:top w:val="none" w:sz="0" w:space="0" w:color="auto"/>
        <w:left w:val="none" w:sz="0" w:space="0" w:color="auto"/>
        <w:bottom w:val="none" w:sz="0" w:space="0" w:color="auto"/>
        <w:right w:val="none" w:sz="0" w:space="0" w:color="auto"/>
      </w:divBdr>
    </w:div>
    <w:div w:id="210561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www.fao.org/faostat/es/" TargetMode="External"/><Relationship Id="rId1" Type="http://schemas.openxmlformats.org/officeDocument/2006/relationships/hyperlink" Target="http://www.fao.org/3/xii/ms12a-s.htm"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baseline="0">
                <a:solidFill>
                  <a:schemeClr val="tx1"/>
                </a:solidFill>
                <a:latin typeface="+mn-lt"/>
                <a:ea typeface="+mn-ea"/>
                <a:cs typeface="+mn-cs"/>
              </a:defRPr>
            </a:pPr>
            <a:r>
              <a:rPr lang="es-CL" sz="1200" b="1"/>
              <a:t>Principales causas de deforestación en Guatemala 2006-2016</a:t>
            </a:r>
          </a:p>
        </c:rich>
      </c:tx>
      <c:overlay val="0"/>
      <c:spPr>
        <a:noFill/>
        <a:ln>
          <a:noFill/>
        </a:ln>
        <a:effectLst/>
      </c:spPr>
    </c:title>
    <c:autoTitleDeleted val="0"/>
    <c:plotArea>
      <c:layout>
        <c:manualLayout>
          <c:layoutTarget val="inner"/>
          <c:xMode val="edge"/>
          <c:yMode val="edge"/>
          <c:x val="0.14526855222526919"/>
          <c:y val="0.20857955789012914"/>
          <c:w val="0.83436484899672669"/>
          <c:h val="0.54372374700772341"/>
        </c:manualLayout>
      </c:layout>
      <c:barChart>
        <c:barDir val="col"/>
        <c:grouping val="clustered"/>
        <c:varyColors val="0"/>
        <c:ser>
          <c:idx val="0"/>
          <c:order val="0"/>
          <c:tx>
            <c:strRef>
              <c:f>Deforestación!$C$37</c:f>
              <c:strCache>
                <c:ptCount val="1"/>
                <c:pt idx="0">
                  <c:v>Superficie afectada</c:v>
                </c:pt>
              </c:strCache>
            </c:strRef>
          </c:tx>
          <c:spPr>
            <a:solidFill>
              <a:schemeClr val="accent2">
                <a:lumMod val="50000"/>
              </a:schemeClr>
            </a:solidFill>
            <a:ln>
              <a:noFill/>
            </a:ln>
            <a:effectLst/>
          </c:spPr>
          <c:invertIfNegative val="0"/>
          <c:dPt>
            <c:idx val="0"/>
            <c:invertIfNegative val="0"/>
            <c:bubble3D val="0"/>
            <c:spPr>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lin ang="2700000" scaled="1"/>
                <a:tileRect/>
              </a:gradFill>
              <a:ln>
                <a:noFill/>
              </a:ln>
              <a:effectLst/>
            </c:spPr>
            <c:extLst>
              <c:ext xmlns:c16="http://schemas.microsoft.com/office/drawing/2014/chart" uri="{C3380CC4-5D6E-409C-BE32-E72D297353CC}">
                <c16:uniqueId val="{00000001-C704-43FA-BE3B-6881BB782043}"/>
              </c:ext>
            </c:extLst>
          </c:dPt>
          <c:dPt>
            <c:idx val="1"/>
            <c:invertIfNegative val="0"/>
            <c:bubble3D val="0"/>
            <c:spPr>
              <a:gradFill flip="none" rotWithShape="1">
                <a:gsLst>
                  <a:gs pos="0">
                    <a:srgbClr val="ED7D31">
                      <a:lumMod val="75000"/>
                      <a:shade val="30000"/>
                      <a:satMod val="115000"/>
                    </a:srgbClr>
                  </a:gs>
                  <a:gs pos="50000">
                    <a:srgbClr val="ED7D31">
                      <a:lumMod val="75000"/>
                      <a:shade val="67500"/>
                      <a:satMod val="115000"/>
                    </a:srgbClr>
                  </a:gs>
                  <a:gs pos="100000">
                    <a:srgbClr val="ED7D31">
                      <a:lumMod val="75000"/>
                      <a:shade val="100000"/>
                      <a:satMod val="115000"/>
                    </a:srgbClr>
                  </a:gs>
                </a:gsLst>
                <a:lin ang="2700000" scaled="1"/>
                <a:tileRect/>
              </a:gradFill>
              <a:ln>
                <a:noFill/>
              </a:ln>
              <a:effectLst/>
            </c:spPr>
            <c:extLst>
              <c:ext xmlns:c16="http://schemas.microsoft.com/office/drawing/2014/chart" uri="{C3380CC4-5D6E-409C-BE32-E72D297353CC}">
                <c16:uniqueId val="{00000003-C704-43FA-BE3B-6881BB782043}"/>
              </c:ext>
            </c:extLst>
          </c:dPt>
          <c:dPt>
            <c:idx val="2"/>
            <c:invertIfNegative val="0"/>
            <c:bubble3D val="0"/>
            <c:spPr>
              <a:gradFill flip="none" rotWithShape="1">
                <a:gsLst>
                  <a:gs pos="0">
                    <a:srgbClr val="FFC000">
                      <a:lumMod val="75000"/>
                      <a:shade val="30000"/>
                      <a:satMod val="115000"/>
                    </a:srgbClr>
                  </a:gs>
                  <a:gs pos="50000">
                    <a:srgbClr val="FFC000">
                      <a:lumMod val="75000"/>
                      <a:shade val="67500"/>
                      <a:satMod val="115000"/>
                    </a:srgbClr>
                  </a:gs>
                  <a:gs pos="100000">
                    <a:srgbClr val="FFC000">
                      <a:lumMod val="75000"/>
                      <a:shade val="100000"/>
                      <a:satMod val="115000"/>
                    </a:srgbClr>
                  </a:gs>
                </a:gsLst>
                <a:lin ang="2700000" scaled="1"/>
                <a:tileRect/>
              </a:gradFill>
              <a:ln>
                <a:noFill/>
              </a:ln>
              <a:effectLst/>
            </c:spPr>
            <c:extLst>
              <c:ext xmlns:c16="http://schemas.microsoft.com/office/drawing/2014/chart" uri="{C3380CC4-5D6E-409C-BE32-E72D297353CC}">
                <c16:uniqueId val="{00000005-C704-43FA-BE3B-6881BB782043}"/>
              </c:ext>
            </c:extLst>
          </c:dPt>
          <c:dPt>
            <c:idx val="3"/>
            <c:invertIfNegative val="0"/>
            <c:bubble3D val="0"/>
            <c:spPr>
              <a:gradFill flip="none" rotWithShape="1">
                <a:gsLst>
                  <a:gs pos="0">
                    <a:srgbClr val="70AD47">
                      <a:lumMod val="75000"/>
                      <a:shade val="30000"/>
                      <a:satMod val="115000"/>
                    </a:srgbClr>
                  </a:gs>
                  <a:gs pos="50000">
                    <a:srgbClr val="70AD47">
                      <a:lumMod val="75000"/>
                      <a:shade val="67500"/>
                      <a:satMod val="115000"/>
                    </a:srgbClr>
                  </a:gs>
                  <a:gs pos="100000">
                    <a:srgbClr val="70AD47">
                      <a:lumMod val="75000"/>
                      <a:shade val="100000"/>
                      <a:satMod val="115000"/>
                    </a:srgbClr>
                  </a:gs>
                </a:gsLst>
                <a:lin ang="2700000" scaled="1"/>
                <a:tileRect/>
              </a:gradFill>
              <a:ln>
                <a:noFill/>
              </a:ln>
              <a:effectLst/>
            </c:spPr>
            <c:extLst>
              <c:ext xmlns:c16="http://schemas.microsoft.com/office/drawing/2014/chart" uri="{C3380CC4-5D6E-409C-BE32-E72D297353CC}">
                <c16:uniqueId val="{00000007-C704-43FA-BE3B-6881BB782043}"/>
              </c:ext>
            </c:extLst>
          </c:dPt>
          <c:dPt>
            <c:idx val="4"/>
            <c:invertIfNegative val="0"/>
            <c:bubble3D val="0"/>
            <c:spPr>
              <a:solidFill>
                <a:schemeClr val="tx1">
                  <a:lumMod val="65000"/>
                  <a:lumOff val="35000"/>
                </a:schemeClr>
              </a:solidFill>
              <a:ln>
                <a:noFill/>
              </a:ln>
              <a:effectLst/>
            </c:spPr>
            <c:extLst>
              <c:ext xmlns:c16="http://schemas.microsoft.com/office/drawing/2014/chart" uri="{C3380CC4-5D6E-409C-BE32-E72D297353CC}">
                <c16:uniqueId val="{00000009-C704-43FA-BE3B-6881BB78204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s-C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Deforestación!$B$38:$B$42</c:f>
              <c:strCache>
                <c:ptCount val="5"/>
                <c:pt idx="0">
                  <c:v>Aprovechamiento no sostenible de productos forestales</c:v>
                </c:pt>
                <c:pt idx="1">
                  <c:v>Expansión de actividad ganadera</c:v>
                </c:pt>
                <c:pt idx="2">
                  <c:v>Expansión de actividad agrícola</c:v>
                </c:pt>
                <c:pt idx="3">
                  <c:v>Otros</c:v>
                </c:pt>
                <c:pt idx="4">
                  <c:v>Expansión infraestructura urbana e industrial</c:v>
                </c:pt>
              </c:strCache>
            </c:strRef>
          </c:cat>
          <c:val>
            <c:numRef>
              <c:f>Deforestación!$C$38:$C$42</c:f>
              <c:numCache>
                <c:formatCode>_(* #,##0_);_(* \(#,##0\);_(* "-"_);_(@_)</c:formatCode>
                <c:ptCount val="5"/>
                <c:pt idx="0">
                  <c:v>147670.6</c:v>
                </c:pt>
                <c:pt idx="1">
                  <c:v>130410.4</c:v>
                </c:pt>
                <c:pt idx="2">
                  <c:v>93013.3</c:v>
                </c:pt>
                <c:pt idx="3">
                  <c:v>9589</c:v>
                </c:pt>
                <c:pt idx="4">
                  <c:v>2876.7</c:v>
                </c:pt>
              </c:numCache>
            </c:numRef>
          </c:val>
          <c:extLst>
            <c:ext xmlns:c16="http://schemas.microsoft.com/office/drawing/2014/chart" uri="{C3380CC4-5D6E-409C-BE32-E72D297353CC}">
              <c16:uniqueId val="{0000000A-C704-43FA-BE3B-6881BB782043}"/>
            </c:ext>
          </c:extLst>
        </c:ser>
        <c:dLbls>
          <c:dLblPos val="outEnd"/>
          <c:showLegendKey val="0"/>
          <c:showVal val="1"/>
          <c:showCatName val="0"/>
          <c:showSerName val="0"/>
          <c:showPercent val="0"/>
          <c:showBubbleSize val="0"/>
        </c:dLbls>
        <c:gapWidth val="100"/>
        <c:overlap val="-24"/>
        <c:axId val="251159296"/>
        <c:axId val="344065536"/>
      </c:barChart>
      <c:catAx>
        <c:axId val="25115929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r>
                  <a:rPr lang="es-CL" b="0"/>
                  <a:t>Causa de deforestación</a:t>
                </a:r>
              </a:p>
            </c:rich>
          </c:tx>
          <c:layout>
            <c:manualLayout>
              <c:xMode val="edge"/>
              <c:yMode val="edge"/>
              <c:x val="0.40747636275195337"/>
              <c:y val="0.91527276720991668"/>
            </c:manualLayout>
          </c:layout>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CL"/>
          </a:p>
        </c:txPr>
        <c:crossAx val="344065536"/>
        <c:crosses val="autoZero"/>
        <c:auto val="1"/>
        <c:lblAlgn val="ctr"/>
        <c:lblOffset val="100"/>
        <c:noMultiLvlLbl val="0"/>
      </c:catAx>
      <c:valAx>
        <c:axId val="344065536"/>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solidFill>
                    <a:latin typeface="+mn-lt"/>
                    <a:ea typeface="+mn-ea"/>
                    <a:cs typeface="+mn-cs"/>
                  </a:defRPr>
                </a:pPr>
                <a:r>
                  <a:rPr lang="es-CL" b="0"/>
                  <a:t>Superficie perdida de tierras forestales (ha)</a:t>
                </a:r>
              </a:p>
            </c:rich>
          </c:tx>
          <c:layout>
            <c:manualLayout>
              <c:xMode val="edge"/>
              <c:yMode val="edge"/>
              <c:x val="1.3577732518669382E-2"/>
              <c:y val="0.10352373496333991"/>
            </c:manualLayout>
          </c:layout>
          <c:overlay val="0"/>
          <c:spPr>
            <a:noFill/>
            <a:ln>
              <a:noFill/>
            </a:ln>
            <a:effectLst/>
          </c:sp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CL"/>
          </a:p>
        </c:txPr>
        <c:crossAx val="251159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solidFill>
            <a:schemeClr val="tx1"/>
          </a:solidFill>
        </a:defRPr>
      </a:pPr>
      <a:endParaRPr lang="es-C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r>
              <a:rPr lang="en-US" sz="1100"/>
              <a:t>Deforestación</a:t>
            </a:r>
            <a:r>
              <a:rPr lang="en-US" sz="1100" baseline="0"/>
              <a:t> </a:t>
            </a:r>
            <a:r>
              <a:rPr lang="en-US" sz="1100"/>
              <a:t>por aprovechamiento no</a:t>
            </a:r>
            <a:r>
              <a:rPr lang="en-US" sz="1100" baseline="0"/>
              <a:t> </a:t>
            </a:r>
            <a:r>
              <a:rPr lang="en-US" sz="1100"/>
              <a:t>sostenible de productos forestales (2006-2016)</a:t>
            </a:r>
          </a:p>
        </c:rich>
      </c:tx>
      <c:layout>
        <c:manualLayout>
          <c:xMode val="edge"/>
          <c:yMode val="edge"/>
          <c:x val="0.14676143569703187"/>
          <c:y val="4.8270313757039419E-2"/>
        </c:manualLayout>
      </c:layout>
      <c:overlay val="0"/>
      <c:spPr>
        <a:noFill/>
        <a:ln>
          <a:noFill/>
        </a:ln>
        <a:effectLst/>
      </c:spPr>
    </c:title>
    <c:autoTitleDeleted val="0"/>
    <c:plotArea>
      <c:layout/>
      <c:barChart>
        <c:barDir val="bar"/>
        <c:grouping val="clustered"/>
        <c:varyColors val="0"/>
        <c:ser>
          <c:idx val="0"/>
          <c:order val="0"/>
          <c:spPr>
            <a:gradFill flip="none" rotWithShape="1">
              <a:gsLst>
                <a:gs pos="0">
                  <a:srgbClr val="CC3300">
                    <a:shade val="30000"/>
                    <a:satMod val="115000"/>
                  </a:srgbClr>
                </a:gs>
                <a:gs pos="50000">
                  <a:srgbClr val="CC3300">
                    <a:shade val="67500"/>
                    <a:satMod val="115000"/>
                  </a:srgbClr>
                </a:gs>
                <a:gs pos="100000">
                  <a:srgbClr val="CC3300">
                    <a:shade val="100000"/>
                    <a:satMod val="115000"/>
                  </a:srgbClr>
                </a:gs>
              </a:gsLst>
              <a:lin ang="2700000" scaled="1"/>
              <a:tileRect/>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'Extracción insostenible'!$B$5:$B$12</c:f>
              <c:strCache>
                <c:ptCount val="8"/>
                <c:pt idx="0">
                  <c:v>Metropolitana</c:v>
                </c:pt>
                <c:pt idx="1">
                  <c:v>Central</c:v>
                </c:pt>
                <c:pt idx="2">
                  <c:v>Suroriental</c:v>
                </c:pt>
                <c:pt idx="3">
                  <c:v>Nororiental</c:v>
                </c:pt>
                <c:pt idx="4">
                  <c:v>Norte</c:v>
                </c:pt>
                <c:pt idx="5">
                  <c:v>Suroccidental</c:v>
                </c:pt>
                <c:pt idx="6">
                  <c:v>Noroccidental</c:v>
                </c:pt>
                <c:pt idx="7">
                  <c:v>Petén</c:v>
                </c:pt>
              </c:strCache>
            </c:strRef>
          </c:cat>
          <c:val>
            <c:numRef>
              <c:f>'Extracción insostenible'!$C$5:$C$12</c:f>
              <c:numCache>
                <c:formatCode>_(* #,##0_);_(* \(#,##0\);_(* "-"_);_(@_)</c:formatCode>
                <c:ptCount val="8"/>
                <c:pt idx="0">
                  <c:v>2876.67</c:v>
                </c:pt>
                <c:pt idx="1">
                  <c:v>3835.56</c:v>
                </c:pt>
                <c:pt idx="2">
                  <c:v>6712.23</c:v>
                </c:pt>
                <c:pt idx="3">
                  <c:v>11506.68</c:v>
                </c:pt>
                <c:pt idx="4">
                  <c:v>16301.13</c:v>
                </c:pt>
                <c:pt idx="5">
                  <c:v>19177.8</c:v>
                </c:pt>
                <c:pt idx="6">
                  <c:v>24931.14</c:v>
                </c:pt>
                <c:pt idx="7">
                  <c:v>62327.85</c:v>
                </c:pt>
              </c:numCache>
            </c:numRef>
          </c:val>
          <c:extLst>
            <c:ext xmlns:c16="http://schemas.microsoft.com/office/drawing/2014/chart" uri="{C3380CC4-5D6E-409C-BE32-E72D297353CC}">
              <c16:uniqueId val="{00000000-BD3B-40E0-AF0A-6DC56BEA198B}"/>
            </c:ext>
          </c:extLst>
        </c:ser>
        <c:dLbls>
          <c:dLblPos val="outEnd"/>
          <c:showLegendKey val="0"/>
          <c:showVal val="1"/>
          <c:showCatName val="0"/>
          <c:showSerName val="0"/>
          <c:showPercent val="0"/>
          <c:showBubbleSize val="0"/>
        </c:dLbls>
        <c:gapWidth val="182"/>
        <c:axId val="344582784"/>
        <c:axId val="355493760"/>
      </c:barChart>
      <c:catAx>
        <c:axId val="344582784"/>
        <c:scaling>
          <c:orientation val="minMax"/>
        </c:scaling>
        <c:delete val="0"/>
        <c:axPos val="l"/>
        <c:title>
          <c:tx>
            <c:rich>
              <a:bodyPr rot="-54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r>
                  <a:rPr lang="es-CL" sz="900"/>
                  <a:t>Región de Guatemala</a:t>
                </a:r>
              </a:p>
            </c:rich>
          </c:tx>
          <c:layout>
            <c:manualLayout>
              <c:xMode val="edge"/>
              <c:yMode val="edge"/>
              <c:x val="3.1872509960159362E-2"/>
              <c:y val="0.3293777437112396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CL"/>
          </a:p>
        </c:txPr>
        <c:crossAx val="355493760"/>
        <c:crosses val="autoZero"/>
        <c:auto val="1"/>
        <c:lblAlgn val="ctr"/>
        <c:lblOffset val="100"/>
        <c:noMultiLvlLbl val="0"/>
      </c:catAx>
      <c:valAx>
        <c:axId val="355493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r>
                  <a:rPr lang="es-CL" sz="900"/>
                  <a:t>Superficie de bosques perdida (ha)</a:t>
                </a:r>
              </a:p>
            </c:rich>
          </c:tx>
          <c:overlay val="0"/>
          <c:spPr>
            <a:noFill/>
            <a:ln>
              <a:noFill/>
            </a:ln>
            <a:effectLst/>
          </c:sp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CL"/>
          </a:p>
        </c:txPr>
        <c:crossAx val="344582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s-CL"/>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r>
              <a:rPr lang="es-CL" sz="1100"/>
              <a:t>Pérdida de bosque por expansión de actividad ganadera (2006-2016)</a:t>
            </a:r>
          </a:p>
        </c:rich>
      </c:tx>
      <c:layout>
        <c:manualLayout>
          <c:xMode val="edge"/>
          <c:yMode val="edge"/>
          <c:x val="0.21518713779348358"/>
          <c:y val="4.1373661944264624E-2"/>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endParaRPr lang="es-CL"/>
        </a:p>
      </c:txPr>
    </c:title>
    <c:autoTitleDeleted val="0"/>
    <c:plotArea>
      <c:layout/>
      <c:barChart>
        <c:barDir val="bar"/>
        <c:grouping val="clustered"/>
        <c:varyColors val="0"/>
        <c:ser>
          <c:idx val="0"/>
          <c:order val="0"/>
          <c:tx>
            <c:v>Superficie</c:v>
          </c:tx>
          <c:spPr>
            <a:gradFill flip="none" rotWithShape="1">
              <a:gsLst>
                <a:gs pos="0">
                  <a:srgbClr val="CC3300">
                    <a:shade val="30000"/>
                    <a:satMod val="115000"/>
                  </a:srgbClr>
                </a:gs>
                <a:gs pos="50000">
                  <a:srgbClr val="CC3300">
                    <a:shade val="67500"/>
                    <a:satMod val="115000"/>
                  </a:srgbClr>
                </a:gs>
                <a:gs pos="100000">
                  <a:srgbClr val="CC3300">
                    <a:shade val="100000"/>
                    <a:satMod val="115000"/>
                  </a:srgbClr>
                </a:gs>
              </a:gsLst>
              <a:lin ang="2700000" scaled="1"/>
              <a:tileRect/>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'Figura 27'!$B$3:$B$8</c:f>
              <c:strCache>
                <c:ptCount val="6"/>
                <c:pt idx="0">
                  <c:v>Central</c:v>
                </c:pt>
                <c:pt idx="1">
                  <c:v>Suroriental</c:v>
                </c:pt>
                <c:pt idx="2">
                  <c:v>Noroccidental</c:v>
                </c:pt>
                <c:pt idx="3">
                  <c:v>Norte</c:v>
                </c:pt>
                <c:pt idx="4">
                  <c:v>Nooriental</c:v>
                </c:pt>
                <c:pt idx="5">
                  <c:v>Petén</c:v>
                </c:pt>
              </c:strCache>
            </c:strRef>
          </c:cat>
          <c:val>
            <c:numRef>
              <c:f>'Figura 27'!$C$3:$C$8</c:f>
              <c:numCache>
                <c:formatCode>_(* #,##0_);_(* \(#,##0\);_(* "-"_);_(@_)</c:formatCode>
                <c:ptCount val="6"/>
                <c:pt idx="0">
                  <c:v>958.89</c:v>
                </c:pt>
                <c:pt idx="1">
                  <c:v>2876.67</c:v>
                </c:pt>
                <c:pt idx="2">
                  <c:v>7671.12</c:v>
                </c:pt>
                <c:pt idx="3">
                  <c:v>8630.01</c:v>
                </c:pt>
                <c:pt idx="4">
                  <c:v>14383.35</c:v>
                </c:pt>
                <c:pt idx="5">
                  <c:v>95889</c:v>
                </c:pt>
              </c:numCache>
            </c:numRef>
          </c:val>
          <c:extLst>
            <c:ext xmlns:c16="http://schemas.microsoft.com/office/drawing/2014/chart" uri="{C3380CC4-5D6E-409C-BE32-E72D297353CC}">
              <c16:uniqueId val="{00000000-2DF4-4708-86EF-2C198E01639F}"/>
            </c:ext>
          </c:extLst>
        </c:ser>
        <c:dLbls>
          <c:dLblPos val="outEnd"/>
          <c:showLegendKey val="0"/>
          <c:showVal val="1"/>
          <c:showCatName val="0"/>
          <c:showSerName val="0"/>
          <c:showPercent val="0"/>
          <c:showBubbleSize val="0"/>
        </c:dLbls>
        <c:gapWidth val="182"/>
        <c:axId val="1634414927"/>
        <c:axId val="1633426447"/>
      </c:barChart>
      <c:catAx>
        <c:axId val="1634414927"/>
        <c:scaling>
          <c:orientation val="minMax"/>
        </c:scaling>
        <c:delete val="0"/>
        <c:axPos val="l"/>
        <c:title>
          <c:tx>
            <c:rich>
              <a:bodyPr rot="-54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r>
                  <a:rPr lang="es-CL" sz="900"/>
                  <a:t>Regiones de Guatemala</a:t>
                </a:r>
              </a:p>
            </c:rich>
          </c:tx>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C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CL"/>
          </a:p>
        </c:txPr>
        <c:crossAx val="1633426447"/>
        <c:crosses val="autoZero"/>
        <c:auto val="1"/>
        <c:lblAlgn val="ctr"/>
        <c:lblOffset val="100"/>
        <c:noMultiLvlLbl val="0"/>
      </c:catAx>
      <c:valAx>
        <c:axId val="1633426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s-CL"/>
                  <a:t>Superficie (ha) de bosque perdidas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s-CL"/>
            </a:p>
          </c:tx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CL"/>
          </a:p>
        </c:txPr>
        <c:crossAx val="16344149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s-CL"/>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solidFill>
                <a:latin typeface="+mn-lt"/>
                <a:ea typeface="+mn-ea"/>
                <a:cs typeface="+mn-cs"/>
              </a:defRPr>
            </a:pPr>
            <a:r>
              <a:rPr lang="en-US" sz="1200"/>
              <a:t>Pérdida de bosque (ha) por expansión de la actividad agrícola </a:t>
            </a:r>
          </a:p>
          <a:p>
            <a:pPr>
              <a:defRPr sz="1200"/>
            </a:pPr>
            <a:r>
              <a:rPr lang="en-US" sz="1200"/>
              <a:t>(2006-2016)</a:t>
            </a:r>
          </a:p>
        </c:rich>
      </c:tx>
      <c:layout>
        <c:manualLayout>
          <c:xMode val="edge"/>
          <c:yMode val="edge"/>
          <c:x val="0.19405657626130063"/>
          <c:y val="3.4735623311462759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solidFill>
              <a:latin typeface="+mn-lt"/>
              <a:ea typeface="+mn-ea"/>
              <a:cs typeface="+mn-cs"/>
            </a:defRPr>
          </a:pPr>
          <a:endParaRPr lang="es-CL"/>
        </a:p>
      </c:txPr>
    </c:title>
    <c:autoTitleDeleted val="0"/>
    <c:plotArea>
      <c:layout>
        <c:manualLayout>
          <c:layoutTarget val="inner"/>
          <c:xMode val="edge"/>
          <c:yMode val="edge"/>
          <c:x val="0.16339411520928304"/>
          <c:y val="0.20908824609041693"/>
          <c:w val="0.83449985418489359"/>
          <c:h val="0.57721806393897335"/>
        </c:manualLayout>
      </c:layout>
      <c:barChart>
        <c:barDir val="col"/>
        <c:grouping val="clustered"/>
        <c:varyColors val="0"/>
        <c:ser>
          <c:idx val="0"/>
          <c:order val="0"/>
          <c:tx>
            <c:strRef>
              <c:f>'Figura 35'!$B$2</c:f>
              <c:strCache>
                <c:ptCount val="1"/>
                <c:pt idx="0">
                  <c:v>Superficie</c:v>
                </c:pt>
              </c:strCache>
            </c:strRef>
          </c:tx>
          <c:spPr>
            <a:solidFill>
              <a:schemeClr val="accent1"/>
            </a:solidFill>
            <a:ln>
              <a:noFill/>
            </a:ln>
            <a:effectLst>
              <a:innerShdw blurRad="63500" dist="50800" dir="10800000">
                <a:prstClr val="black">
                  <a:alpha val="50000"/>
                </a:prstClr>
              </a:innerShdw>
            </a:effectLst>
          </c:spPr>
          <c:invertIfNegative val="0"/>
          <c:dPt>
            <c:idx val="0"/>
            <c:invertIfNegative val="0"/>
            <c:bubble3D val="0"/>
            <c:spPr>
              <a:solidFill>
                <a:srgbClr val="333300"/>
              </a:solidFill>
              <a:ln>
                <a:noFill/>
              </a:ln>
              <a:effectLst>
                <a:innerShdw blurRad="63500" dist="50800" dir="10800000">
                  <a:prstClr val="black">
                    <a:alpha val="50000"/>
                  </a:prstClr>
                </a:innerShdw>
              </a:effectLst>
            </c:spPr>
            <c:extLst>
              <c:ext xmlns:c16="http://schemas.microsoft.com/office/drawing/2014/chart" uri="{C3380CC4-5D6E-409C-BE32-E72D297353CC}">
                <c16:uniqueId val="{00000001-C7FE-4543-923B-E21093A4DF10}"/>
              </c:ext>
            </c:extLst>
          </c:dPt>
          <c:dPt>
            <c:idx val="1"/>
            <c:invertIfNegative val="0"/>
            <c:bubble3D val="0"/>
            <c:spPr>
              <a:solidFill>
                <a:srgbClr val="663300"/>
              </a:solidFill>
              <a:ln>
                <a:noFill/>
              </a:ln>
              <a:effectLst>
                <a:innerShdw blurRad="63500" dist="50800" dir="10800000">
                  <a:prstClr val="black">
                    <a:alpha val="50000"/>
                  </a:prstClr>
                </a:innerShdw>
              </a:effectLst>
            </c:spPr>
            <c:extLst>
              <c:ext xmlns:c16="http://schemas.microsoft.com/office/drawing/2014/chart" uri="{C3380CC4-5D6E-409C-BE32-E72D297353CC}">
                <c16:uniqueId val="{00000003-C7FE-4543-923B-E21093A4DF10}"/>
              </c:ext>
            </c:extLst>
          </c:dPt>
          <c:dPt>
            <c:idx val="2"/>
            <c:invertIfNegative val="0"/>
            <c:bubble3D val="0"/>
            <c:spPr>
              <a:solidFill>
                <a:srgbClr val="996600"/>
              </a:solidFill>
              <a:ln>
                <a:noFill/>
              </a:ln>
              <a:effectLst>
                <a:innerShdw blurRad="63500" dist="50800" dir="10800000">
                  <a:prstClr val="black">
                    <a:alpha val="50000"/>
                  </a:prstClr>
                </a:innerShdw>
              </a:effectLst>
            </c:spPr>
            <c:extLst>
              <c:ext xmlns:c16="http://schemas.microsoft.com/office/drawing/2014/chart" uri="{C3380CC4-5D6E-409C-BE32-E72D297353CC}">
                <c16:uniqueId val="{00000005-C7FE-4543-923B-E21093A4DF10}"/>
              </c:ext>
            </c:extLst>
          </c:dPt>
          <c:dPt>
            <c:idx val="3"/>
            <c:invertIfNegative val="0"/>
            <c:bubble3D val="0"/>
            <c:spPr>
              <a:solidFill>
                <a:srgbClr val="CC3300"/>
              </a:solidFill>
              <a:ln>
                <a:noFill/>
              </a:ln>
              <a:effectLst>
                <a:innerShdw blurRad="63500" dist="50800" dir="10800000">
                  <a:prstClr val="black">
                    <a:alpha val="50000"/>
                  </a:prstClr>
                </a:innerShdw>
              </a:effectLst>
            </c:spPr>
            <c:extLst>
              <c:ext xmlns:c16="http://schemas.microsoft.com/office/drawing/2014/chart" uri="{C3380CC4-5D6E-409C-BE32-E72D297353CC}">
                <c16:uniqueId val="{00000007-C7FE-4543-923B-E21093A4DF10}"/>
              </c:ext>
            </c:extLst>
          </c:dPt>
          <c:dPt>
            <c:idx val="4"/>
            <c:invertIfNegative val="0"/>
            <c:bubble3D val="0"/>
            <c:spPr>
              <a:solidFill>
                <a:srgbClr val="993300"/>
              </a:solidFill>
              <a:ln>
                <a:noFill/>
              </a:ln>
              <a:effectLst>
                <a:innerShdw blurRad="63500" dist="50800" dir="10800000">
                  <a:prstClr val="black">
                    <a:alpha val="50000"/>
                  </a:prstClr>
                </a:innerShdw>
              </a:effectLst>
            </c:spPr>
            <c:extLst>
              <c:ext xmlns:c16="http://schemas.microsoft.com/office/drawing/2014/chart" uri="{C3380CC4-5D6E-409C-BE32-E72D297353CC}">
                <c16:uniqueId val="{00000009-C7FE-4543-923B-E21093A4DF10}"/>
              </c:ext>
            </c:extLst>
          </c:dPt>
          <c:dPt>
            <c:idx val="5"/>
            <c:invertIfNegative val="0"/>
            <c:bubble3D val="0"/>
            <c:spPr>
              <a:solidFill>
                <a:srgbClr val="800000"/>
              </a:solidFill>
              <a:ln>
                <a:noFill/>
              </a:ln>
              <a:effectLst>
                <a:innerShdw blurRad="63500" dist="50800" dir="10800000">
                  <a:prstClr val="black">
                    <a:alpha val="50000"/>
                  </a:prstClr>
                </a:innerShdw>
              </a:effectLst>
            </c:spPr>
            <c:extLst>
              <c:ext xmlns:c16="http://schemas.microsoft.com/office/drawing/2014/chart" uri="{C3380CC4-5D6E-409C-BE32-E72D297353CC}">
                <c16:uniqueId val="{0000000B-C7FE-4543-923B-E21093A4DF10}"/>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C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'Figura 35'!$A$3:$A$8</c:f>
              <c:strCache>
                <c:ptCount val="6"/>
                <c:pt idx="0">
                  <c:v>Cultivos agrícolas anuales</c:v>
                </c:pt>
                <c:pt idx="1">
                  <c:v>Sistemas agroforestales</c:v>
                </c:pt>
                <c:pt idx="2">
                  <c:v>Palma africana</c:v>
                </c:pt>
                <c:pt idx="3">
                  <c:v>Hule</c:v>
                </c:pt>
                <c:pt idx="4">
                  <c:v>Caña</c:v>
                </c:pt>
                <c:pt idx="5">
                  <c:v>Café</c:v>
                </c:pt>
              </c:strCache>
            </c:strRef>
          </c:cat>
          <c:val>
            <c:numRef>
              <c:f>'Figura 35'!$B$3:$B$8</c:f>
              <c:numCache>
                <c:formatCode>_(* #,##0_);_(* \(#,##0\);_(* "-"_);_(@_)</c:formatCode>
                <c:ptCount val="6"/>
                <c:pt idx="0">
                  <c:v>30684.48</c:v>
                </c:pt>
                <c:pt idx="1">
                  <c:v>16301.13</c:v>
                </c:pt>
                <c:pt idx="2">
                  <c:v>14383.35</c:v>
                </c:pt>
                <c:pt idx="3">
                  <c:v>7671.12</c:v>
                </c:pt>
                <c:pt idx="4">
                  <c:v>6712.23</c:v>
                </c:pt>
                <c:pt idx="5">
                  <c:v>4794.45</c:v>
                </c:pt>
              </c:numCache>
            </c:numRef>
          </c:val>
          <c:extLst>
            <c:ext xmlns:c16="http://schemas.microsoft.com/office/drawing/2014/chart" uri="{C3380CC4-5D6E-409C-BE32-E72D297353CC}">
              <c16:uniqueId val="{0000000C-C7FE-4543-923B-E21093A4DF10}"/>
            </c:ext>
          </c:extLst>
        </c:ser>
        <c:dLbls>
          <c:dLblPos val="outEnd"/>
          <c:showLegendKey val="0"/>
          <c:showVal val="1"/>
          <c:showCatName val="0"/>
          <c:showSerName val="0"/>
          <c:showPercent val="0"/>
          <c:showBubbleSize val="0"/>
        </c:dLbls>
        <c:gapWidth val="219"/>
        <c:overlap val="-27"/>
        <c:axId val="504096479"/>
        <c:axId val="506688703"/>
      </c:barChart>
      <c:catAx>
        <c:axId val="504096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s-CL"/>
                  <a:t>Principales cultivos</a:t>
                </a:r>
              </a:p>
            </c:rich>
          </c:tx>
          <c:layout>
            <c:manualLayout>
              <c:xMode val="edge"/>
              <c:yMode val="edge"/>
              <c:x val="0.45847019122609672"/>
              <c:y val="0.910448486852180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s-C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CL"/>
          </a:p>
        </c:txPr>
        <c:crossAx val="506688703"/>
        <c:crosses val="autoZero"/>
        <c:auto val="1"/>
        <c:lblAlgn val="ctr"/>
        <c:lblOffset val="100"/>
        <c:noMultiLvlLbl val="0"/>
      </c:catAx>
      <c:valAx>
        <c:axId val="5066887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s-CL"/>
                  <a:t>Superficie de bosque perdida (ha) por Agricultura</a:t>
                </a:r>
              </a:p>
            </c:rich>
          </c:tx>
          <c:layout>
            <c:manualLayout>
              <c:xMode val="edge"/>
              <c:yMode val="edge"/>
              <c:x val="1.1173811606882475E-2"/>
              <c:y val="0.118926595952365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s-CL"/>
            </a:p>
          </c:tx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CL"/>
          </a:p>
        </c:txPr>
        <c:crossAx val="504096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s-CL"/>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solidFill>
                <a:latin typeface="+mn-lt"/>
                <a:ea typeface="+mn-ea"/>
                <a:cs typeface="+mn-cs"/>
              </a:defRPr>
            </a:pPr>
            <a:r>
              <a:rPr lang="en-US" sz="1200">
                <a:solidFill>
                  <a:schemeClr val="tx1"/>
                </a:solidFill>
              </a:rPr>
              <a:t>Pérdida de bosque por expansión de actividad agrícola (2006-2016)</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solidFill>
              <a:latin typeface="+mn-lt"/>
              <a:ea typeface="+mn-ea"/>
              <a:cs typeface="+mn-cs"/>
            </a:defRPr>
          </a:pPr>
          <a:endParaRPr lang="es-CL"/>
        </a:p>
      </c:txPr>
    </c:title>
    <c:autoTitleDeleted val="0"/>
    <c:plotArea>
      <c:layout>
        <c:manualLayout>
          <c:layoutTarget val="inner"/>
          <c:xMode val="edge"/>
          <c:yMode val="edge"/>
          <c:x val="0.20231482474772397"/>
          <c:y val="0.11317981381675649"/>
          <c:w val="0.73962432148297541"/>
          <c:h val="0.77444616336235772"/>
        </c:manualLayout>
      </c:layout>
      <c:barChart>
        <c:barDir val="bar"/>
        <c:grouping val="clustered"/>
        <c:varyColors val="0"/>
        <c:ser>
          <c:idx val="0"/>
          <c:order val="0"/>
          <c:tx>
            <c:strRef>
              <c:f>'Figura 8'!$E$2</c:f>
              <c:strCache>
                <c:ptCount val="1"/>
                <c:pt idx="0">
                  <c:v>Superficie</c:v>
                </c:pt>
              </c:strCache>
            </c:strRef>
          </c:tx>
          <c:spPr>
            <a:gradFill flip="none" rotWithShape="1">
              <a:gsLst>
                <a:gs pos="0">
                  <a:srgbClr val="993300">
                    <a:shade val="30000"/>
                    <a:satMod val="115000"/>
                  </a:srgbClr>
                </a:gs>
                <a:gs pos="50000">
                  <a:srgbClr val="993300">
                    <a:shade val="67500"/>
                    <a:satMod val="115000"/>
                  </a:srgbClr>
                </a:gs>
                <a:gs pos="100000">
                  <a:srgbClr val="993300">
                    <a:shade val="100000"/>
                    <a:satMod val="115000"/>
                  </a:srgbClr>
                </a:gs>
              </a:gsLst>
              <a:lin ang="2700000" scaled="1"/>
              <a:tileRect/>
            </a:gradFill>
            <a:ln>
              <a:noFill/>
            </a:ln>
            <a:effectLst/>
          </c:spPr>
          <c:invertIfNegative val="0"/>
          <c:cat>
            <c:strRef>
              <c:f>'Figura 8'!$D$3:$D$10</c:f>
              <c:strCache>
                <c:ptCount val="8"/>
                <c:pt idx="0">
                  <c:v>Metropolitana</c:v>
                </c:pt>
                <c:pt idx="1">
                  <c:v>Suroriental</c:v>
                </c:pt>
                <c:pt idx="2">
                  <c:v>Noroccidental</c:v>
                </c:pt>
                <c:pt idx="3">
                  <c:v>Nororiental</c:v>
                </c:pt>
                <c:pt idx="4">
                  <c:v>Central</c:v>
                </c:pt>
                <c:pt idx="5">
                  <c:v>Suroccidental</c:v>
                </c:pt>
                <c:pt idx="6">
                  <c:v>Norte</c:v>
                </c:pt>
                <c:pt idx="7">
                  <c:v>Petén</c:v>
                </c:pt>
              </c:strCache>
            </c:strRef>
          </c:cat>
          <c:val>
            <c:numRef>
              <c:f>'Figura 8'!$E$3:$E$10</c:f>
              <c:numCache>
                <c:formatCode>_(* #,##0_);_(* \(#,##0\);_(* "-"_);_(@_)</c:formatCode>
                <c:ptCount val="8"/>
                <c:pt idx="0">
                  <c:v>958.89</c:v>
                </c:pt>
                <c:pt idx="1">
                  <c:v>5753.34</c:v>
                </c:pt>
                <c:pt idx="2">
                  <c:v>6712.23</c:v>
                </c:pt>
                <c:pt idx="3">
                  <c:v>8630.01</c:v>
                </c:pt>
                <c:pt idx="4">
                  <c:v>11506.68</c:v>
                </c:pt>
                <c:pt idx="5">
                  <c:v>15342.24</c:v>
                </c:pt>
                <c:pt idx="6">
                  <c:v>16301.13</c:v>
                </c:pt>
                <c:pt idx="7">
                  <c:v>27807.81</c:v>
                </c:pt>
              </c:numCache>
            </c:numRef>
          </c:val>
          <c:extLst>
            <c:ext xmlns:c16="http://schemas.microsoft.com/office/drawing/2014/chart" uri="{C3380CC4-5D6E-409C-BE32-E72D297353CC}">
              <c16:uniqueId val="{00000000-3A07-448E-94B7-BFFC387C48F8}"/>
            </c:ext>
          </c:extLst>
        </c:ser>
        <c:dLbls>
          <c:showLegendKey val="0"/>
          <c:showVal val="0"/>
          <c:showCatName val="0"/>
          <c:showSerName val="0"/>
          <c:showPercent val="0"/>
          <c:showBubbleSize val="0"/>
        </c:dLbls>
        <c:gapWidth val="182"/>
        <c:axId val="2093267616"/>
        <c:axId val="1750440784"/>
      </c:barChart>
      <c:catAx>
        <c:axId val="20932676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s-CL">
                    <a:solidFill>
                      <a:schemeClr val="tx1"/>
                    </a:solidFill>
                  </a:rPr>
                  <a:t>Región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s-C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CL"/>
          </a:p>
        </c:txPr>
        <c:crossAx val="1750440784"/>
        <c:crosses val="autoZero"/>
        <c:auto val="1"/>
        <c:lblAlgn val="ctr"/>
        <c:lblOffset val="100"/>
        <c:noMultiLvlLbl val="0"/>
      </c:catAx>
      <c:valAx>
        <c:axId val="1750440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s-CL">
                    <a:solidFill>
                      <a:schemeClr val="tx1"/>
                    </a:solidFill>
                  </a:rPr>
                  <a:t>Superficie (ha)</a:t>
                </a:r>
                <a:r>
                  <a:rPr lang="es-CL" baseline="0">
                    <a:solidFill>
                      <a:schemeClr val="tx1"/>
                    </a:solidFill>
                  </a:rPr>
                  <a:t> de bosque perdida</a:t>
                </a:r>
                <a:endParaRPr lang="es-CL">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s-CL"/>
            </a:p>
          </c:tx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CL"/>
          </a:p>
        </c:txPr>
        <c:crossAx val="2093267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55F34-A00E-49E7-8AFF-40CB4CC68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10</Pages>
  <Words>1798</Words>
  <Characters>9894</Characters>
  <Application>Microsoft Office Word</Application>
  <DocSecurity>0</DocSecurity>
  <Lines>82</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Astrid Holmgren</cp:lastModifiedBy>
  <cp:revision>3</cp:revision>
  <cp:lastPrinted>2019-03-07T05:04:00Z</cp:lastPrinted>
  <dcterms:created xsi:type="dcterms:W3CDTF">2020-07-02T18:20:00Z</dcterms:created>
  <dcterms:modified xsi:type="dcterms:W3CDTF">2020-07-20T22:30:00Z</dcterms:modified>
</cp:coreProperties>
</file>