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750023" w:rsidP="00F5732D">
      <w:pPr>
        <w:pStyle w:val="2"/>
        <w:numPr>
          <w:ilvl w:val="1"/>
          <w:numId w:val="18"/>
        </w:numPr>
        <w:spacing w:beforeLines="50" w:before="120" w:afterLines="50" w:after="120" w:line="360" w:lineRule="exact"/>
        <w:jc w:val="left"/>
        <w:rPr>
          <w:rFonts w:ascii="黑体" w:eastAsia="黑体" w:hAnsi="黑体"/>
          <w:b w:val="0"/>
          <w:i w:val="0"/>
        </w:rPr>
      </w:pPr>
      <w:r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proofErr w:type="gramStart"/>
      <w:r>
        <w:rPr>
          <w:rFonts w:ascii="宋体" w:hAnsi="宋体" w:hint="eastAsia"/>
        </w:rPr>
        <w:t>锂</w:t>
      </w:r>
      <w:proofErr w:type="gramEnd"/>
      <w:r>
        <w:rPr>
          <w:rFonts w:ascii="宋体" w:hAnsi="宋体" w:hint="eastAsia"/>
        </w:rPr>
        <w:t>沉积</w:t>
      </w:r>
      <w:r w:rsidRPr="00021E7D">
        <w:rPr>
          <w:rFonts w:ascii="宋体" w:hAnsi="宋体" w:hint="eastAsia"/>
        </w:rPr>
        <w:t>的现象发生在电极表面，从而导致</w:t>
      </w:r>
      <w:proofErr w:type="gramStart"/>
      <w:r w:rsidRPr="00021E7D">
        <w:rPr>
          <w:rFonts w:ascii="宋体" w:hAnsi="宋体" w:hint="eastAsia"/>
        </w:rPr>
        <w:t>锂</w:t>
      </w:r>
      <w:proofErr w:type="gramEnd"/>
      <w:r w:rsidRPr="00021E7D">
        <w:rPr>
          <w:rFonts w:ascii="宋体" w:hAnsi="宋体" w:hint="eastAsia"/>
        </w:rPr>
        <w:t>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w:t>
      </w:r>
      <w:proofErr w:type="gramStart"/>
      <w:r w:rsidRPr="00B51EAB">
        <w:rPr>
          <w:rFonts w:ascii="宋体" w:hAnsi="宋体" w:hint="eastAsia"/>
        </w:rPr>
        <w:t>锂</w:t>
      </w:r>
      <w:proofErr w:type="gramEnd"/>
      <w:r w:rsidRPr="00B51EAB">
        <w:rPr>
          <w:rFonts w:ascii="宋体" w:hAnsi="宋体" w:hint="eastAsia"/>
        </w:rPr>
        <w:t>离子电池作为储能载体的设备无法在低温环境下正常工作，电动车在不同地理位置和气候条件下的普及使用也受到了严重限制。因此</w:t>
      </w:r>
      <w:proofErr w:type="gramStart"/>
      <w:r w:rsidRPr="00B51EAB">
        <w:rPr>
          <w:rFonts w:ascii="宋体" w:hAnsi="宋体" w:hint="eastAsia"/>
        </w:rPr>
        <w:t>锂</w:t>
      </w:r>
      <w:proofErr w:type="gramEnd"/>
      <w:r w:rsidRPr="00B51EAB">
        <w:rPr>
          <w:rFonts w:ascii="宋体" w:hAnsi="宋体" w:hint="eastAsia"/>
        </w:rPr>
        <w:t>离子电池低温状态下电池性能的研究具有深远的意义，建立精准的锂离子电池低温模型是本课题的重要研究内容之一。</w:t>
      </w:r>
    </w:p>
    <w:p w:rsidR="00FB1CCE" w:rsidRDefault="00FB297D" w:rsidP="00F5732D">
      <w:pPr>
        <w:pStyle w:val="2"/>
        <w:numPr>
          <w:ilvl w:val="1"/>
          <w:numId w:val="18"/>
        </w:numPr>
        <w:spacing w:beforeLines="50" w:before="120" w:afterLines="50" w:after="120" w:line="360" w:lineRule="exact"/>
        <w:jc w:val="left"/>
        <w:rPr>
          <w:rFonts w:ascii="黑体" w:eastAsia="黑体" w:hAnsi="黑体"/>
          <w:b w:val="0"/>
          <w:i w:val="0"/>
        </w:rPr>
      </w:pPr>
      <w:proofErr w:type="gramStart"/>
      <w:r>
        <w:rPr>
          <w:rFonts w:ascii="黑体" w:eastAsia="黑体" w:hAnsi="黑体" w:hint="eastAsia"/>
          <w:b w:val="0"/>
          <w:i w:val="0"/>
        </w:rPr>
        <w:t>锂</w:t>
      </w:r>
      <w:proofErr w:type="gramEnd"/>
      <w:r>
        <w:rPr>
          <w:rFonts w:ascii="黑体" w:eastAsia="黑体" w:hAnsi="黑体" w:hint="eastAsia"/>
          <w:b w:val="0"/>
          <w:i w:val="0"/>
        </w:rPr>
        <w:t>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proofErr w:type="gramStart"/>
      <w:r>
        <w:rPr>
          <w:rFonts w:ascii="宋体" w:hAnsi="宋体" w:hint="eastAsia"/>
        </w:rPr>
        <w:t>锂</w:t>
      </w:r>
      <w:proofErr w:type="gramEnd"/>
      <w:r>
        <w:rPr>
          <w:rFonts w:ascii="宋体" w:hAnsi="宋体" w:hint="eastAsia"/>
        </w:rPr>
        <w:t>离子动力电池内部的物理化学反应十分复杂，对锂离子电池的精准建模一直以来也是学术与工业界在电池研究方向的重点和难点之一。目前</w:t>
      </w:r>
      <w:proofErr w:type="gramStart"/>
      <w:r>
        <w:rPr>
          <w:rFonts w:ascii="宋体" w:hAnsi="宋体" w:hint="eastAsia"/>
        </w:rPr>
        <w:t>锂</w:t>
      </w:r>
      <w:proofErr w:type="gramEnd"/>
      <w:r>
        <w:rPr>
          <w:rFonts w:ascii="宋体" w:hAnsi="宋体" w:hint="eastAsia"/>
        </w:rPr>
        <w:t>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w:t>
      </w:r>
      <w:proofErr w:type="gramStart"/>
      <w:r>
        <w:rPr>
          <w:rFonts w:ascii="宋体" w:hAnsi="宋体" w:hint="eastAsia"/>
        </w:rPr>
        <w:t>其很难</w:t>
      </w:r>
      <w:proofErr w:type="gramEnd"/>
      <w:r>
        <w:rPr>
          <w:rFonts w:ascii="宋体" w:hAnsi="宋体" w:hint="eastAsia"/>
        </w:rPr>
        <w:t>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w:t>
      </w:r>
      <w:proofErr w:type="gramStart"/>
      <w:r>
        <w:rPr>
          <w:rFonts w:hint="eastAsia"/>
        </w:rPr>
        <w:t>了伪二维</w:t>
      </w:r>
      <w:proofErr w:type="gramEnd"/>
      <w:r>
        <w:rPr>
          <w:rFonts w:hint="eastAsia"/>
        </w:rPr>
        <w:t>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w:t>
      </w:r>
      <w:proofErr w:type="gramStart"/>
      <w:r>
        <w:rPr>
          <w:rFonts w:hint="eastAsia"/>
        </w:rPr>
        <w:t>锂</w:t>
      </w:r>
      <w:proofErr w:type="gramEnd"/>
      <w:r>
        <w:rPr>
          <w:rFonts w:hint="eastAsia"/>
        </w:rPr>
        <w:t>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w:t>
      </w:r>
      <w:proofErr w:type="gramStart"/>
      <w:r>
        <w:rPr>
          <w:rFonts w:ascii="宋体" w:hAnsi="宋体" w:hint="eastAsia"/>
        </w:rPr>
        <w:t>热管理</w:t>
      </w:r>
      <w:proofErr w:type="gramEnd"/>
      <w:r>
        <w:rPr>
          <w:rFonts w:ascii="宋体" w:hAnsi="宋体" w:hint="eastAsia"/>
        </w:rPr>
        <w:t>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w:t>
      </w:r>
      <w:proofErr w:type="gramStart"/>
      <w:r>
        <w:rPr>
          <w:rFonts w:ascii="宋体" w:hAnsi="宋体" w:hint="eastAsia"/>
        </w:rPr>
        <w:t>热行为</w:t>
      </w:r>
      <w:proofErr w:type="gramEnd"/>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A5739E" w:rsidP="00A5739E">
      <w:pPr>
        <w:pStyle w:val="2"/>
        <w:numPr>
          <w:ilvl w:val="1"/>
          <w:numId w:val="18"/>
        </w:numPr>
        <w:spacing w:beforeLines="50" w:before="120" w:afterLines="50" w:after="120" w:line="360" w:lineRule="exact"/>
        <w:jc w:val="left"/>
      </w:pPr>
      <w:r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w:t>
      </w:r>
      <w:proofErr w:type="gramStart"/>
      <w:r>
        <w:rPr>
          <w:rFonts w:hint="eastAsia"/>
        </w:rPr>
        <w:t>锂</w:t>
      </w:r>
      <w:proofErr w:type="gramEnd"/>
      <w:r>
        <w:rPr>
          <w:rFonts w:hint="eastAsia"/>
        </w:rPr>
        <w:t>离子电池模型具有大参数集、高度非线性、无解析</w:t>
      </w:r>
      <w:proofErr w:type="gramStart"/>
      <w:r>
        <w:rPr>
          <w:rFonts w:hint="eastAsia"/>
        </w:rPr>
        <w:t>解以及</w:t>
      </w:r>
      <w:proofErr w:type="gramEnd"/>
      <w:r>
        <w:rPr>
          <w:rFonts w:hint="eastAsia"/>
        </w:rPr>
        <w:t>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Pr="00E06A74"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DA51C1" w:rsidRPr="00166244" w:rsidRDefault="00B74E47" w:rsidP="00166244">
      <w:pPr>
        <w:pStyle w:val="2"/>
        <w:numPr>
          <w:ilvl w:val="1"/>
          <w:numId w:val="18"/>
        </w:numPr>
        <w:spacing w:beforeLines="50" w:before="120" w:afterLines="50" w:after="120" w:line="360" w:lineRule="exact"/>
        <w:jc w:val="left"/>
        <w:rPr>
          <w:rFonts w:ascii="黑体" w:eastAsia="黑体" w:hAnsi="黑体"/>
          <w:b w:val="0"/>
          <w:i w:val="0"/>
        </w:rPr>
      </w:pPr>
      <w:r>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6D4F9A">
        <w:rPr>
          <w:rFonts w:hint="eastAsia"/>
        </w:rPr>
        <w:t>基本工作过程模型，</w:t>
      </w:r>
      <w:r w:rsidR="00091852">
        <w:rPr>
          <w:rFonts w:hint="eastAsia"/>
        </w:rPr>
        <w:t>同时基于目前对锂电池</w:t>
      </w:r>
      <w:proofErr w:type="gramStart"/>
      <w:r w:rsidR="00091852">
        <w:rPr>
          <w:rFonts w:hint="eastAsia"/>
        </w:rPr>
        <w:t>热行为</w:t>
      </w:r>
      <w:proofErr w:type="gramEnd"/>
      <w:r w:rsidR="00091852">
        <w:rPr>
          <w:rFonts w:hint="eastAsia"/>
        </w:rPr>
        <w:t>的研究，</w:t>
      </w:r>
      <w:r w:rsidR="00C4016A">
        <w:rPr>
          <w:rFonts w:hint="eastAsia"/>
        </w:rPr>
        <w:t>将热模型与等效电路模型进行耦合，同时考虑低温情况下电池工作循环中发生的容量衰减现象对锂电池的容量进行修正，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2F677A">
            <w:pPr>
              <w:spacing w:line="360" w:lineRule="exact"/>
            </w:pPr>
          </w:p>
        </w:tc>
        <w:tc>
          <w:tcPr>
            <w:tcW w:w="6237" w:type="dxa"/>
          </w:tcPr>
          <w:p w:rsidR="00A666BF" w:rsidRDefault="0046164A" w:rsidP="00A666BF">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A666BF">
            <w:pPr>
              <w:spacing w:line="360" w:lineRule="exact"/>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2F677A">
            <w:pPr>
              <w:spacing w:line="360" w:lineRule="exact"/>
            </w:pPr>
          </w:p>
        </w:tc>
        <w:tc>
          <w:tcPr>
            <w:tcW w:w="6237" w:type="dxa"/>
          </w:tcPr>
          <w:p w:rsidR="00A666BF" w:rsidRDefault="0046164A" w:rsidP="00A666BF">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A666BF">
            <w:pPr>
              <w:spacing w:line="360" w:lineRule="exact"/>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2F677A">
            <w:pPr>
              <w:spacing w:line="360" w:lineRule="exact"/>
            </w:pPr>
          </w:p>
        </w:tc>
        <w:tc>
          <w:tcPr>
            <w:tcW w:w="6379" w:type="dxa"/>
          </w:tcPr>
          <w:p w:rsidR="007E01B8" w:rsidRDefault="0046164A" w:rsidP="007E01B8">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470928">
            <w:pPr>
              <w:spacing w:line="360" w:lineRule="exact"/>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344560" w:rsidRPr="00344560">
        <w:rPr>
          <w:vertAlign w:val="superscript"/>
        </w:rPr>
        <w:fldChar w:fldCharType="begin"/>
      </w:r>
      <w:r w:rsidR="00344560" w:rsidRPr="00344560">
        <w:rPr>
          <w:vertAlign w:val="superscript"/>
        </w:rPr>
        <w:instrText xml:space="preserve"> </w:instrText>
      </w:r>
      <w:r w:rsidR="00344560" w:rsidRPr="00344560">
        <w:rPr>
          <w:rFonts w:hint="eastAsia"/>
          <w:vertAlign w:val="superscript"/>
        </w:rPr>
        <w:instrText>REF _Ref8397102 \r \h</w:instrText>
      </w:r>
      <w:r w:rsidR="00344560" w:rsidRPr="00344560">
        <w:rPr>
          <w:vertAlign w:val="superscript"/>
        </w:rPr>
        <w:instrText xml:space="preserve"> </w:instrText>
      </w:r>
      <w:r w:rsidR="00344560">
        <w:rPr>
          <w:vertAlign w:val="superscript"/>
        </w:rPr>
        <w:instrText xml:space="preserve"> \* MERGEFORMAT </w:instrText>
      </w:r>
      <w:r w:rsidR="00344560" w:rsidRPr="00344560">
        <w:rPr>
          <w:vertAlign w:val="superscript"/>
        </w:rPr>
      </w:r>
      <w:r w:rsidR="00344560" w:rsidRPr="00344560">
        <w:rPr>
          <w:vertAlign w:val="superscript"/>
        </w:rPr>
        <w:fldChar w:fldCharType="separate"/>
      </w:r>
      <w:r w:rsidR="00344560" w:rsidRPr="00344560">
        <w:rPr>
          <w:vertAlign w:val="superscript"/>
        </w:rPr>
        <w:t>[25]</w:t>
      </w:r>
      <w:r w:rsidR="00344560" w:rsidRPr="0034456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2F677A">
            <w:pPr>
              <w:spacing w:line="360" w:lineRule="exact"/>
              <w:rPr>
                <w:vertAlign w:val="superscript"/>
              </w:rPr>
            </w:pPr>
          </w:p>
        </w:tc>
        <w:tc>
          <w:tcPr>
            <w:tcW w:w="6804" w:type="dxa"/>
          </w:tcPr>
          <w:p w:rsidR="00895C3E" w:rsidRDefault="00895C3E" w:rsidP="00895C3E">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895C3E">
            <w:pPr>
              <w:spacing w:line="360" w:lineRule="exact"/>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46164A"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考虑到极端低温的工况会对电池造成极大地不可逆伤害，同时权衡电池的工作环境温度范围，在设定试验温度时应尽量保证参数标定过程中既覆盖参考低温环境又不至于对电池造成过大伤害，最低温度定为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082178" w:rsidP="002F677A">
      <w:pPr>
        <w:spacing w:line="360" w:lineRule="exact"/>
        <w:ind w:firstLineChars="200" w:firstLine="420"/>
      </w:pPr>
      <w:r>
        <w:rPr>
          <w:rFonts w:ascii="宋体" w:hAnsi="宋体" w:cs="宋体" w:hint="eastAsia"/>
        </w:rPr>
        <w:t>为保证试验可靠性，</w:t>
      </w:r>
      <w:r w:rsidR="004B3303">
        <w:rPr>
          <w:rFonts w:ascii="宋体" w:hAnsi="宋体" w:cs="宋体" w:hint="eastAsia"/>
        </w:rPr>
        <w:t>每组实验选取5块电池，相同工况下重复试验三次并求取实验结果平均值作为最后实验结果。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Pr="00F64D36">
        <w:rPr>
          <w:rFonts w:ascii="黑体" w:hAnsi="黑体" w:hint="eastAsia"/>
          <w:b w:val="0"/>
          <w:sz w:val="21"/>
          <w:szCs w:val="21"/>
        </w:rPr>
        <w:t>电池容量标定试验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Pr>
          <w:rFonts w:hint="eastAsia"/>
        </w:rPr>
        <w:t>）进行试验，</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w:t>
      </w:r>
      <w:proofErr w:type="gramStart"/>
      <w:r w:rsidR="00AD07E7">
        <w:rPr>
          <w:rFonts w:ascii="Times New Roman" w:eastAsiaTheme="minorEastAsia" w:hAnsi="Times New Roman" w:hint="eastAsia"/>
        </w:rPr>
        <w:t>恒流放电至放电</w:t>
      </w:r>
      <w:proofErr w:type="gramEnd"/>
      <w:r w:rsidR="00AD07E7">
        <w:rPr>
          <w:rFonts w:ascii="Times New Roman" w:eastAsiaTheme="minorEastAsia" w:hAnsi="Times New Roman" w:hint="eastAsia"/>
        </w:rPr>
        <w:t>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w:t>
      </w:r>
      <w:proofErr w:type="gramStart"/>
      <w:r w:rsidR="008C2B58">
        <w:rPr>
          <w:rFonts w:ascii="Times New Roman" w:eastAsiaTheme="minorEastAsia" w:hAnsi="Times New Roman" w:hint="eastAsia"/>
        </w:rPr>
        <w:t>恒</w:t>
      </w:r>
      <w:proofErr w:type="gramEnd"/>
      <w:r w:rsidR="008C2B58">
        <w:rPr>
          <w:rFonts w:ascii="Times New Roman" w:eastAsiaTheme="minorEastAsia" w:hAnsi="Times New Roman" w:hint="eastAsia"/>
        </w:rPr>
        <w:t>流放电，</w:t>
      </w:r>
      <w:proofErr w:type="gramStart"/>
      <w:r w:rsidR="008C2B58">
        <w:rPr>
          <w:rFonts w:ascii="Times New Roman" w:eastAsiaTheme="minorEastAsia" w:hAnsi="Times New Roman" w:hint="eastAsia"/>
        </w:rPr>
        <w:t>记录总</w:t>
      </w:r>
      <w:proofErr w:type="gramEnd"/>
      <w:r w:rsidR="008C2B58">
        <w:rPr>
          <w:rFonts w:ascii="Times New Roman" w:eastAsiaTheme="minorEastAsia" w:hAnsi="Times New Roman" w:hint="eastAsia"/>
        </w:rPr>
        <w:t>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w:t>
      </w:r>
      <w:proofErr w:type="gramStart"/>
      <w:r w:rsidR="005F1C68">
        <w:rPr>
          <w:rFonts w:ascii="Times New Roman" w:eastAsiaTheme="minorEastAsia" w:hAnsi="Times New Roman" w:hint="eastAsia"/>
        </w:rPr>
        <w:t>记录总充电</w:t>
      </w:r>
      <w:proofErr w:type="gramEnd"/>
      <w:r w:rsidR="005F1C68">
        <w:rPr>
          <w:rFonts w:ascii="Times New Roman" w:eastAsiaTheme="minorEastAsia" w:hAnsi="Times New Roman" w:hint="eastAsia"/>
        </w:rPr>
        <w:t>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59636A">
            <w:pPr>
              <w:spacing w:line="360" w:lineRule="exact"/>
              <w:jc w:val="center"/>
            </w:pPr>
          </w:p>
        </w:tc>
        <w:tc>
          <w:tcPr>
            <w:tcW w:w="6237" w:type="dxa"/>
          </w:tcPr>
          <w:p w:rsidR="0059636A" w:rsidRDefault="0080446A" w:rsidP="00C762DE">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59636A">
            <w:pPr>
              <w:spacing w:line="360" w:lineRule="exact"/>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lastRenderedPageBreak/>
        <w:drawing>
          <wp:anchor distT="0" distB="0" distL="114300" distR="114300" simplePos="0" relativeHeight="251664384" behindDoc="0" locked="0" layoutInCell="1" allowOverlap="1">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w:t>
      </w:r>
      <w:proofErr w:type="gramStart"/>
      <w:r>
        <w:rPr>
          <w:rFonts w:hint="eastAsia"/>
        </w:rPr>
        <w:t>置时间</w:t>
      </w:r>
      <w:proofErr w:type="gramEnd"/>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标定试验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w:t>
      </w:r>
      <w:proofErr w:type="gramStart"/>
      <w:r>
        <w:rPr>
          <w:rFonts w:ascii="宋体" w:hAnsi="宋体" w:cs="宋体" w:hint="eastAsia"/>
          <w:sz w:val="18"/>
          <w:szCs w:val="18"/>
        </w:rPr>
        <w:t>置放电</w:t>
      </w:r>
      <w:proofErr w:type="gramEnd"/>
      <w:r>
        <w:rPr>
          <w:rFonts w:ascii="宋体" w:hAnsi="宋体" w:cs="宋体" w:hint="eastAsia"/>
          <w:sz w:val="18"/>
          <w:szCs w:val="18"/>
        </w:rPr>
        <w:t>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2F677A">
            <w:pPr>
              <w:spacing w:line="360" w:lineRule="exact"/>
            </w:pPr>
          </w:p>
        </w:tc>
        <w:tc>
          <w:tcPr>
            <w:tcW w:w="6237" w:type="dxa"/>
          </w:tcPr>
          <w:p w:rsidR="00B4226A" w:rsidRPr="00B4226A" w:rsidRDefault="0046164A" w:rsidP="00AC1B54">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B4226A">
            <w:pPr>
              <w:spacing w:line="360" w:lineRule="exact"/>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46164A"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46164A"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46164A"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46164A"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46164A"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w:t>
      </w:r>
      <w:r w:rsidR="00051EF3">
        <w:rPr>
          <w:rFonts w:ascii="宋体" w:hAnsi="宋体" w:cs="宋体" w:hint="eastAsia"/>
        </w:rPr>
        <w:t>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w:t>
      </w:r>
      <w:r w:rsidR="00051EF3">
        <w:rPr>
          <w:rFonts w:ascii="宋体" w:hAnsi="宋体" w:cs="宋体" w:hint="eastAsia"/>
        </w:rPr>
        <w:t>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w:t>
      </w:r>
      <w:proofErr w:type="gramStart"/>
      <w:r w:rsidR="00E130EB">
        <w:rPr>
          <w:rFonts w:hint="eastAsia"/>
        </w:rPr>
        <w:t>突变值</w:t>
      </w:r>
      <w:proofErr w:type="gramEnd"/>
      <w:r w:rsidR="00E130EB">
        <w:rPr>
          <w:rFonts w:hint="eastAsia"/>
        </w:rPr>
        <w:t>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2F677A">
            <w:pPr>
              <w:spacing w:line="360" w:lineRule="exact"/>
            </w:pPr>
          </w:p>
        </w:tc>
        <w:tc>
          <w:tcPr>
            <w:tcW w:w="6379" w:type="dxa"/>
          </w:tcPr>
          <w:p w:rsidR="00031118" w:rsidRDefault="0046164A" w:rsidP="00031118">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031118">
            <w:pPr>
              <w:spacing w:line="360" w:lineRule="exact"/>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2F677A">
            <w:pPr>
              <w:spacing w:line="360" w:lineRule="exact"/>
            </w:pPr>
          </w:p>
        </w:tc>
        <w:tc>
          <w:tcPr>
            <w:tcW w:w="6379" w:type="dxa"/>
          </w:tcPr>
          <w:p w:rsidR="00031118" w:rsidRPr="00674888" w:rsidRDefault="0046164A" w:rsidP="00031118">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031118">
            <w:pPr>
              <w:spacing w:line="360" w:lineRule="exact"/>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rPr>
          <w:rFonts w:hint="eastAsia"/>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w:t>
      </w:r>
      <w:proofErr w:type="gramStart"/>
      <w:r w:rsidR="00DE39FD">
        <w:rPr>
          <w:rFonts w:hint="eastAsia"/>
        </w:rPr>
        <w:t>示不同</w:t>
      </w:r>
      <w:proofErr w:type="gramEnd"/>
      <w:r w:rsidR="00DE39FD">
        <w:rPr>
          <w:rFonts w:hint="eastAsia"/>
        </w:rPr>
        <w:t>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067D56">
        <w:rPr>
          <w:rFonts w:hint="eastAsia"/>
        </w:rPr>
        <w:t>工具箱</w:t>
      </w:r>
      <w:r w:rsidR="00067D56">
        <w:rPr>
          <w:rFonts w:hint="eastAsia"/>
        </w:rPr>
        <w:t>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3F4BD4">
            <w:pPr>
              <w:spacing w:line="360" w:lineRule="exact"/>
              <w:rPr>
                <w:rFonts w:hint="eastAsia"/>
              </w:rPr>
            </w:pPr>
          </w:p>
        </w:tc>
        <w:tc>
          <w:tcPr>
            <w:tcW w:w="6945" w:type="dxa"/>
          </w:tcPr>
          <w:p w:rsidR="00AB2735" w:rsidRDefault="00266CB1" w:rsidP="00266CB1">
            <w:pPr>
              <w:spacing w:line="360" w:lineRule="auto"/>
              <w:jc w:val="cente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266CB1">
            <w:pPr>
              <w:spacing w:line="360" w:lineRule="exact"/>
              <w:jc w:val="right"/>
              <w:rPr>
                <w:rFonts w:hint="eastAsia"/>
              </w:rPr>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rPr>
          <w:rFonts w:hint="eastAsia"/>
        </w:rPr>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640F4B25">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rFonts w:hint="eastAsia"/>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67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6731AE">
            <w:pPr>
              <w:spacing w:line="360" w:lineRule="exact"/>
              <w:jc w:val="center"/>
              <w:rPr>
                <w:i w:val="0"/>
              </w:rPr>
            </w:pPr>
            <w:r w:rsidRPr="004619AB">
              <w:rPr>
                <w:rFonts w:hint="eastAsia"/>
                <w:i w:val="0"/>
              </w:rPr>
              <w:t>参数</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6E39D6" w:rsidP="006731AE">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6E39D6" w:rsidP="006731AE">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6E39D6" w:rsidP="006731AE">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.2302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6E39D6" w:rsidP="006731AE">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6E39D6" w:rsidP="006731AE">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bookmarkStart w:id="1" w:name="_GoBack"/>
            <w:bookmarkEnd w:id="1"/>
          </w:p>
        </w:tc>
      </w:tr>
    </w:tbl>
    <w:p w:rsidR="009D2282" w:rsidRDefault="009D2282" w:rsidP="002F677A">
      <w:pPr>
        <w:spacing w:line="360" w:lineRule="exact"/>
        <w:ind w:firstLineChars="200" w:firstLine="420"/>
      </w:pPr>
    </w:p>
    <w:p w:rsidR="006E39D6" w:rsidRDefault="006E39D6" w:rsidP="002F677A">
      <w:pPr>
        <w:spacing w:line="360" w:lineRule="exact"/>
        <w:ind w:firstLineChars="200" w:firstLine="420"/>
      </w:pPr>
    </w:p>
    <w:p w:rsidR="006E39D6" w:rsidRDefault="006E39D6" w:rsidP="002F677A">
      <w:pPr>
        <w:spacing w:line="360" w:lineRule="exact"/>
        <w:ind w:firstLineChars="200" w:firstLine="420"/>
      </w:pPr>
    </w:p>
    <w:p w:rsidR="006E39D6" w:rsidRPr="00E130EB" w:rsidRDefault="006E39D6" w:rsidP="002F677A">
      <w:pPr>
        <w:spacing w:line="360" w:lineRule="exact"/>
        <w:ind w:firstLineChars="200" w:firstLine="420"/>
        <w:rPr>
          <w:rFonts w:hint="eastAsia"/>
        </w:rPr>
      </w:pPr>
    </w:p>
    <w:p w:rsidR="00C23BEC" w:rsidRPr="002F677A" w:rsidRDefault="00C23BEC" w:rsidP="002F677A">
      <w:pPr>
        <w:spacing w:line="360" w:lineRule="exact"/>
        <w:ind w:firstLineChars="200" w:firstLine="420"/>
      </w:pPr>
    </w:p>
    <w:p w:rsidR="00972259" w:rsidRDefault="00972259">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21"/>
    </w:p>
    <w:p w:rsidR="00E06A74" w:rsidRPr="004C2A27"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5958BF" w:rsidRPr="001C77C3" w:rsidRDefault="001C77C3" w:rsidP="00754162">
      <w:pPr>
        <w:pStyle w:val="af1"/>
        <w:numPr>
          <w:ilvl w:val="0"/>
          <w:numId w:val="19"/>
        </w:numPr>
        <w:spacing w:line="360" w:lineRule="exact"/>
        <w:ind w:firstLineChars="0"/>
        <w:rPr>
          <w:rFonts w:ascii="宋体" w:eastAsia="宋体" w:hAnsi="宋体"/>
        </w:rPr>
      </w:pPr>
      <w:bookmarkStart w:id="22"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22"/>
    </w:p>
    <w:sectPr w:rsidR="005958BF" w:rsidRPr="001C77C3" w:rsidSect="00F27D52">
      <w:headerReference w:type="default" r:id="rId21"/>
      <w:footerReference w:type="default" r:id="rId22"/>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64A" w:rsidRDefault="0046164A">
      <w:r>
        <w:separator/>
      </w:r>
    </w:p>
  </w:endnote>
  <w:endnote w:type="continuationSeparator" w:id="0">
    <w:p w:rsidR="0046164A" w:rsidRDefault="0046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7F" w:rsidRDefault="00381B7F"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E3592">
      <w:rPr>
        <w:rFonts w:ascii="宋体"/>
        <w:noProof/>
        <w:sz w:val="24"/>
        <w:szCs w:val="24"/>
      </w:rPr>
      <w:t>16</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64A" w:rsidRDefault="0046164A">
      <w:r>
        <w:separator/>
      </w:r>
    </w:p>
  </w:footnote>
  <w:footnote w:type="continuationSeparator" w:id="0">
    <w:p w:rsidR="0046164A" w:rsidRDefault="0046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装</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订</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线</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Pr="001934B9" w:rsidRDefault="00381B7F">
    <w:pPr>
      <w:pStyle w:val="a5"/>
      <w:pBdr>
        <w:bottom w:val="single" w:sz="6" w:space="12" w:color="auto"/>
      </w:pBdr>
    </w:pPr>
  </w:p>
  <w:p w:rsidR="00381B7F" w:rsidRDefault="00381B7F">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381B7F" w:rsidRDefault="00381B7F">
    <w:pPr>
      <w:pStyle w:val="a5"/>
      <w:pBdr>
        <w:bottom w:val="single" w:sz="6" w:space="12" w:color="auto"/>
      </w:pBdr>
      <w:jc w:val="right"/>
    </w:pPr>
  </w:p>
  <w:p w:rsidR="00381B7F" w:rsidRDefault="00381B7F">
    <w:pPr>
      <w:pStyle w:val="a5"/>
      <w:pBdr>
        <w:bottom w:val="single" w:sz="6" w:space="12" w:color="auto"/>
      </w:pBdr>
      <w:jc w:val="right"/>
      <w:rPr>
        <w:rFonts w:ascii="宋体"/>
        <w:sz w:val="24"/>
        <w:szCs w:val="24"/>
      </w:rPr>
    </w:pPr>
    <w:r>
      <w:rPr>
        <w:rFonts w:ascii="宋体" w:hint="eastAsia"/>
        <w:sz w:val="24"/>
        <w:szCs w:val="24"/>
      </w:rPr>
      <w:t>毕业设计（论文）</w:t>
    </w:r>
  </w:p>
  <w:p w:rsidR="00381B7F" w:rsidRDefault="00381B7F">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297"/>
    <w:rsid w:val="00002AE8"/>
    <w:rsid w:val="00002D79"/>
    <w:rsid w:val="00003BAE"/>
    <w:rsid w:val="000048BC"/>
    <w:rsid w:val="000059A4"/>
    <w:rsid w:val="00007A3F"/>
    <w:rsid w:val="00011438"/>
    <w:rsid w:val="000130DA"/>
    <w:rsid w:val="00015885"/>
    <w:rsid w:val="0001783E"/>
    <w:rsid w:val="00017B5F"/>
    <w:rsid w:val="000203F1"/>
    <w:rsid w:val="0002078B"/>
    <w:rsid w:val="00022760"/>
    <w:rsid w:val="000238A5"/>
    <w:rsid w:val="0002619E"/>
    <w:rsid w:val="00026334"/>
    <w:rsid w:val="000268AE"/>
    <w:rsid w:val="00027AA0"/>
    <w:rsid w:val="00030122"/>
    <w:rsid w:val="00030408"/>
    <w:rsid w:val="00031118"/>
    <w:rsid w:val="00032F8C"/>
    <w:rsid w:val="00033524"/>
    <w:rsid w:val="000364F5"/>
    <w:rsid w:val="00036A66"/>
    <w:rsid w:val="000370C4"/>
    <w:rsid w:val="00037506"/>
    <w:rsid w:val="00040913"/>
    <w:rsid w:val="00040D7E"/>
    <w:rsid w:val="000411E3"/>
    <w:rsid w:val="00041FC5"/>
    <w:rsid w:val="000445E1"/>
    <w:rsid w:val="00046795"/>
    <w:rsid w:val="000468F2"/>
    <w:rsid w:val="00051A3A"/>
    <w:rsid w:val="00051D22"/>
    <w:rsid w:val="00051EF3"/>
    <w:rsid w:val="000529DC"/>
    <w:rsid w:val="000531C0"/>
    <w:rsid w:val="00054213"/>
    <w:rsid w:val="00055A74"/>
    <w:rsid w:val="000565ED"/>
    <w:rsid w:val="0006092C"/>
    <w:rsid w:val="00061393"/>
    <w:rsid w:val="00061C4E"/>
    <w:rsid w:val="0006427B"/>
    <w:rsid w:val="000655FC"/>
    <w:rsid w:val="00065D23"/>
    <w:rsid w:val="000663CA"/>
    <w:rsid w:val="00067C04"/>
    <w:rsid w:val="00067D56"/>
    <w:rsid w:val="00070BDD"/>
    <w:rsid w:val="00071ABD"/>
    <w:rsid w:val="00073043"/>
    <w:rsid w:val="00073FBC"/>
    <w:rsid w:val="00075292"/>
    <w:rsid w:val="00075DEF"/>
    <w:rsid w:val="00076694"/>
    <w:rsid w:val="000805D8"/>
    <w:rsid w:val="00082178"/>
    <w:rsid w:val="00082AC7"/>
    <w:rsid w:val="00082BEB"/>
    <w:rsid w:val="00083608"/>
    <w:rsid w:val="00083807"/>
    <w:rsid w:val="00083A1C"/>
    <w:rsid w:val="00083C3A"/>
    <w:rsid w:val="00085C76"/>
    <w:rsid w:val="00090A0F"/>
    <w:rsid w:val="00091852"/>
    <w:rsid w:val="0009208C"/>
    <w:rsid w:val="00092360"/>
    <w:rsid w:val="00092C91"/>
    <w:rsid w:val="00093480"/>
    <w:rsid w:val="00094159"/>
    <w:rsid w:val="00094E73"/>
    <w:rsid w:val="00095B70"/>
    <w:rsid w:val="00095D8D"/>
    <w:rsid w:val="00096D56"/>
    <w:rsid w:val="000A02B0"/>
    <w:rsid w:val="000A1A71"/>
    <w:rsid w:val="000A2292"/>
    <w:rsid w:val="000A2DC7"/>
    <w:rsid w:val="000A55B6"/>
    <w:rsid w:val="000B00FF"/>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E0460"/>
    <w:rsid w:val="000E097A"/>
    <w:rsid w:val="000E1466"/>
    <w:rsid w:val="000E297D"/>
    <w:rsid w:val="000E3592"/>
    <w:rsid w:val="000E3FA8"/>
    <w:rsid w:val="000E439D"/>
    <w:rsid w:val="000E4DAC"/>
    <w:rsid w:val="000E633E"/>
    <w:rsid w:val="000E7BBA"/>
    <w:rsid w:val="000F1E4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20B44"/>
    <w:rsid w:val="00122E5F"/>
    <w:rsid w:val="00123B84"/>
    <w:rsid w:val="00124A1F"/>
    <w:rsid w:val="00124E45"/>
    <w:rsid w:val="00125958"/>
    <w:rsid w:val="00125AA8"/>
    <w:rsid w:val="00125CDC"/>
    <w:rsid w:val="00126819"/>
    <w:rsid w:val="00126923"/>
    <w:rsid w:val="00126D2B"/>
    <w:rsid w:val="0012770B"/>
    <w:rsid w:val="00130D85"/>
    <w:rsid w:val="00131A2C"/>
    <w:rsid w:val="00132AE9"/>
    <w:rsid w:val="00133D6D"/>
    <w:rsid w:val="001343FB"/>
    <w:rsid w:val="00134F62"/>
    <w:rsid w:val="00137029"/>
    <w:rsid w:val="00140A36"/>
    <w:rsid w:val="00141809"/>
    <w:rsid w:val="00141C0B"/>
    <w:rsid w:val="00141C4A"/>
    <w:rsid w:val="0014247A"/>
    <w:rsid w:val="00143C3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5BD"/>
    <w:rsid w:val="001752F7"/>
    <w:rsid w:val="00176B69"/>
    <w:rsid w:val="00177000"/>
    <w:rsid w:val="0017766B"/>
    <w:rsid w:val="00180003"/>
    <w:rsid w:val="00181306"/>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E008C"/>
    <w:rsid w:val="001E2C6F"/>
    <w:rsid w:val="001E44E2"/>
    <w:rsid w:val="001E5160"/>
    <w:rsid w:val="001F2E99"/>
    <w:rsid w:val="002007C6"/>
    <w:rsid w:val="00201AE2"/>
    <w:rsid w:val="0020609B"/>
    <w:rsid w:val="00211D1D"/>
    <w:rsid w:val="002137B5"/>
    <w:rsid w:val="00213A5D"/>
    <w:rsid w:val="00215070"/>
    <w:rsid w:val="00215574"/>
    <w:rsid w:val="00215D14"/>
    <w:rsid w:val="00216959"/>
    <w:rsid w:val="00217746"/>
    <w:rsid w:val="0021795B"/>
    <w:rsid w:val="00217D61"/>
    <w:rsid w:val="002212A2"/>
    <w:rsid w:val="00223702"/>
    <w:rsid w:val="00224737"/>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E50"/>
    <w:rsid w:val="00257E8C"/>
    <w:rsid w:val="00260CB6"/>
    <w:rsid w:val="00260D1E"/>
    <w:rsid w:val="00264ED8"/>
    <w:rsid w:val="0026513F"/>
    <w:rsid w:val="0026529E"/>
    <w:rsid w:val="00266691"/>
    <w:rsid w:val="002666F4"/>
    <w:rsid w:val="00266CB1"/>
    <w:rsid w:val="0027320C"/>
    <w:rsid w:val="0027649B"/>
    <w:rsid w:val="0027716D"/>
    <w:rsid w:val="00277ECA"/>
    <w:rsid w:val="00281D35"/>
    <w:rsid w:val="00287785"/>
    <w:rsid w:val="00291DFA"/>
    <w:rsid w:val="00293E42"/>
    <w:rsid w:val="00294EA6"/>
    <w:rsid w:val="00296733"/>
    <w:rsid w:val="002A6C6C"/>
    <w:rsid w:val="002B13A7"/>
    <w:rsid w:val="002B54CC"/>
    <w:rsid w:val="002B5B3A"/>
    <w:rsid w:val="002C145D"/>
    <w:rsid w:val="002C1B96"/>
    <w:rsid w:val="002C27AE"/>
    <w:rsid w:val="002C2A3B"/>
    <w:rsid w:val="002C40F8"/>
    <w:rsid w:val="002C5903"/>
    <w:rsid w:val="002C590B"/>
    <w:rsid w:val="002C6B11"/>
    <w:rsid w:val="002D09CB"/>
    <w:rsid w:val="002D3BDA"/>
    <w:rsid w:val="002D3BEF"/>
    <w:rsid w:val="002D432B"/>
    <w:rsid w:val="002D552B"/>
    <w:rsid w:val="002D5982"/>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DE1"/>
    <w:rsid w:val="00327192"/>
    <w:rsid w:val="00330DAC"/>
    <w:rsid w:val="00330EDE"/>
    <w:rsid w:val="00332143"/>
    <w:rsid w:val="00332270"/>
    <w:rsid w:val="00333890"/>
    <w:rsid w:val="00333CA0"/>
    <w:rsid w:val="00336DA7"/>
    <w:rsid w:val="003404EE"/>
    <w:rsid w:val="00340DD0"/>
    <w:rsid w:val="00342FDE"/>
    <w:rsid w:val="00344560"/>
    <w:rsid w:val="00346269"/>
    <w:rsid w:val="00346AF6"/>
    <w:rsid w:val="003500C2"/>
    <w:rsid w:val="00350252"/>
    <w:rsid w:val="00350C63"/>
    <w:rsid w:val="00352D78"/>
    <w:rsid w:val="0035420A"/>
    <w:rsid w:val="0035454D"/>
    <w:rsid w:val="00355410"/>
    <w:rsid w:val="0035630F"/>
    <w:rsid w:val="00360F80"/>
    <w:rsid w:val="0036621C"/>
    <w:rsid w:val="003669AE"/>
    <w:rsid w:val="003675C3"/>
    <w:rsid w:val="0037072C"/>
    <w:rsid w:val="00375362"/>
    <w:rsid w:val="00377512"/>
    <w:rsid w:val="00381B7F"/>
    <w:rsid w:val="00382B6A"/>
    <w:rsid w:val="00390E80"/>
    <w:rsid w:val="00392ACE"/>
    <w:rsid w:val="00392E8D"/>
    <w:rsid w:val="00394AE1"/>
    <w:rsid w:val="00394EFD"/>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5479"/>
    <w:rsid w:val="003C5FD2"/>
    <w:rsid w:val="003C60F8"/>
    <w:rsid w:val="003C6C5B"/>
    <w:rsid w:val="003C737A"/>
    <w:rsid w:val="003D2083"/>
    <w:rsid w:val="003D20D6"/>
    <w:rsid w:val="003D33A2"/>
    <w:rsid w:val="003E0261"/>
    <w:rsid w:val="003E14F7"/>
    <w:rsid w:val="003E1821"/>
    <w:rsid w:val="003E57CE"/>
    <w:rsid w:val="003E5813"/>
    <w:rsid w:val="003E5F87"/>
    <w:rsid w:val="003E7468"/>
    <w:rsid w:val="003F07B8"/>
    <w:rsid w:val="003F19D0"/>
    <w:rsid w:val="003F35FE"/>
    <w:rsid w:val="003F3700"/>
    <w:rsid w:val="003F4BD4"/>
    <w:rsid w:val="003F5FD4"/>
    <w:rsid w:val="003F6A5C"/>
    <w:rsid w:val="00401B85"/>
    <w:rsid w:val="00401DAA"/>
    <w:rsid w:val="00404D23"/>
    <w:rsid w:val="00405794"/>
    <w:rsid w:val="00414795"/>
    <w:rsid w:val="00416BE5"/>
    <w:rsid w:val="00417DAC"/>
    <w:rsid w:val="00420332"/>
    <w:rsid w:val="00422D40"/>
    <w:rsid w:val="00422D57"/>
    <w:rsid w:val="004240F4"/>
    <w:rsid w:val="00425549"/>
    <w:rsid w:val="004267B0"/>
    <w:rsid w:val="00426F8C"/>
    <w:rsid w:val="004272DA"/>
    <w:rsid w:val="00427697"/>
    <w:rsid w:val="004313AA"/>
    <w:rsid w:val="00436CE5"/>
    <w:rsid w:val="004372F1"/>
    <w:rsid w:val="00437A29"/>
    <w:rsid w:val="00440748"/>
    <w:rsid w:val="00440D24"/>
    <w:rsid w:val="0044185E"/>
    <w:rsid w:val="00443B6A"/>
    <w:rsid w:val="00443D9A"/>
    <w:rsid w:val="00444DE2"/>
    <w:rsid w:val="0044527B"/>
    <w:rsid w:val="004452A4"/>
    <w:rsid w:val="004454DC"/>
    <w:rsid w:val="00445502"/>
    <w:rsid w:val="00446D33"/>
    <w:rsid w:val="00447846"/>
    <w:rsid w:val="0045053A"/>
    <w:rsid w:val="004507EA"/>
    <w:rsid w:val="00451AF0"/>
    <w:rsid w:val="00452E50"/>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53D"/>
    <w:rsid w:val="0047645E"/>
    <w:rsid w:val="00476E4E"/>
    <w:rsid w:val="00477AED"/>
    <w:rsid w:val="004825DF"/>
    <w:rsid w:val="00482EFE"/>
    <w:rsid w:val="00482F54"/>
    <w:rsid w:val="00483720"/>
    <w:rsid w:val="0048398F"/>
    <w:rsid w:val="004843C2"/>
    <w:rsid w:val="004865DB"/>
    <w:rsid w:val="00486CCD"/>
    <w:rsid w:val="00492945"/>
    <w:rsid w:val="00494557"/>
    <w:rsid w:val="00496B87"/>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345B"/>
    <w:rsid w:val="0051511B"/>
    <w:rsid w:val="00515379"/>
    <w:rsid w:val="00515D6E"/>
    <w:rsid w:val="00516288"/>
    <w:rsid w:val="005174D1"/>
    <w:rsid w:val="00517B92"/>
    <w:rsid w:val="00525116"/>
    <w:rsid w:val="005269AA"/>
    <w:rsid w:val="00527B7F"/>
    <w:rsid w:val="00536381"/>
    <w:rsid w:val="005366E8"/>
    <w:rsid w:val="00536AF1"/>
    <w:rsid w:val="00542157"/>
    <w:rsid w:val="0054420F"/>
    <w:rsid w:val="00544F74"/>
    <w:rsid w:val="00550DB8"/>
    <w:rsid w:val="00551C70"/>
    <w:rsid w:val="00553BFB"/>
    <w:rsid w:val="005547EF"/>
    <w:rsid w:val="00555275"/>
    <w:rsid w:val="00555991"/>
    <w:rsid w:val="005561D0"/>
    <w:rsid w:val="005606D5"/>
    <w:rsid w:val="00561DA9"/>
    <w:rsid w:val="00563059"/>
    <w:rsid w:val="00563B38"/>
    <w:rsid w:val="00563CB0"/>
    <w:rsid w:val="00563F0A"/>
    <w:rsid w:val="005649FD"/>
    <w:rsid w:val="00577ED9"/>
    <w:rsid w:val="005802D3"/>
    <w:rsid w:val="0058099B"/>
    <w:rsid w:val="00580AA4"/>
    <w:rsid w:val="00580DAE"/>
    <w:rsid w:val="0058194E"/>
    <w:rsid w:val="00582DE1"/>
    <w:rsid w:val="005847A4"/>
    <w:rsid w:val="00584E9A"/>
    <w:rsid w:val="005917A6"/>
    <w:rsid w:val="00593540"/>
    <w:rsid w:val="00593A29"/>
    <w:rsid w:val="00593CFB"/>
    <w:rsid w:val="0059522A"/>
    <w:rsid w:val="005958BF"/>
    <w:rsid w:val="0059636A"/>
    <w:rsid w:val="005A2BCB"/>
    <w:rsid w:val="005A390A"/>
    <w:rsid w:val="005A6C0B"/>
    <w:rsid w:val="005A6D08"/>
    <w:rsid w:val="005B1064"/>
    <w:rsid w:val="005B17D0"/>
    <w:rsid w:val="005B1D65"/>
    <w:rsid w:val="005B1EBA"/>
    <w:rsid w:val="005B32B1"/>
    <w:rsid w:val="005B5FC1"/>
    <w:rsid w:val="005B6C53"/>
    <w:rsid w:val="005C09EE"/>
    <w:rsid w:val="005C1122"/>
    <w:rsid w:val="005C2F84"/>
    <w:rsid w:val="005C3AA8"/>
    <w:rsid w:val="005C4F73"/>
    <w:rsid w:val="005C6D6A"/>
    <w:rsid w:val="005C79B8"/>
    <w:rsid w:val="005C7A0F"/>
    <w:rsid w:val="005D25CA"/>
    <w:rsid w:val="005D409F"/>
    <w:rsid w:val="005D4C8B"/>
    <w:rsid w:val="005D7DDE"/>
    <w:rsid w:val="005E118A"/>
    <w:rsid w:val="005E2346"/>
    <w:rsid w:val="005E2752"/>
    <w:rsid w:val="005E6365"/>
    <w:rsid w:val="005E7307"/>
    <w:rsid w:val="005F08C5"/>
    <w:rsid w:val="005F101C"/>
    <w:rsid w:val="005F16FF"/>
    <w:rsid w:val="005F1C68"/>
    <w:rsid w:val="005F3048"/>
    <w:rsid w:val="005F41EF"/>
    <w:rsid w:val="005F5350"/>
    <w:rsid w:val="005F735E"/>
    <w:rsid w:val="005F7A22"/>
    <w:rsid w:val="005F7DDD"/>
    <w:rsid w:val="00601316"/>
    <w:rsid w:val="00607262"/>
    <w:rsid w:val="00610D70"/>
    <w:rsid w:val="00611576"/>
    <w:rsid w:val="00612375"/>
    <w:rsid w:val="006134C5"/>
    <w:rsid w:val="00616739"/>
    <w:rsid w:val="0061768C"/>
    <w:rsid w:val="0061773A"/>
    <w:rsid w:val="006274D1"/>
    <w:rsid w:val="00627A52"/>
    <w:rsid w:val="00630518"/>
    <w:rsid w:val="00631710"/>
    <w:rsid w:val="006317EE"/>
    <w:rsid w:val="00632C20"/>
    <w:rsid w:val="00632FA0"/>
    <w:rsid w:val="0063472D"/>
    <w:rsid w:val="00635E41"/>
    <w:rsid w:val="00635EAC"/>
    <w:rsid w:val="00636DD1"/>
    <w:rsid w:val="00640CCD"/>
    <w:rsid w:val="00642839"/>
    <w:rsid w:val="00643B82"/>
    <w:rsid w:val="00644458"/>
    <w:rsid w:val="00645782"/>
    <w:rsid w:val="006475B5"/>
    <w:rsid w:val="00650497"/>
    <w:rsid w:val="0065323E"/>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65BC"/>
    <w:rsid w:val="006905F3"/>
    <w:rsid w:val="006917EC"/>
    <w:rsid w:val="00694EDD"/>
    <w:rsid w:val="00697C2F"/>
    <w:rsid w:val="006A391A"/>
    <w:rsid w:val="006A4824"/>
    <w:rsid w:val="006A60E9"/>
    <w:rsid w:val="006A7611"/>
    <w:rsid w:val="006A7972"/>
    <w:rsid w:val="006A7D66"/>
    <w:rsid w:val="006B0929"/>
    <w:rsid w:val="006B1212"/>
    <w:rsid w:val="006B1691"/>
    <w:rsid w:val="006B1A74"/>
    <w:rsid w:val="006B3DDF"/>
    <w:rsid w:val="006B6161"/>
    <w:rsid w:val="006B63F8"/>
    <w:rsid w:val="006B7570"/>
    <w:rsid w:val="006C08A7"/>
    <w:rsid w:val="006C5D7F"/>
    <w:rsid w:val="006C693D"/>
    <w:rsid w:val="006C7075"/>
    <w:rsid w:val="006D03DA"/>
    <w:rsid w:val="006D070B"/>
    <w:rsid w:val="006D2C3B"/>
    <w:rsid w:val="006D3779"/>
    <w:rsid w:val="006D4F9A"/>
    <w:rsid w:val="006D6438"/>
    <w:rsid w:val="006D73B5"/>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4447"/>
    <w:rsid w:val="006F4E4C"/>
    <w:rsid w:val="006F73A7"/>
    <w:rsid w:val="006F7C7B"/>
    <w:rsid w:val="006F7CC3"/>
    <w:rsid w:val="007000D8"/>
    <w:rsid w:val="00700AAB"/>
    <w:rsid w:val="007023F7"/>
    <w:rsid w:val="00702757"/>
    <w:rsid w:val="00705D0D"/>
    <w:rsid w:val="0071158B"/>
    <w:rsid w:val="00711B3A"/>
    <w:rsid w:val="007120F0"/>
    <w:rsid w:val="00712FD3"/>
    <w:rsid w:val="007148CC"/>
    <w:rsid w:val="007173B1"/>
    <w:rsid w:val="00717DE0"/>
    <w:rsid w:val="00721181"/>
    <w:rsid w:val="0072133C"/>
    <w:rsid w:val="007218A0"/>
    <w:rsid w:val="00723F01"/>
    <w:rsid w:val="0072463D"/>
    <w:rsid w:val="00724988"/>
    <w:rsid w:val="007269E5"/>
    <w:rsid w:val="007311E5"/>
    <w:rsid w:val="007313E6"/>
    <w:rsid w:val="00732D99"/>
    <w:rsid w:val="00733E96"/>
    <w:rsid w:val="00735E41"/>
    <w:rsid w:val="00736DDF"/>
    <w:rsid w:val="007370DE"/>
    <w:rsid w:val="00737EBC"/>
    <w:rsid w:val="00737EC4"/>
    <w:rsid w:val="007421E2"/>
    <w:rsid w:val="00746AD5"/>
    <w:rsid w:val="00750023"/>
    <w:rsid w:val="00752255"/>
    <w:rsid w:val="00753483"/>
    <w:rsid w:val="00754162"/>
    <w:rsid w:val="0075420F"/>
    <w:rsid w:val="00754467"/>
    <w:rsid w:val="007546A9"/>
    <w:rsid w:val="00754E54"/>
    <w:rsid w:val="007555D7"/>
    <w:rsid w:val="007601FD"/>
    <w:rsid w:val="00763285"/>
    <w:rsid w:val="00763BE5"/>
    <w:rsid w:val="00767FC8"/>
    <w:rsid w:val="007704D3"/>
    <w:rsid w:val="007713D7"/>
    <w:rsid w:val="00771AA6"/>
    <w:rsid w:val="00774CE0"/>
    <w:rsid w:val="00776E8A"/>
    <w:rsid w:val="00777602"/>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4B78"/>
    <w:rsid w:val="007C6316"/>
    <w:rsid w:val="007C6CA9"/>
    <w:rsid w:val="007D0BD9"/>
    <w:rsid w:val="007D1D90"/>
    <w:rsid w:val="007D2A7D"/>
    <w:rsid w:val="007D36E0"/>
    <w:rsid w:val="007D4107"/>
    <w:rsid w:val="007D7445"/>
    <w:rsid w:val="007D7458"/>
    <w:rsid w:val="007E01B8"/>
    <w:rsid w:val="007E102A"/>
    <w:rsid w:val="007E1194"/>
    <w:rsid w:val="007E1DB7"/>
    <w:rsid w:val="007E313B"/>
    <w:rsid w:val="007E4541"/>
    <w:rsid w:val="007E648C"/>
    <w:rsid w:val="007E6F65"/>
    <w:rsid w:val="007E74B9"/>
    <w:rsid w:val="007F111F"/>
    <w:rsid w:val="007F1C62"/>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5B7E"/>
    <w:rsid w:val="00825CC5"/>
    <w:rsid w:val="008269C3"/>
    <w:rsid w:val="00826BDF"/>
    <w:rsid w:val="00830902"/>
    <w:rsid w:val="00830A32"/>
    <w:rsid w:val="00830C30"/>
    <w:rsid w:val="00831941"/>
    <w:rsid w:val="00831E4D"/>
    <w:rsid w:val="008343FC"/>
    <w:rsid w:val="00835E2B"/>
    <w:rsid w:val="00840792"/>
    <w:rsid w:val="00841312"/>
    <w:rsid w:val="00842ACF"/>
    <w:rsid w:val="00842EBD"/>
    <w:rsid w:val="00844477"/>
    <w:rsid w:val="00844F44"/>
    <w:rsid w:val="0084579D"/>
    <w:rsid w:val="00846BB9"/>
    <w:rsid w:val="00847760"/>
    <w:rsid w:val="008534CC"/>
    <w:rsid w:val="008569E0"/>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817F1"/>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C015D"/>
    <w:rsid w:val="008C04F9"/>
    <w:rsid w:val="008C06F1"/>
    <w:rsid w:val="008C2B58"/>
    <w:rsid w:val="008C4276"/>
    <w:rsid w:val="008C43FE"/>
    <w:rsid w:val="008D0440"/>
    <w:rsid w:val="008D4BE1"/>
    <w:rsid w:val="008D5133"/>
    <w:rsid w:val="008D55D6"/>
    <w:rsid w:val="008D5C7B"/>
    <w:rsid w:val="008D710D"/>
    <w:rsid w:val="008D718A"/>
    <w:rsid w:val="008E118F"/>
    <w:rsid w:val="008E142C"/>
    <w:rsid w:val="008E1551"/>
    <w:rsid w:val="008E2F3A"/>
    <w:rsid w:val="008E4C96"/>
    <w:rsid w:val="008E5EAE"/>
    <w:rsid w:val="008E7689"/>
    <w:rsid w:val="008E7884"/>
    <w:rsid w:val="008F3B68"/>
    <w:rsid w:val="008F434C"/>
    <w:rsid w:val="008F5E21"/>
    <w:rsid w:val="008F7429"/>
    <w:rsid w:val="008F76AA"/>
    <w:rsid w:val="008F79CD"/>
    <w:rsid w:val="00900FCD"/>
    <w:rsid w:val="009010AF"/>
    <w:rsid w:val="00902485"/>
    <w:rsid w:val="009034EC"/>
    <w:rsid w:val="00904BFA"/>
    <w:rsid w:val="009055BF"/>
    <w:rsid w:val="00905E00"/>
    <w:rsid w:val="0091020E"/>
    <w:rsid w:val="00914141"/>
    <w:rsid w:val="009156E0"/>
    <w:rsid w:val="0091647C"/>
    <w:rsid w:val="00916CF4"/>
    <w:rsid w:val="0092022F"/>
    <w:rsid w:val="009227E8"/>
    <w:rsid w:val="00924252"/>
    <w:rsid w:val="00925F47"/>
    <w:rsid w:val="00926ACC"/>
    <w:rsid w:val="00927AC1"/>
    <w:rsid w:val="00930B3A"/>
    <w:rsid w:val="00930D0F"/>
    <w:rsid w:val="00930D80"/>
    <w:rsid w:val="0093162A"/>
    <w:rsid w:val="00933EB5"/>
    <w:rsid w:val="00936150"/>
    <w:rsid w:val="009364A4"/>
    <w:rsid w:val="00937FED"/>
    <w:rsid w:val="00942BA9"/>
    <w:rsid w:val="00942E4E"/>
    <w:rsid w:val="00944980"/>
    <w:rsid w:val="00944C9F"/>
    <w:rsid w:val="00945143"/>
    <w:rsid w:val="009473F4"/>
    <w:rsid w:val="00950AA5"/>
    <w:rsid w:val="00952766"/>
    <w:rsid w:val="00954407"/>
    <w:rsid w:val="0095572E"/>
    <w:rsid w:val="00956FC5"/>
    <w:rsid w:val="0096165A"/>
    <w:rsid w:val="00961914"/>
    <w:rsid w:val="00961992"/>
    <w:rsid w:val="00962E35"/>
    <w:rsid w:val="0096402F"/>
    <w:rsid w:val="00964753"/>
    <w:rsid w:val="0096510B"/>
    <w:rsid w:val="0097032A"/>
    <w:rsid w:val="00970495"/>
    <w:rsid w:val="00971B80"/>
    <w:rsid w:val="00972259"/>
    <w:rsid w:val="00972FFF"/>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B4A9E"/>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F0DC8"/>
    <w:rsid w:val="009F1B47"/>
    <w:rsid w:val="009F1C75"/>
    <w:rsid w:val="009F2519"/>
    <w:rsid w:val="009F3900"/>
    <w:rsid w:val="009F4DC5"/>
    <w:rsid w:val="009F66D5"/>
    <w:rsid w:val="00A004D7"/>
    <w:rsid w:val="00A00ABD"/>
    <w:rsid w:val="00A11125"/>
    <w:rsid w:val="00A14468"/>
    <w:rsid w:val="00A163EE"/>
    <w:rsid w:val="00A17A2A"/>
    <w:rsid w:val="00A17E80"/>
    <w:rsid w:val="00A2216F"/>
    <w:rsid w:val="00A22482"/>
    <w:rsid w:val="00A22AD2"/>
    <w:rsid w:val="00A236BE"/>
    <w:rsid w:val="00A23865"/>
    <w:rsid w:val="00A2503E"/>
    <w:rsid w:val="00A252AA"/>
    <w:rsid w:val="00A2540F"/>
    <w:rsid w:val="00A265D0"/>
    <w:rsid w:val="00A2752B"/>
    <w:rsid w:val="00A27DE0"/>
    <w:rsid w:val="00A31C03"/>
    <w:rsid w:val="00A37A86"/>
    <w:rsid w:val="00A37F09"/>
    <w:rsid w:val="00A41003"/>
    <w:rsid w:val="00A41A4F"/>
    <w:rsid w:val="00A41ADB"/>
    <w:rsid w:val="00A432BF"/>
    <w:rsid w:val="00A460CF"/>
    <w:rsid w:val="00A46100"/>
    <w:rsid w:val="00A51FCB"/>
    <w:rsid w:val="00A53B68"/>
    <w:rsid w:val="00A54950"/>
    <w:rsid w:val="00A5502D"/>
    <w:rsid w:val="00A55411"/>
    <w:rsid w:val="00A55599"/>
    <w:rsid w:val="00A56364"/>
    <w:rsid w:val="00A564A7"/>
    <w:rsid w:val="00A56D01"/>
    <w:rsid w:val="00A5739E"/>
    <w:rsid w:val="00A62B55"/>
    <w:rsid w:val="00A644B7"/>
    <w:rsid w:val="00A6476B"/>
    <w:rsid w:val="00A64C75"/>
    <w:rsid w:val="00A6501D"/>
    <w:rsid w:val="00A65780"/>
    <w:rsid w:val="00A666BF"/>
    <w:rsid w:val="00A70F09"/>
    <w:rsid w:val="00A71C55"/>
    <w:rsid w:val="00A72665"/>
    <w:rsid w:val="00A73C3B"/>
    <w:rsid w:val="00A73E26"/>
    <w:rsid w:val="00A74675"/>
    <w:rsid w:val="00A771A1"/>
    <w:rsid w:val="00A77888"/>
    <w:rsid w:val="00A77FCD"/>
    <w:rsid w:val="00A836A2"/>
    <w:rsid w:val="00A84796"/>
    <w:rsid w:val="00A86E9B"/>
    <w:rsid w:val="00A86EB6"/>
    <w:rsid w:val="00A87DFA"/>
    <w:rsid w:val="00A900C0"/>
    <w:rsid w:val="00A91937"/>
    <w:rsid w:val="00A937EB"/>
    <w:rsid w:val="00A952AF"/>
    <w:rsid w:val="00AA1017"/>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54CD"/>
    <w:rsid w:val="00AC61FB"/>
    <w:rsid w:val="00AC7111"/>
    <w:rsid w:val="00AC7ACE"/>
    <w:rsid w:val="00AC7EB7"/>
    <w:rsid w:val="00AD07E7"/>
    <w:rsid w:val="00AD0EBD"/>
    <w:rsid w:val="00AD2829"/>
    <w:rsid w:val="00AD6DD0"/>
    <w:rsid w:val="00AE304B"/>
    <w:rsid w:val="00AE3940"/>
    <w:rsid w:val="00AF1C57"/>
    <w:rsid w:val="00AF6FB6"/>
    <w:rsid w:val="00AF7D5D"/>
    <w:rsid w:val="00B041DB"/>
    <w:rsid w:val="00B04B0C"/>
    <w:rsid w:val="00B04E52"/>
    <w:rsid w:val="00B06FA6"/>
    <w:rsid w:val="00B11E66"/>
    <w:rsid w:val="00B137AD"/>
    <w:rsid w:val="00B13CB1"/>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2E29"/>
    <w:rsid w:val="00B37460"/>
    <w:rsid w:val="00B4226A"/>
    <w:rsid w:val="00B431F2"/>
    <w:rsid w:val="00B442B2"/>
    <w:rsid w:val="00B452C2"/>
    <w:rsid w:val="00B51EAB"/>
    <w:rsid w:val="00B53F08"/>
    <w:rsid w:val="00B53FC5"/>
    <w:rsid w:val="00B54485"/>
    <w:rsid w:val="00B54B88"/>
    <w:rsid w:val="00B564F1"/>
    <w:rsid w:val="00B60014"/>
    <w:rsid w:val="00B6099B"/>
    <w:rsid w:val="00B61E27"/>
    <w:rsid w:val="00B6473B"/>
    <w:rsid w:val="00B6711E"/>
    <w:rsid w:val="00B67709"/>
    <w:rsid w:val="00B67A99"/>
    <w:rsid w:val="00B701DF"/>
    <w:rsid w:val="00B711C4"/>
    <w:rsid w:val="00B728C7"/>
    <w:rsid w:val="00B74E47"/>
    <w:rsid w:val="00B75829"/>
    <w:rsid w:val="00B767D1"/>
    <w:rsid w:val="00B77534"/>
    <w:rsid w:val="00B82F81"/>
    <w:rsid w:val="00B85DE3"/>
    <w:rsid w:val="00B86B0B"/>
    <w:rsid w:val="00B9016C"/>
    <w:rsid w:val="00B91EFE"/>
    <w:rsid w:val="00BA0683"/>
    <w:rsid w:val="00BA2307"/>
    <w:rsid w:val="00BA484E"/>
    <w:rsid w:val="00BB3132"/>
    <w:rsid w:val="00BB4358"/>
    <w:rsid w:val="00BB4793"/>
    <w:rsid w:val="00BB4FEF"/>
    <w:rsid w:val="00BB6F84"/>
    <w:rsid w:val="00BB7DC8"/>
    <w:rsid w:val="00BC186A"/>
    <w:rsid w:val="00BC7163"/>
    <w:rsid w:val="00BC72BA"/>
    <w:rsid w:val="00BD001D"/>
    <w:rsid w:val="00BD09CC"/>
    <w:rsid w:val="00BD3DBD"/>
    <w:rsid w:val="00BD62A8"/>
    <w:rsid w:val="00BD7C11"/>
    <w:rsid w:val="00BD7E69"/>
    <w:rsid w:val="00BE1287"/>
    <w:rsid w:val="00BE3346"/>
    <w:rsid w:val="00BE4FF4"/>
    <w:rsid w:val="00BE5713"/>
    <w:rsid w:val="00BE5C55"/>
    <w:rsid w:val="00BE729F"/>
    <w:rsid w:val="00BF0B73"/>
    <w:rsid w:val="00BF0BDB"/>
    <w:rsid w:val="00BF15B0"/>
    <w:rsid w:val="00BF2146"/>
    <w:rsid w:val="00BF38E2"/>
    <w:rsid w:val="00BF3D68"/>
    <w:rsid w:val="00BF6A4C"/>
    <w:rsid w:val="00BF7CA9"/>
    <w:rsid w:val="00C020BD"/>
    <w:rsid w:val="00C031F8"/>
    <w:rsid w:val="00C054CD"/>
    <w:rsid w:val="00C11BD8"/>
    <w:rsid w:val="00C12A2E"/>
    <w:rsid w:val="00C134F8"/>
    <w:rsid w:val="00C140C7"/>
    <w:rsid w:val="00C144BE"/>
    <w:rsid w:val="00C14A95"/>
    <w:rsid w:val="00C20AF8"/>
    <w:rsid w:val="00C211E7"/>
    <w:rsid w:val="00C21E12"/>
    <w:rsid w:val="00C222A2"/>
    <w:rsid w:val="00C238C6"/>
    <w:rsid w:val="00C23BEC"/>
    <w:rsid w:val="00C25384"/>
    <w:rsid w:val="00C27A02"/>
    <w:rsid w:val="00C32EE0"/>
    <w:rsid w:val="00C34445"/>
    <w:rsid w:val="00C3497A"/>
    <w:rsid w:val="00C349F5"/>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434A"/>
    <w:rsid w:val="00C86FF1"/>
    <w:rsid w:val="00C90131"/>
    <w:rsid w:val="00C91A73"/>
    <w:rsid w:val="00C91F54"/>
    <w:rsid w:val="00C93496"/>
    <w:rsid w:val="00C95C16"/>
    <w:rsid w:val="00C95D42"/>
    <w:rsid w:val="00C96618"/>
    <w:rsid w:val="00CA1A08"/>
    <w:rsid w:val="00CA1EFC"/>
    <w:rsid w:val="00CA4C97"/>
    <w:rsid w:val="00CA6B46"/>
    <w:rsid w:val="00CA717B"/>
    <w:rsid w:val="00CB02D9"/>
    <w:rsid w:val="00CB0AC4"/>
    <w:rsid w:val="00CB0F89"/>
    <w:rsid w:val="00CB1B66"/>
    <w:rsid w:val="00CB1E3D"/>
    <w:rsid w:val="00CB4057"/>
    <w:rsid w:val="00CB4210"/>
    <w:rsid w:val="00CB5A51"/>
    <w:rsid w:val="00CB65BC"/>
    <w:rsid w:val="00CB6A73"/>
    <w:rsid w:val="00CB705C"/>
    <w:rsid w:val="00CC1BC0"/>
    <w:rsid w:val="00CC3AF6"/>
    <w:rsid w:val="00CC4804"/>
    <w:rsid w:val="00CC544B"/>
    <w:rsid w:val="00CC6164"/>
    <w:rsid w:val="00CC7245"/>
    <w:rsid w:val="00CC7B98"/>
    <w:rsid w:val="00CD2F35"/>
    <w:rsid w:val="00CD39A9"/>
    <w:rsid w:val="00CE0FE2"/>
    <w:rsid w:val="00CE5A2F"/>
    <w:rsid w:val="00CE64EE"/>
    <w:rsid w:val="00CF1A91"/>
    <w:rsid w:val="00CF4908"/>
    <w:rsid w:val="00CF4A96"/>
    <w:rsid w:val="00CF674D"/>
    <w:rsid w:val="00D010DB"/>
    <w:rsid w:val="00D016AB"/>
    <w:rsid w:val="00D01B78"/>
    <w:rsid w:val="00D02012"/>
    <w:rsid w:val="00D02963"/>
    <w:rsid w:val="00D04C2B"/>
    <w:rsid w:val="00D07D2C"/>
    <w:rsid w:val="00D11C0E"/>
    <w:rsid w:val="00D12EE5"/>
    <w:rsid w:val="00D144D9"/>
    <w:rsid w:val="00D15743"/>
    <w:rsid w:val="00D17408"/>
    <w:rsid w:val="00D20657"/>
    <w:rsid w:val="00D20742"/>
    <w:rsid w:val="00D20D1F"/>
    <w:rsid w:val="00D21026"/>
    <w:rsid w:val="00D248D5"/>
    <w:rsid w:val="00D24BAE"/>
    <w:rsid w:val="00D25121"/>
    <w:rsid w:val="00D25324"/>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612"/>
    <w:rsid w:val="00D43968"/>
    <w:rsid w:val="00D442E0"/>
    <w:rsid w:val="00D45565"/>
    <w:rsid w:val="00D47978"/>
    <w:rsid w:val="00D47AC0"/>
    <w:rsid w:val="00D53873"/>
    <w:rsid w:val="00D54416"/>
    <w:rsid w:val="00D55D34"/>
    <w:rsid w:val="00D5667D"/>
    <w:rsid w:val="00D57B32"/>
    <w:rsid w:val="00D64BC8"/>
    <w:rsid w:val="00D64F52"/>
    <w:rsid w:val="00D67025"/>
    <w:rsid w:val="00D674A2"/>
    <w:rsid w:val="00D712CB"/>
    <w:rsid w:val="00D717D8"/>
    <w:rsid w:val="00D7229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6571"/>
    <w:rsid w:val="00DA6E32"/>
    <w:rsid w:val="00DB120D"/>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36CC"/>
    <w:rsid w:val="00DE39FD"/>
    <w:rsid w:val="00DE481F"/>
    <w:rsid w:val="00DE56DB"/>
    <w:rsid w:val="00DE7138"/>
    <w:rsid w:val="00DF0A32"/>
    <w:rsid w:val="00DF3B82"/>
    <w:rsid w:val="00DF4FE9"/>
    <w:rsid w:val="00DF5AC9"/>
    <w:rsid w:val="00DF692E"/>
    <w:rsid w:val="00DF6EC6"/>
    <w:rsid w:val="00DF7C8E"/>
    <w:rsid w:val="00DF7D2A"/>
    <w:rsid w:val="00E00779"/>
    <w:rsid w:val="00E011D7"/>
    <w:rsid w:val="00E01952"/>
    <w:rsid w:val="00E01A49"/>
    <w:rsid w:val="00E01AB6"/>
    <w:rsid w:val="00E025AD"/>
    <w:rsid w:val="00E05592"/>
    <w:rsid w:val="00E06A74"/>
    <w:rsid w:val="00E10887"/>
    <w:rsid w:val="00E11512"/>
    <w:rsid w:val="00E1200A"/>
    <w:rsid w:val="00E12920"/>
    <w:rsid w:val="00E130EB"/>
    <w:rsid w:val="00E14381"/>
    <w:rsid w:val="00E156E3"/>
    <w:rsid w:val="00E16A26"/>
    <w:rsid w:val="00E259FB"/>
    <w:rsid w:val="00E2632B"/>
    <w:rsid w:val="00E26D33"/>
    <w:rsid w:val="00E26F47"/>
    <w:rsid w:val="00E27919"/>
    <w:rsid w:val="00E30F5B"/>
    <w:rsid w:val="00E3253D"/>
    <w:rsid w:val="00E326AA"/>
    <w:rsid w:val="00E32C48"/>
    <w:rsid w:val="00E32CD5"/>
    <w:rsid w:val="00E34270"/>
    <w:rsid w:val="00E36410"/>
    <w:rsid w:val="00E3651E"/>
    <w:rsid w:val="00E37770"/>
    <w:rsid w:val="00E37C18"/>
    <w:rsid w:val="00E40249"/>
    <w:rsid w:val="00E4078C"/>
    <w:rsid w:val="00E41224"/>
    <w:rsid w:val="00E4303C"/>
    <w:rsid w:val="00E442C3"/>
    <w:rsid w:val="00E44FC0"/>
    <w:rsid w:val="00E45189"/>
    <w:rsid w:val="00E46E54"/>
    <w:rsid w:val="00E46FB2"/>
    <w:rsid w:val="00E473F8"/>
    <w:rsid w:val="00E474F5"/>
    <w:rsid w:val="00E47C9D"/>
    <w:rsid w:val="00E50F4B"/>
    <w:rsid w:val="00E5191D"/>
    <w:rsid w:val="00E51F61"/>
    <w:rsid w:val="00E51F6A"/>
    <w:rsid w:val="00E51F79"/>
    <w:rsid w:val="00E521F5"/>
    <w:rsid w:val="00E529FB"/>
    <w:rsid w:val="00E533E8"/>
    <w:rsid w:val="00E53B40"/>
    <w:rsid w:val="00E5576B"/>
    <w:rsid w:val="00E55D92"/>
    <w:rsid w:val="00E60B56"/>
    <w:rsid w:val="00E661EA"/>
    <w:rsid w:val="00E6678E"/>
    <w:rsid w:val="00E67598"/>
    <w:rsid w:val="00E677FC"/>
    <w:rsid w:val="00E70B22"/>
    <w:rsid w:val="00E70E4C"/>
    <w:rsid w:val="00E719AC"/>
    <w:rsid w:val="00E72AD5"/>
    <w:rsid w:val="00E73CA4"/>
    <w:rsid w:val="00E74D09"/>
    <w:rsid w:val="00E75232"/>
    <w:rsid w:val="00E772E3"/>
    <w:rsid w:val="00E803F5"/>
    <w:rsid w:val="00E803FE"/>
    <w:rsid w:val="00E81A5E"/>
    <w:rsid w:val="00E81E1B"/>
    <w:rsid w:val="00E843E2"/>
    <w:rsid w:val="00E85E35"/>
    <w:rsid w:val="00E90ED2"/>
    <w:rsid w:val="00E91461"/>
    <w:rsid w:val="00E9171B"/>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17B9"/>
    <w:rsid w:val="00EC5B40"/>
    <w:rsid w:val="00EC658D"/>
    <w:rsid w:val="00EC7A12"/>
    <w:rsid w:val="00ED15B0"/>
    <w:rsid w:val="00ED362B"/>
    <w:rsid w:val="00ED442F"/>
    <w:rsid w:val="00ED7458"/>
    <w:rsid w:val="00EE21AA"/>
    <w:rsid w:val="00EE236A"/>
    <w:rsid w:val="00EE3938"/>
    <w:rsid w:val="00EE3B9D"/>
    <w:rsid w:val="00EE419E"/>
    <w:rsid w:val="00EE47FA"/>
    <w:rsid w:val="00EE73B4"/>
    <w:rsid w:val="00EF5429"/>
    <w:rsid w:val="00F03896"/>
    <w:rsid w:val="00F04898"/>
    <w:rsid w:val="00F11970"/>
    <w:rsid w:val="00F119A8"/>
    <w:rsid w:val="00F126FE"/>
    <w:rsid w:val="00F12FC1"/>
    <w:rsid w:val="00F13BAA"/>
    <w:rsid w:val="00F13EBE"/>
    <w:rsid w:val="00F1719C"/>
    <w:rsid w:val="00F2175B"/>
    <w:rsid w:val="00F218F8"/>
    <w:rsid w:val="00F219B2"/>
    <w:rsid w:val="00F21DFC"/>
    <w:rsid w:val="00F236CC"/>
    <w:rsid w:val="00F244BE"/>
    <w:rsid w:val="00F24536"/>
    <w:rsid w:val="00F25D73"/>
    <w:rsid w:val="00F274B1"/>
    <w:rsid w:val="00F27D52"/>
    <w:rsid w:val="00F307EB"/>
    <w:rsid w:val="00F31704"/>
    <w:rsid w:val="00F32291"/>
    <w:rsid w:val="00F328A2"/>
    <w:rsid w:val="00F334C5"/>
    <w:rsid w:val="00F342E1"/>
    <w:rsid w:val="00F34E4E"/>
    <w:rsid w:val="00F40101"/>
    <w:rsid w:val="00F4151C"/>
    <w:rsid w:val="00F418DC"/>
    <w:rsid w:val="00F42B7E"/>
    <w:rsid w:val="00F45C10"/>
    <w:rsid w:val="00F45C46"/>
    <w:rsid w:val="00F45CB0"/>
    <w:rsid w:val="00F46356"/>
    <w:rsid w:val="00F51EED"/>
    <w:rsid w:val="00F52056"/>
    <w:rsid w:val="00F52BA5"/>
    <w:rsid w:val="00F52D63"/>
    <w:rsid w:val="00F5426D"/>
    <w:rsid w:val="00F5547F"/>
    <w:rsid w:val="00F56122"/>
    <w:rsid w:val="00F5732D"/>
    <w:rsid w:val="00F605D1"/>
    <w:rsid w:val="00F62249"/>
    <w:rsid w:val="00F626B6"/>
    <w:rsid w:val="00F6276F"/>
    <w:rsid w:val="00F64D36"/>
    <w:rsid w:val="00F669F7"/>
    <w:rsid w:val="00F701C8"/>
    <w:rsid w:val="00F71214"/>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CCE"/>
    <w:rsid w:val="00FB1F18"/>
    <w:rsid w:val="00FB297D"/>
    <w:rsid w:val="00FB2FBF"/>
    <w:rsid w:val="00FB453E"/>
    <w:rsid w:val="00FB5602"/>
    <w:rsid w:val="00FB63C4"/>
    <w:rsid w:val="00FB6A8B"/>
    <w:rsid w:val="00FB6D72"/>
    <w:rsid w:val="00FB6F33"/>
    <w:rsid w:val="00FB6F86"/>
    <w:rsid w:val="00FB7149"/>
    <w:rsid w:val="00FB769B"/>
    <w:rsid w:val="00FB7C4C"/>
    <w:rsid w:val="00FC0AAC"/>
    <w:rsid w:val="00FC0E57"/>
    <w:rsid w:val="00FC1DE0"/>
    <w:rsid w:val="00FC380E"/>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44FA"/>
    <w:rsid w:val="00FE6F0B"/>
    <w:rsid w:val="00FE7179"/>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74722556"/>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6EC62-22C1-46B2-97BD-935C7D9C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16</Pages>
  <Words>2313</Words>
  <Characters>13185</Characters>
  <Application>Microsoft Office Word</Application>
  <DocSecurity>0</DocSecurity>
  <Lines>109</Lines>
  <Paragraphs>30</Paragraphs>
  <ScaleCrop>false</ScaleCrop>
  <Company>http:/sdwm.org</Company>
  <LinksUpToDate>false</LinksUpToDate>
  <CharactersWithSpaces>15468</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Suda</cp:lastModifiedBy>
  <cp:revision>523</cp:revision>
  <cp:lastPrinted>2014-11-03T08:30:00Z</cp:lastPrinted>
  <dcterms:created xsi:type="dcterms:W3CDTF">2019-05-09T06:21:00Z</dcterms:created>
  <dcterms:modified xsi:type="dcterms:W3CDTF">2019-05-13T03:40:00Z</dcterms:modified>
</cp:coreProperties>
</file>