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120" w:before="0"/>
        <w:jc w:val="center"/>
      </w:pPr>
      <w:r>
        <w:rPr>
          <w:rFonts w:ascii="Arial" w:cs="Arial" w:eastAsia="Arial" w:hAnsi="Arial"/>
          <w:b/>
          <w:bCs/>
          <w:color w:val="1F3864"/>
          <w:sz w:val="80"/>
          <w:szCs w:val="80"/>
        </w:rPr>
        <w:t xml:space="preserve">SDA-Pro</w:t>
      </w:r>
    </w:p>
    <w:p>
      <w:pPr>
        <w:spacing w:after="60" w:before="0"/>
        <w:jc w:val="center"/>
      </w:pPr>
      <w:r>
        <w:rPr>
          <w:rFonts w:ascii="Arial" w:cs="Arial" w:eastAsia="Arial" w:hAnsi="Arial"/>
          <w:b/>
          <w:bCs/>
          <w:color w:val="2E75B6"/>
          <w:sz w:val="32"/>
          <w:szCs w:val="32"/>
        </w:rPr>
        <w:t xml:space="preserve">Security Incident Response &amp; Threat Mitigation Platform</w:t>
      </w:r>
    </w:p>
    <w:p>
      <w:pPr>
        <w:pBdr>
          <w:bottom w:val="single" w:color="2E75B6" w:sz="4"/>
        </w:pBdr>
        <w:spacing w:after="240" w:before="120"/>
        <w:jc w:val="center"/>
      </w:pPr>
    </w:p>
    <w:p>
      <w:pPr>
        <w:spacing w:after="400" w:before="0"/>
        <w:jc w:val="center"/>
      </w:pPr>
      <w:r>
        <w:rPr>
          <w:rFonts w:ascii="Arial" w:cs="Arial" w:eastAsia="Arial" w:hAnsi="Arial"/>
          <w:i/>
          <w:iCs/>
          <w:color w:val="404040"/>
          <w:sz w:val="24"/>
          <w:szCs w:val="24"/>
        </w:rPr>
        <w:t xml:space="preserve">Software Design &amp; Architecture — Semester Project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SAP ID</w:t>
            </w:r>
          </w:p>
        </w:tc>
        <w:tc>
          <w:tcPr>
            <w:tcW w:type="dxa" w:w="36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Student Name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53006</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Sudais Malik</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53002</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Muhammad Salman Akbar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52999</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Muhammad Farhan Ijaz</w:t>
            </w:r>
          </w:p>
        </w:tc>
      </w:tr>
    </w:tbl>
    <w:p>
      <w:pPr>
        <w:spacing w:after="0" w:before="400"/>
      </w:pPr>
    </w:p>
    <w:p>
      <w:pPr>
        <w:jc w:val="center"/>
      </w:pPr>
      <w:r>
        <w:rPr>
          <w:rFonts w:ascii="Arial" w:cs="Arial" w:eastAsia="Arial" w:hAnsi="Arial"/>
          <w:color w:val="404040"/>
          <w:sz w:val="22"/>
          <w:szCs w:val="22"/>
        </w:rPr>
        <w:t xml:space="preserve">Session 2024–2025</w:t>
      </w:r>
    </w:p>
    <w:p>
      <w:r>
        <w:br w:type="page"/>
      </w:r>
    </w:p>
    <w:p>
      <w:pPr>
        <w:pStyle w:val="Heading1"/>
        <w:pBdr>
          <w:bottom w:val="single" w:color="2E75B6" w:sz="4"/>
        </w:pBdr>
        <w:shd w:fill="1F3864" w:val="clear"/>
        <w:spacing w:after="180" w:before="360"/>
        <w:ind w:left="200" w:right="200"/>
      </w:pPr>
      <w:r>
        <w:rPr>
          <w:rFonts w:ascii="Arial" w:cs="Arial" w:eastAsia="Arial" w:hAnsi="Arial"/>
          <w:b/>
          <w:bCs/>
          <w:color w:val="FFFFFF"/>
          <w:sz w:val="32"/>
          <w:szCs w:val="32"/>
        </w:rPr>
        <w:t xml:space="preserve">Table of Contents</w:t>
      </w:r>
    </w:p>
    <w:p>
      <w:pPr>
        <w:spacing w:after="0" w:before="120"/>
      </w:pPr>
    </w:p>
    <w:p>
      <w:pPr>
        <w:tabs>
          <w:tab w:val="right" w:pos="9000"/>
        </w:tabs>
        <w:spacing w:after="60" w:before="60"/>
      </w:pPr>
      <w:r>
        <w:rPr>
          <w:rFonts w:ascii="Arial" w:cs="Arial" w:eastAsia="Arial" w:hAnsi="Arial"/>
          <w:b/>
          <w:bCs/>
          <w:color w:val="1F3864"/>
          <w:sz w:val="20"/>
          <w:szCs w:val="20"/>
        </w:rPr>
        <w:t xml:space="preserve">Part I  —  </w:t>
      </w:r>
      <w:r>
        <w:rPr>
          <w:rFonts w:ascii="Arial" w:cs="Arial" w:eastAsia="Arial" w:hAnsi="Arial"/>
          <w:color w:val="404040"/>
          <w:sz w:val="20"/>
          <w:szCs w:val="20"/>
        </w:rPr>
        <w:t xml:space="preserve">Project Charter &amp; Overview</w:t>
      </w:r>
      <w:r>
        <w:rPr>
          <w:rFonts w:ascii="Arial" w:cs="Arial" w:eastAsia="Arial" w:hAnsi="Arial"/>
          <w:color w:val="404040"/>
          <w:sz w:val="20"/>
          <w:szCs w:val="20"/>
        </w:rPr>
        <w:t xml:space="preserve">	3</w:t>
      </w:r>
    </w:p>
    <w:p>
      <w:pPr>
        <w:tabs>
          <w:tab w:val="right" w:pos="9000"/>
        </w:tabs>
        <w:spacing w:after="60" w:before="60"/>
      </w:pPr>
      <w:r>
        <w:rPr>
          <w:rFonts w:ascii="Arial" w:cs="Arial" w:eastAsia="Arial" w:hAnsi="Arial"/>
          <w:b/>
          <w:bCs/>
          <w:color w:val="1F3864"/>
          <w:sz w:val="20"/>
          <w:szCs w:val="20"/>
        </w:rPr>
        <w:t xml:space="preserve">Part II  —  </w:t>
      </w:r>
      <w:r>
        <w:rPr>
          <w:rFonts w:ascii="Arial" w:cs="Arial" w:eastAsia="Arial" w:hAnsi="Arial"/>
          <w:color w:val="404040"/>
          <w:sz w:val="20"/>
          <w:szCs w:val="20"/>
        </w:rPr>
        <w:t xml:space="preserve">Student A — Sudais Malik (SAP: 53006)</w:t>
      </w:r>
      <w:r>
        <w:rPr>
          <w:rFonts w:ascii="Arial" w:cs="Arial" w:eastAsia="Arial" w:hAnsi="Arial"/>
          <w:color w:val="404040"/>
          <w:sz w:val="20"/>
          <w:szCs w:val="20"/>
        </w:rPr>
        <w:t xml:space="preserve">	5</w:t>
      </w:r>
    </w:p>
    <w:p>
      <w:pPr>
        <w:tabs>
          <w:tab w:val="right" w:pos="9000"/>
        </w:tabs>
        <w:spacing w:after="60" w:before="60"/>
      </w:pPr>
      <w:r>
        <w:rPr>
          <w:rFonts w:ascii="Arial" w:cs="Arial" w:eastAsia="Arial" w:hAnsi="Arial"/>
          <w:b w:val="false"/>
          <w:bCs w:val="false"/>
          <w:color w:val="404040"/>
          <w:sz w:val="20"/>
          <w:szCs w:val="20"/>
        </w:rPr>
        <w:t xml:space="preserve">       </w:t>
      </w:r>
      <w:r>
        <w:rPr>
          <w:rFonts w:ascii="Arial" w:cs="Arial" w:eastAsia="Arial" w:hAnsi="Arial"/>
          <w:color w:val="404040"/>
          <w:sz w:val="20"/>
          <w:szCs w:val="20"/>
        </w:rPr>
        <w:t xml:space="preserve">Alert Ingestion Service</w:t>
      </w:r>
      <w:r>
        <w:rPr>
          <w:rFonts w:ascii="Arial" w:cs="Arial" w:eastAsia="Arial" w:hAnsi="Arial"/>
          <w:color w:val="404040"/>
          <w:sz w:val="20"/>
          <w:szCs w:val="20"/>
        </w:rPr>
        <w:t xml:space="preserve">	5</w:t>
      </w:r>
    </w:p>
    <w:p>
      <w:pPr>
        <w:tabs>
          <w:tab w:val="right" w:pos="9000"/>
        </w:tabs>
        <w:spacing w:after="60" w:before="60"/>
      </w:pPr>
      <w:r>
        <w:rPr>
          <w:rFonts w:ascii="Arial" w:cs="Arial" w:eastAsia="Arial" w:hAnsi="Arial"/>
          <w:b w:val="false"/>
          <w:bCs w:val="false"/>
          <w:color w:val="404040"/>
          <w:sz w:val="20"/>
          <w:szCs w:val="20"/>
        </w:rPr>
        <w:t xml:space="preserve">       </w:t>
      </w:r>
      <w:r>
        <w:rPr>
          <w:rFonts w:ascii="Arial" w:cs="Arial" w:eastAsia="Arial" w:hAnsi="Arial"/>
          <w:color w:val="404040"/>
          <w:sz w:val="20"/>
          <w:szCs w:val="20"/>
        </w:rPr>
        <w:t xml:space="preserve">Enrichment &amp; Correlation Service</w:t>
      </w:r>
      <w:r>
        <w:rPr>
          <w:rFonts w:ascii="Arial" w:cs="Arial" w:eastAsia="Arial" w:hAnsi="Arial"/>
          <w:color w:val="404040"/>
          <w:sz w:val="20"/>
          <w:szCs w:val="20"/>
        </w:rPr>
        <w:t xml:space="preserve">	7</w:t>
      </w:r>
    </w:p>
    <w:p>
      <w:pPr>
        <w:tabs>
          <w:tab w:val="right" w:pos="9000"/>
        </w:tabs>
        <w:spacing w:after="60" w:before="60"/>
      </w:pPr>
      <w:r>
        <w:rPr>
          <w:rFonts w:ascii="Arial" w:cs="Arial" w:eastAsia="Arial" w:hAnsi="Arial"/>
          <w:b w:val="false"/>
          <w:bCs w:val="false"/>
          <w:color w:val="404040"/>
          <w:sz w:val="20"/>
          <w:szCs w:val="20"/>
        </w:rPr>
        <w:t xml:space="preserve">       </w:t>
      </w:r>
      <w:r>
        <w:rPr>
          <w:rFonts w:ascii="Arial" w:cs="Arial" w:eastAsia="Arial" w:hAnsi="Arial"/>
          <w:color w:val="404040"/>
          <w:sz w:val="20"/>
          <w:szCs w:val="20"/>
        </w:rPr>
        <w:t xml:space="preserve">Incident Management Service</w:t>
      </w:r>
      <w:r>
        <w:rPr>
          <w:rFonts w:ascii="Arial" w:cs="Arial" w:eastAsia="Arial" w:hAnsi="Arial"/>
          <w:color w:val="404040"/>
          <w:sz w:val="20"/>
          <w:szCs w:val="20"/>
        </w:rPr>
        <w:t xml:space="preserve">	9</w:t>
      </w:r>
    </w:p>
    <w:p>
      <w:pPr>
        <w:tabs>
          <w:tab w:val="right" w:pos="9000"/>
        </w:tabs>
        <w:spacing w:after="60" w:before="60"/>
      </w:pPr>
      <w:r>
        <w:rPr>
          <w:rFonts w:ascii="Arial" w:cs="Arial" w:eastAsia="Arial" w:hAnsi="Arial"/>
          <w:b/>
          <w:bCs/>
          <w:color w:val="1F3864"/>
          <w:sz w:val="20"/>
          <w:szCs w:val="20"/>
        </w:rPr>
        <w:t xml:space="preserve">Part III  —  </w:t>
      </w:r>
      <w:r>
        <w:rPr>
          <w:rFonts w:ascii="Arial" w:cs="Arial" w:eastAsia="Arial" w:hAnsi="Arial"/>
          <w:color w:val="404040"/>
          <w:sz w:val="20"/>
          <w:szCs w:val="20"/>
        </w:rPr>
        <w:t xml:space="preserve">Student B — Muhammad Salman Akbar (SAP: 53002)</w:t>
      </w:r>
      <w:r>
        <w:rPr>
          <w:rFonts w:ascii="Arial" w:cs="Arial" w:eastAsia="Arial" w:hAnsi="Arial"/>
          <w:color w:val="404040"/>
          <w:sz w:val="20"/>
          <w:szCs w:val="20"/>
        </w:rPr>
        <w:t xml:space="preserve">	12</w:t>
      </w:r>
    </w:p>
    <w:p>
      <w:pPr>
        <w:tabs>
          <w:tab w:val="right" w:pos="9000"/>
        </w:tabs>
        <w:spacing w:after="60" w:before="60"/>
      </w:pPr>
      <w:r>
        <w:rPr>
          <w:rFonts w:ascii="Arial" w:cs="Arial" w:eastAsia="Arial" w:hAnsi="Arial"/>
          <w:b w:val="false"/>
          <w:bCs w:val="false"/>
          <w:color w:val="404040"/>
          <w:sz w:val="20"/>
          <w:szCs w:val="20"/>
        </w:rPr>
        <w:t xml:space="preserve">       </w:t>
      </w:r>
      <w:r>
        <w:rPr>
          <w:rFonts w:ascii="Arial" w:cs="Arial" w:eastAsia="Arial" w:hAnsi="Arial"/>
          <w:color w:val="404040"/>
          <w:sz w:val="20"/>
          <w:szCs w:val="20"/>
        </w:rPr>
        <w:t xml:space="preserve">Response Orchestration Service</w:t>
      </w:r>
      <w:r>
        <w:rPr>
          <w:rFonts w:ascii="Arial" w:cs="Arial" w:eastAsia="Arial" w:hAnsi="Arial"/>
          <w:color w:val="404040"/>
          <w:sz w:val="20"/>
          <w:szCs w:val="20"/>
        </w:rPr>
        <w:t xml:space="preserve">	12</w:t>
      </w:r>
    </w:p>
    <w:p>
      <w:pPr>
        <w:tabs>
          <w:tab w:val="right" w:pos="9000"/>
        </w:tabs>
        <w:spacing w:after="60" w:before="60"/>
      </w:pPr>
      <w:r>
        <w:rPr>
          <w:rFonts w:ascii="Arial" w:cs="Arial" w:eastAsia="Arial" w:hAnsi="Arial"/>
          <w:b w:val="false"/>
          <w:bCs w:val="false"/>
          <w:color w:val="404040"/>
          <w:sz w:val="20"/>
          <w:szCs w:val="20"/>
        </w:rPr>
        <w:t xml:space="preserve">       </w:t>
      </w:r>
      <w:r>
        <w:rPr>
          <w:rFonts w:ascii="Arial" w:cs="Arial" w:eastAsia="Arial" w:hAnsi="Arial"/>
          <w:color w:val="404040"/>
          <w:sz w:val="20"/>
          <w:szCs w:val="20"/>
        </w:rPr>
        <w:t xml:space="preserve">Threat Intel Service</w:t>
      </w:r>
      <w:r>
        <w:rPr>
          <w:rFonts w:ascii="Arial" w:cs="Arial" w:eastAsia="Arial" w:hAnsi="Arial"/>
          <w:color w:val="404040"/>
          <w:sz w:val="20"/>
          <w:szCs w:val="20"/>
        </w:rPr>
        <w:t xml:space="preserve">	14</w:t>
      </w:r>
    </w:p>
    <w:p>
      <w:pPr>
        <w:tabs>
          <w:tab w:val="right" w:pos="9000"/>
        </w:tabs>
        <w:spacing w:after="60" w:before="60"/>
      </w:pPr>
      <w:r>
        <w:rPr>
          <w:rFonts w:ascii="Arial" w:cs="Arial" w:eastAsia="Arial" w:hAnsi="Arial"/>
          <w:b w:val="false"/>
          <w:bCs w:val="false"/>
          <w:color w:val="404040"/>
          <w:sz w:val="20"/>
          <w:szCs w:val="20"/>
        </w:rPr>
        <w:t xml:space="preserve">       </w:t>
      </w:r>
      <w:r>
        <w:rPr>
          <w:rFonts w:ascii="Arial" w:cs="Arial" w:eastAsia="Arial" w:hAnsi="Arial"/>
          <w:color w:val="404040"/>
          <w:sz w:val="20"/>
          <w:szCs w:val="20"/>
        </w:rPr>
        <w:t xml:space="preserve">Notification Service</w:t>
      </w:r>
      <w:r>
        <w:rPr>
          <w:rFonts w:ascii="Arial" w:cs="Arial" w:eastAsia="Arial" w:hAnsi="Arial"/>
          <w:color w:val="404040"/>
          <w:sz w:val="20"/>
          <w:szCs w:val="20"/>
        </w:rPr>
        <w:t xml:space="preserve">	16</w:t>
      </w:r>
    </w:p>
    <w:p>
      <w:pPr>
        <w:tabs>
          <w:tab w:val="right" w:pos="9000"/>
        </w:tabs>
        <w:spacing w:after="60" w:before="60"/>
      </w:pPr>
      <w:r>
        <w:rPr>
          <w:rFonts w:ascii="Arial" w:cs="Arial" w:eastAsia="Arial" w:hAnsi="Arial"/>
          <w:b/>
          <w:bCs/>
          <w:color w:val="1F3864"/>
          <w:sz w:val="20"/>
          <w:szCs w:val="20"/>
        </w:rPr>
        <w:t xml:space="preserve">Part IV  —  </w:t>
      </w:r>
      <w:r>
        <w:rPr>
          <w:rFonts w:ascii="Arial" w:cs="Arial" w:eastAsia="Arial" w:hAnsi="Arial"/>
          <w:color w:val="404040"/>
          <w:sz w:val="20"/>
          <w:szCs w:val="20"/>
        </w:rPr>
        <w:t xml:space="preserve">Student C — Muhammad Farhan Ijaz (SAP: 52999)</w:t>
      </w:r>
      <w:r>
        <w:rPr>
          <w:rFonts w:ascii="Arial" w:cs="Arial" w:eastAsia="Arial" w:hAnsi="Arial"/>
          <w:color w:val="404040"/>
          <w:sz w:val="20"/>
          <w:szCs w:val="20"/>
        </w:rPr>
        <w:t xml:space="preserve">	18</w:t>
      </w:r>
    </w:p>
    <w:p>
      <w:pPr>
        <w:tabs>
          <w:tab w:val="right" w:pos="9000"/>
        </w:tabs>
        <w:spacing w:after="60" w:before="60"/>
      </w:pPr>
      <w:r>
        <w:rPr>
          <w:rFonts w:ascii="Arial" w:cs="Arial" w:eastAsia="Arial" w:hAnsi="Arial"/>
          <w:b w:val="false"/>
          <w:bCs w:val="false"/>
          <w:color w:val="404040"/>
          <w:sz w:val="20"/>
          <w:szCs w:val="20"/>
        </w:rPr>
        <w:t xml:space="preserve">       </w:t>
      </w:r>
      <w:r>
        <w:rPr>
          <w:rFonts w:ascii="Arial" w:cs="Arial" w:eastAsia="Arial" w:hAnsi="Arial"/>
          <w:color w:val="404040"/>
          <w:sz w:val="20"/>
          <w:szCs w:val="20"/>
        </w:rPr>
        <w:t xml:space="preserve">SOC Analyst Dashboard (MVC)</w:t>
      </w:r>
      <w:r>
        <w:rPr>
          <w:rFonts w:ascii="Arial" w:cs="Arial" w:eastAsia="Arial" w:hAnsi="Arial"/>
          <w:color w:val="404040"/>
          <w:sz w:val="20"/>
          <w:szCs w:val="20"/>
        </w:rPr>
        <w:t xml:space="preserve">	18</w:t>
      </w:r>
    </w:p>
    <w:p>
      <w:pPr>
        <w:tabs>
          <w:tab w:val="right" w:pos="9000"/>
        </w:tabs>
        <w:spacing w:after="60" w:before="60"/>
      </w:pPr>
      <w:r>
        <w:rPr>
          <w:rFonts w:ascii="Arial" w:cs="Arial" w:eastAsia="Arial" w:hAnsi="Arial"/>
          <w:b w:val="false"/>
          <w:bCs w:val="false"/>
          <w:color w:val="404040"/>
          <w:sz w:val="20"/>
          <w:szCs w:val="20"/>
        </w:rPr>
        <w:t xml:space="preserve">       </w:t>
      </w:r>
      <w:r>
        <w:rPr>
          <w:rFonts w:ascii="Arial" w:cs="Arial" w:eastAsia="Arial" w:hAnsi="Arial"/>
          <w:color w:val="404040"/>
          <w:sz w:val="20"/>
          <w:szCs w:val="20"/>
        </w:rPr>
        <w:t xml:space="preserve">Audit Service &amp; Identity Service</w:t>
      </w:r>
      <w:r>
        <w:rPr>
          <w:rFonts w:ascii="Arial" w:cs="Arial" w:eastAsia="Arial" w:hAnsi="Arial"/>
          <w:color w:val="404040"/>
          <w:sz w:val="20"/>
          <w:szCs w:val="20"/>
        </w:rPr>
        <w:t xml:space="preserve">	20</w:t>
      </w:r>
    </w:p>
    <w:p>
      <w:pPr>
        <w:tabs>
          <w:tab w:val="right" w:pos="9000"/>
        </w:tabs>
        <w:spacing w:after="60" w:before="60"/>
      </w:pPr>
      <w:r>
        <w:rPr>
          <w:rFonts w:ascii="Arial" w:cs="Arial" w:eastAsia="Arial" w:hAnsi="Arial"/>
          <w:b w:val="false"/>
          <w:bCs w:val="false"/>
          <w:color w:val="404040"/>
          <w:sz w:val="20"/>
          <w:szCs w:val="20"/>
        </w:rPr>
        <w:t xml:space="preserve">       </w:t>
      </w:r>
      <w:r>
        <w:rPr>
          <w:rFonts w:ascii="Arial" w:cs="Arial" w:eastAsia="Arial" w:hAnsi="Arial"/>
          <w:color w:val="404040"/>
          <w:sz w:val="20"/>
          <w:szCs w:val="20"/>
        </w:rPr>
        <w:t xml:space="preserve">Event Bus Infrastructure</w:t>
      </w:r>
      <w:r>
        <w:rPr>
          <w:rFonts w:ascii="Arial" w:cs="Arial" w:eastAsia="Arial" w:hAnsi="Arial"/>
          <w:color w:val="404040"/>
          <w:sz w:val="20"/>
          <w:szCs w:val="20"/>
        </w:rPr>
        <w:t xml:space="preserve">	22</w:t>
      </w:r>
    </w:p>
    <w:p>
      <w:pPr>
        <w:tabs>
          <w:tab w:val="right" w:pos="9000"/>
        </w:tabs>
        <w:spacing w:after="60" w:before="60"/>
      </w:pPr>
      <w:r>
        <w:rPr>
          <w:rFonts w:ascii="Arial" w:cs="Arial" w:eastAsia="Arial" w:hAnsi="Arial"/>
          <w:b/>
          <w:bCs/>
          <w:color w:val="1F3864"/>
          <w:sz w:val="20"/>
          <w:szCs w:val="20"/>
        </w:rPr>
        <w:t xml:space="preserve">Part V  —  </w:t>
      </w:r>
      <w:r>
        <w:rPr>
          <w:rFonts w:ascii="Arial" w:cs="Arial" w:eastAsia="Arial" w:hAnsi="Arial"/>
          <w:color w:val="404040"/>
          <w:sz w:val="20"/>
          <w:szCs w:val="20"/>
        </w:rPr>
        <w:t xml:space="preserve">Architecture &amp; UML Diagrams</w:t>
      </w:r>
      <w:r>
        <w:rPr>
          <w:rFonts w:ascii="Arial" w:cs="Arial" w:eastAsia="Arial" w:hAnsi="Arial"/>
          <w:color w:val="404040"/>
          <w:sz w:val="20"/>
          <w:szCs w:val="20"/>
        </w:rPr>
        <w:t xml:space="preserve">	24</w:t>
      </w:r>
    </w:p>
    <w:p>
      <w:pPr>
        <w:tabs>
          <w:tab w:val="right" w:pos="9000"/>
        </w:tabs>
        <w:spacing w:after="60" w:before="60"/>
      </w:pPr>
      <w:r>
        <w:rPr>
          <w:rFonts w:ascii="Arial" w:cs="Arial" w:eastAsia="Arial" w:hAnsi="Arial"/>
          <w:b/>
          <w:bCs/>
          <w:color w:val="1F3864"/>
          <w:sz w:val="20"/>
          <w:szCs w:val="20"/>
        </w:rPr>
        <w:t xml:space="preserve">Part VI  —  </w:t>
      </w:r>
      <w:r>
        <w:rPr>
          <w:rFonts w:ascii="Arial" w:cs="Arial" w:eastAsia="Arial" w:hAnsi="Arial"/>
          <w:color w:val="404040"/>
          <w:sz w:val="20"/>
          <w:szCs w:val="20"/>
        </w:rPr>
        <w:t xml:space="preserve">API Contracts &amp; Event Schema</w:t>
      </w:r>
      <w:r>
        <w:rPr>
          <w:rFonts w:ascii="Arial" w:cs="Arial" w:eastAsia="Arial" w:hAnsi="Arial"/>
          <w:color w:val="404040"/>
          <w:sz w:val="20"/>
          <w:szCs w:val="20"/>
        </w:rPr>
        <w:t xml:space="preserve">	28</w:t>
      </w:r>
    </w:p>
    <w:p>
      <w:pPr>
        <w:tabs>
          <w:tab w:val="right" w:pos="9000"/>
        </w:tabs>
        <w:spacing w:after="60" w:before="60"/>
      </w:pPr>
      <w:r>
        <w:rPr>
          <w:rFonts w:ascii="Arial" w:cs="Arial" w:eastAsia="Arial" w:hAnsi="Arial"/>
          <w:b/>
          <w:bCs/>
          <w:color w:val="1F3864"/>
          <w:sz w:val="20"/>
          <w:szCs w:val="20"/>
        </w:rPr>
        <w:t xml:space="preserve">Part VII  —  </w:t>
      </w:r>
      <w:r>
        <w:rPr>
          <w:rFonts w:ascii="Arial" w:cs="Arial" w:eastAsia="Arial" w:hAnsi="Arial"/>
          <w:color w:val="404040"/>
          <w:sz w:val="20"/>
          <w:szCs w:val="20"/>
        </w:rPr>
        <w:t xml:space="preserve">Testing Strategy</w:t>
      </w:r>
      <w:r>
        <w:rPr>
          <w:rFonts w:ascii="Arial" w:cs="Arial" w:eastAsia="Arial" w:hAnsi="Arial"/>
          <w:color w:val="404040"/>
          <w:sz w:val="20"/>
          <w:szCs w:val="20"/>
        </w:rPr>
        <w:t xml:space="preserve">	30</w:t>
      </w:r>
    </w:p>
    <w:p>
      <w:pPr>
        <w:tabs>
          <w:tab w:val="right" w:pos="9000"/>
        </w:tabs>
        <w:spacing w:after="60" w:before="60"/>
      </w:pPr>
      <w:r>
        <w:rPr>
          <w:rFonts w:ascii="Arial" w:cs="Arial" w:eastAsia="Arial" w:hAnsi="Arial"/>
          <w:b/>
          <w:bCs/>
          <w:color w:val="1F3864"/>
          <w:sz w:val="20"/>
          <w:szCs w:val="20"/>
        </w:rPr>
        <w:t xml:space="preserve">Part VIII  —  </w:t>
      </w:r>
      <w:r>
        <w:rPr>
          <w:rFonts w:ascii="Arial" w:cs="Arial" w:eastAsia="Arial" w:hAnsi="Arial"/>
          <w:color w:val="404040"/>
          <w:sz w:val="20"/>
          <w:szCs w:val="20"/>
        </w:rPr>
        <w:t xml:space="preserve">Architecture Decision Records (ADRs)</w:t>
      </w:r>
      <w:r>
        <w:rPr>
          <w:rFonts w:ascii="Arial" w:cs="Arial" w:eastAsia="Arial" w:hAnsi="Arial"/>
          <w:color w:val="404040"/>
          <w:sz w:val="20"/>
          <w:szCs w:val="20"/>
        </w:rPr>
        <w:t xml:space="preserve">	31</w:t>
      </w:r>
    </w:p>
    <w:p>
      <w:pPr>
        <w:tabs>
          <w:tab w:val="right" w:pos="9000"/>
        </w:tabs>
        <w:spacing w:after="60" w:before="60"/>
      </w:pPr>
      <w:r>
        <w:rPr>
          <w:rFonts w:ascii="Arial" w:cs="Arial" w:eastAsia="Arial" w:hAnsi="Arial"/>
          <w:b/>
          <w:bCs/>
          <w:color w:val="1F3864"/>
          <w:sz w:val="20"/>
          <w:szCs w:val="20"/>
        </w:rPr>
        <w:t xml:space="preserve">Part IX  —  </w:t>
      </w:r>
      <w:r>
        <w:rPr>
          <w:rFonts w:ascii="Arial" w:cs="Arial" w:eastAsia="Arial" w:hAnsi="Arial"/>
          <w:color w:val="404040"/>
          <w:sz w:val="20"/>
          <w:szCs w:val="20"/>
        </w:rPr>
        <w:t xml:space="preserve">Git Repository &amp; Branching Strategy</w:t>
      </w:r>
      <w:r>
        <w:rPr>
          <w:rFonts w:ascii="Arial" w:cs="Arial" w:eastAsia="Arial" w:hAnsi="Arial"/>
          <w:color w:val="404040"/>
          <w:sz w:val="20"/>
          <w:szCs w:val="20"/>
        </w:rPr>
        <w:t xml:space="preserve">	34</w:t>
      </w:r>
    </w:p>
    <w:p>
      <w:pPr>
        <w:tabs>
          <w:tab w:val="right" w:pos="9000"/>
        </w:tabs>
        <w:spacing w:after="60" w:before="60"/>
      </w:pPr>
      <w:r>
        <w:rPr>
          <w:rFonts w:ascii="Arial" w:cs="Arial" w:eastAsia="Arial" w:hAnsi="Arial"/>
          <w:b/>
          <w:bCs/>
          <w:color w:val="1F3864"/>
          <w:sz w:val="20"/>
          <w:szCs w:val="20"/>
        </w:rPr>
        <w:t xml:space="preserve">Part X  —  </w:t>
      </w:r>
      <w:r>
        <w:rPr>
          <w:rFonts w:ascii="Arial" w:cs="Arial" w:eastAsia="Arial" w:hAnsi="Arial"/>
          <w:color w:val="404040"/>
          <w:sz w:val="20"/>
          <w:szCs w:val="20"/>
        </w:rPr>
        <w:t xml:space="preserve">Acceptance Criteria &amp; Grading Rubric</w:t>
      </w:r>
      <w:r>
        <w:rPr>
          <w:rFonts w:ascii="Arial" w:cs="Arial" w:eastAsia="Arial" w:hAnsi="Arial"/>
          <w:color w:val="404040"/>
          <w:sz w:val="20"/>
          <w:szCs w:val="20"/>
        </w:rPr>
        <w:t xml:space="preserve">	36</w:t>
      </w:r>
    </w:p>
    <w:p>
      <w:r>
        <w:br w:type="page"/>
      </w:r>
    </w:p>
    <w:p>
      <w:pPr>
        <w:pStyle w:val="Heading1"/>
        <w:pBdr>
          <w:bottom w:val="single" w:color="2E75B6" w:sz="4"/>
        </w:pBdr>
        <w:shd w:fill="1F3864" w:val="clear"/>
        <w:spacing w:after="180" w:before="360"/>
        <w:ind w:left="200" w:right="200"/>
      </w:pPr>
      <w:r>
        <w:rPr>
          <w:rFonts w:ascii="Arial" w:cs="Arial" w:eastAsia="Arial" w:hAnsi="Arial"/>
          <w:b/>
          <w:bCs/>
          <w:color w:val="FFFFFF"/>
          <w:sz w:val="32"/>
          <w:szCs w:val="32"/>
        </w:rPr>
        <w:t xml:space="preserve">Part I: Project Charter &amp; Overview</w:t>
      </w:r>
    </w:p>
    <w:p>
      <w:pPr>
        <w:pStyle w:val="Heading2"/>
        <w:pBdr>
          <w:bottom w:val="single" w:color="2E75B6" w:sz="2"/>
        </w:pBdr>
        <w:spacing w:after="100" w:before="280"/>
      </w:pPr>
      <w:r>
        <w:rPr>
          <w:rFonts w:ascii="Arial" w:cs="Arial" w:eastAsia="Arial" w:hAnsi="Arial"/>
          <w:b/>
          <w:bCs/>
          <w:color w:val="1F3864"/>
          <w:sz w:val="26"/>
          <w:szCs w:val="26"/>
        </w:rPr>
        <w:t xml:space="preserve">1.1 Executive Summary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6260"/>
      </w:tblGrid>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Project Name</w:t>
            </w:r>
          </w:p>
        </w:tc>
        <w:tc>
          <w:tcPr>
            <w:tcW w:type="dxa" w:w="62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1A1A1A"/>
                <w:sz w:val="20"/>
                <w:szCs w:val="20"/>
              </w:rPr>
              <w:t xml:space="preserve">SDA-Pro — Intelligent Security Operations Center (SOC) Platform</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Team Size</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Students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Duration</w:t>
            </w:r>
          </w:p>
        </w:tc>
        <w:tc>
          <w:tcPr>
            <w:tcW w:type="dxa" w:w="62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1A1A1A"/>
                <w:sz w:val="20"/>
                <w:szCs w:val="20"/>
              </w:rPr>
              <w:t xml:space="preserve">2 Weeks (16-Week Semester)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Domain</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Cybersecurity — Threat Detection &amp; Automated Incident Response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Goal</w:t>
            </w:r>
          </w:p>
        </w:tc>
        <w:tc>
          <w:tcPr>
            <w:tcW w:type="dxa" w:w="62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1A1A1A"/>
                <w:sz w:val="20"/>
                <w:szCs w:val="20"/>
              </w:rPr>
              <w:t xml:space="preserve">Design and implement a distributed SOC platform demonstrating mastery of all 12 design patterns, SOA, MVC, Layered, and Event-Driven architectures</w:t>
            </w:r>
          </w:p>
        </w:tc>
      </w:tr>
    </w:tbl>
    <w:p>
      <w:pPr>
        <w:spacing w:after="0" w:before="160"/>
      </w:pPr>
    </w:p>
    <w:p>
      <w:pPr>
        <w:pStyle w:val="Heading2"/>
        <w:pBdr>
          <w:bottom w:val="single" w:color="2E75B6" w:sz="2"/>
        </w:pBdr>
        <w:spacing w:after="100" w:before="280"/>
      </w:pPr>
      <w:r>
        <w:rPr>
          <w:rFonts w:ascii="Arial" w:cs="Arial" w:eastAsia="Arial" w:hAnsi="Arial"/>
          <w:b/>
          <w:bCs/>
          <w:color w:val="1F3864"/>
          <w:sz w:val="26"/>
          <w:szCs w:val="26"/>
        </w:rPr>
        <w:t xml:space="preserve">1.2 Team Responsibilities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930"/>
        <w:gridCol w:w="2930"/>
      </w:tblGrid>
      <w:tr>
        <w:tc>
          <w:tcPr>
            <w:tcW w:type="dxa" w:w="22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12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SAP ID</w:t>
            </w:r>
          </w:p>
        </w:tc>
        <w:tc>
          <w:tcPr>
            <w:tcW w:type="dxa" w:w="293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Primary Domain</w:t>
            </w:r>
          </w:p>
        </w:tc>
        <w:tc>
          <w:tcPr>
            <w:tcW w:type="dxa" w:w="293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Patterns &amp; Architecture Focus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Threat Pipeline Engineer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53006</w:t>
            </w:r>
          </w:p>
        </w:tc>
        <w:tc>
          <w:tcPr>
            <w:tcW w:type="dxa" w:w="29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Alert Ingestion, Enrichment, Correlation, Persistence</w:t>
            </w:r>
          </w:p>
        </w:tc>
        <w:tc>
          <w:tcPr>
            <w:tcW w:type="dxa" w:w="29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Composite, State, Factory Method, Abstract Factory, Singleton, Strategy</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Integration &amp; Response Engineer</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53002</w:t>
            </w:r>
          </w:p>
        </w:tc>
        <w:tc>
          <w:tcPr>
            <w:tcW w:type="dxa" w:w="293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Threat Intel Integration, Response Orchestration, Security Middleware</w:t>
            </w:r>
          </w:p>
        </w:tc>
        <w:tc>
          <w:tcPr>
            <w:tcW w:type="dxa" w:w="293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Adapter, Decorator, Proxy, Facade, Chain of Responsibility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SOC Platform Engineer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52999</w:t>
            </w:r>
          </w:p>
        </w:tc>
        <w:tc>
          <w:tcPr>
            <w:tcW w:type="dxa" w:w="29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Analyst Dashboard, Event Bus, SOA Orchestration, Real-Time Systems</w:t>
            </w:r>
          </w:p>
        </w:tc>
        <w:tc>
          <w:tcPr>
            <w:tcW w:type="dxa" w:w="29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MVC, Observer, SOA, Event-Driven, Layered Architecture</w:t>
            </w:r>
          </w:p>
        </w:tc>
      </w:tr>
    </w:tbl>
    <w:p>
      <w:pPr>
        <w:spacing w:after="0" w:before="160"/>
      </w:pPr>
    </w:p>
    <w:p>
      <w:pPr>
        <w:pStyle w:val="Heading2"/>
        <w:pBdr>
          <w:bottom w:val="single" w:color="2E75B6" w:sz="2"/>
        </w:pBdr>
        <w:spacing w:after="100" w:before="280"/>
      </w:pPr>
      <w:r>
        <w:rPr>
          <w:rFonts w:ascii="Arial" w:cs="Arial" w:eastAsia="Arial" w:hAnsi="Arial"/>
          <w:b/>
          <w:bCs/>
          <w:color w:val="1F3864"/>
          <w:sz w:val="26"/>
          <w:szCs w:val="26"/>
        </w:rPr>
        <w:t xml:space="preserve">1.3 Core Functional Requirements</w:t>
      </w:r>
    </w:p>
    <w:p>
      <w:pPr>
        <w:pStyle w:val="Heading3"/>
        <w:spacing w:after="80" w:before="200"/>
      </w:pPr>
      <w:r>
        <w:rPr>
          <w:rFonts w:ascii="Arial" w:cs="Arial" w:eastAsia="Arial" w:hAnsi="Arial"/>
          <w:b/>
          <w:bCs/>
          <w:color w:val="2E75B6"/>
          <w:sz w:val="22"/>
          <w:szCs w:val="22"/>
        </w:rPr>
        <w:t xml:space="preserve">A. Alert Ingestion &amp; Normalization Engine</w:t>
      </w:r>
    </w:p>
    <w:p>
      <w:pPr>
        <w:pStyle w:val="ListParagraph"/>
        <w:numPr>
          <w:ilvl w:val="0"/>
          <w:numId w:val="2"/>
        </w:numPr>
        <w:spacing w:after="40" w:before="40"/>
      </w:pPr>
      <w:r>
        <w:rPr>
          <w:rFonts w:ascii="Arial" w:cs="Arial" w:eastAsia="Arial" w:hAnsi="Arial"/>
          <w:color w:val="1A1A1A"/>
          <w:sz w:val="20"/>
          <w:szCs w:val="20"/>
        </w:rPr>
        <w:t xml:space="preserve">Ingest security alerts from heterogeneous sources: Firewall logs, EDR endpoints, Cloud SIEM (Splunk-like), Threat Intelligence feeds</w:t>
      </w:r>
    </w:p>
    <w:p>
      <w:pPr>
        <w:pStyle w:val="ListParagraph"/>
        <w:numPr>
          <w:ilvl w:val="0"/>
          <w:numId w:val="2"/>
        </w:numPr>
        <w:spacing w:after="40" w:before="40"/>
      </w:pPr>
      <w:r>
        <w:rPr>
          <w:rFonts w:ascii="Arial" w:cs="Arial" w:eastAsia="Arial" w:hAnsi="Arial"/>
          <w:color w:val="1A1A1A"/>
          <w:sz w:val="20"/>
          <w:szCs w:val="20"/>
        </w:rPr>
        <w:t xml:space="preserve">Normalize raw alerts into a canonical Alert model regardless of source format</w:t>
      </w:r>
    </w:p>
    <w:p>
      <w:pPr>
        <w:pStyle w:val="ListParagraph"/>
        <w:numPr>
          <w:ilvl w:val="0"/>
          <w:numId w:val="2"/>
        </w:numPr>
        <w:spacing w:after="40" w:before="40"/>
      </w:pPr>
      <w:r>
        <w:rPr>
          <w:rFonts w:ascii="Arial" w:cs="Arial" w:eastAsia="Arial" w:hAnsi="Arial"/>
          <w:color w:val="1A1A1A"/>
          <w:sz w:val="20"/>
          <w:szCs w:val="20"/>
        </w:rPr>
        <w:t xml:space="preserve">Support both push (webhooks) and pull (polling APIs) ingestion modes</w:t>
      </w:r>
    </w:p>
    <w:p>
      <w:pPr>
        <w:pStyle w:val="Heading3"/>
        <w:spacing w:after="80" w:before="200"/>
      </w:pPr>
      <w:r>
        <w:rPr>
          <w:rFonts w:ascii="Arial" w:cs="Arial" w:eastAsia="Arial" w:hAnsi="Arial"/>
          <w:b/>
          <w:bCs/>
          <w:color w:val="2E75B6"/>
          <w:sz w:val="22"/>
          <w:szCs w:val="22"/>
        </w:rPr>
        <w:t xml:space="preserve">B. Alert Enrichment &amp; Correlation Pipeline</w:t>
      </w:r>
    </w:p>
    <w:p>
      <w:pPr>
        <w:pStyle w:val="ListParagraph"/>
        <w:numPr>
          <w:ilvl w:val="0"/>
          <w:numId w:val="2"/>
        </w:numPr>
        <w:spacing w:after="40" w:before="40"/>
      </w:pPr>
      <w:r>
        <w:rPr>
          <w:rFonts w:ascii="Arial" w:cs="Arial" w:eastAsia="Arial" w:hAnsi="Arial"/>
          <w:color w:val="1A1A1A"/>
          <w:sz w:val="20"/>
          <w:szCs w:val="20"/>
        </w:rPr>
        <w:t xml:space="preserve">Enrich alerts with context: Geo-IP location, Threat Intel reputation scores, Asset criticality, User identity &amp; privilege level</w:t>
      </w:r>
    </w:p>
    <w:p>
      <w:pPr>
        <w:pStyle w:val="ListParagraph"/>
        <w:numPr>
          <w:ilvl w:val="0"/>
          <w:numId w:val="2"/>
        </w:numPr>
        <w:spacing w:after="40" w:before="40"/>
      </w:pPr>
      <w:r>
        <w:rPr>
          <w:rFonts w:ascii="Arial" w:cs="Arial" w:eastAsia="Arial" w:hAnsi="Arial"/>
          <w:color w:val="1A1A1A"/>
          <w:sz w:val="20"/>
          <w:szCs w:val="20"/>
        </w:rPr>
        <w:t xml:space="preserve">Composite Alert Grouping: Individual alerts grouped into Campaigns or Incident Clusters</w:t>
      </w:r>
    </w:p>
    <w:p>
      <w:pPr>
        <w:pStyle w:val="ListParagraph"/>
        <w:numPr>
          <w:ilvl w:val="0"/>
          <w:numId w:val="2"/>
        </w:numPr>
        <w:spacing w:after="40" w:before="40"/>
      </w:pPr>
      <w:r>
        <w:rPr>
          <w:rFonts w:ascii="Arial" w:cs="Arial" w:eastAsia="Arial" w:hAnsi="Arial"/>
          <w:color w:val="1A1A1A"/>
          <w:sz w:val="20"/>
          <w:szCs w:val="20"/>
        </w:rPr>
        <w:t xml:space="preserve">Chain of enrichment: Each alert passes through a configurable pipeline of enrichment handlers</w:t>
      </w:r>
    </w:p>
    <w:p>
      <w:pPr>
        <w:pStyle w:val="Heading3"/>
        <w:spacing w:after="80" w:before="200"/>
      </w:pPr>
      <w:r>
        <w:rPr>
          <w:rFonts w:ascii="Arial" w:cs="Arial" w:eastAsia="Arial" w:hAnsi="Arial"/>
          <w:b/>
          <w:bCs/>
          <w:color w:val="2E75B6"/>
          <w:sz w:val="22"/>
          <w:szCs w:val="22"/>
        </w:rPr>
        <w:t xml:space="preserve">C. Incident Lifecycle Management</w:t>
      </w:r>
    </w:p>
    <w:p>
      <w:pPr>
        <w:pStyle w:val="ListParagraph"/>
        <w:numPr>
          <w:ilvl w:val="0"/>
          <w:numId w:val="2"/>
        </w:numPr>
        <w:spacing w:after="40" w:before="40"/>
      </w:pPr>
      <w:r>
        <w:rPr>
          <w:rFonts w:ascii="Arial" w:cs="Arial" w:eastAsia="Arial" w:hAnsi="Arial"/>
          <w:color w:val="1A1A1A"/>
          <w:sz w:val="20"/>
          <w:szCs w:val="20"/>
        </w:rPr>
        <w:t xml:space="preserve">Incidents transition through states: New → Under Triage → Containment → Eradication → Recovery → Post-Incident Review → Closed</w:t>
      </w:r>
    </w:p>
    <w:p>
      <w:pPr>
        <w:pStyle w:val="ListParagraph"/>
        <w:numPr>
          <w:ilvl w:val="0"/>
          <w:numId w:val="2"/>
        </w:numPr>
        <w:spacing w:after="40" w:before="40"/>
      </w:pPr>
      <w:r>
        <w:rPr>
          <w:rFonts w:ascii="Arial" w:cs="Arial" w:eastAsia="Arial" w:hAnsi="Arial"/>
          <w:color w:val="1A1A1A"/>
          <w:sz w:val="20"/>
          <w:szCs w:val="20"/>
        </w:rPr>
        <w:t xml:space="preserve">State-dependent behavior: only certain response actions available in specific states</w:t>
      </w:r>
    </w:p>
    <w:p>
      <w:pPr>
        <w:pStyle w:val="ListParagraph"/>
        <w:numPr>
          <w:ilvl w:val="0"/>
          <w:numId w:val="2"/>
        </w:numPr>
        <w:spacing w:after="40" w:before="40"/>
      </w:pPr>
      <w:r>
        <w:rPr>
          <w:rFonts w:ascii="Arial" w:cs="Arial" w:eastAsia="Arial" w:hAnsi="Arial"/>
          <w:color w:val="1A1A1A"/>
          <w:sz w:val="20"/>
          <w:szCs w:val="20"/>
        </w:rPr>
        <w:t xml:space="preserve">Automated state transitions triggered by response action outcomes</w:t>
      </w:r>
    </w:p>
    <w:p>
      <w:pPr>
        <w:pStyle w:val="Heading3"/>
        <w:spacing w:after="80" w:before="200"/>
      </w:pPr>
      <w:r>
        <w:rPr>
          <w:rFonts w:ascii="Arial" w:cs="Arial" w:eastAsia="Arial" w:hAnsi="Arial"/>
          <w:b/>
          <w:bCs/>
          <w:color w:val="2E75B6"/>
          <w:sz w:val="22"/>
          <w:szCs w:val="22"/>
        </w:rPr>
        <w:t xml:space="preserve">D. Automated Response Orchestration</w:t>
      </w:r>
    </w:p>
    <w:p>
      <w:pPr>
        <w:pStyle w:val="ListParagraph"/>
        <w:numPr>
          <w:ilvl w:val="0"/>
          <w:numId w:val="2"/>
        </w:numPr>
        <w:spacing w:after="40" w:before="40"/>
      </w:pPr>
      <w:r>
        <w:rPr>
          <w:rFonts w:ascii="Arial" w:cs="Arial" w:eastAsia="Arial" w:hAnsi="Arial"/>
          <w:color w:val="1A1A1A"/>
          <w:sz w:val="20"/>
          <w:szCs w:val="20"/>
        </w:rPr>
        <w:t xml:space="preserve">Execute response actions: Isolate Endpoint, Block IP/Domain, Disable User Account, Quarantine File, Escalate to Tier-3 Analyst</w:t>
      </w:r>
    </w:p>
    <w:p>
      <w:pPr>
        <w:pStyle w:val="ListParagraph"/>
        <w:numPr>
          <w:ilvl w:val="0"/>
          <w:numId w:val="2"/>
        </w:numPr>
        <w:spacing w:after="40" w:before="40"/>
      </w:pPr>
      <w:r>
        <w:rPr>
          <w:rFonts w:ascii="Arial" w:cs="Arial" w:eastAsia="Arial" w:hAnsi="Arial"/>
          <w:color w:val="1A1A1A"/>
          <w:sz w:val="20"/>
          <w:szCs w:val="20"/>
        </w:rPr>
        <w:t xml:space="preserve">Strategy-based response selection based on incident severity, asset criticality, and business context</w:t>
      </w:r>
    </w:p>
    <w:p>
      <w:pPr>
        <w:pStyle w:val="ListParagraph"/>
        <w:numPr>
          <w:ilvl w:val="0"/>
          <w:numId w:val="2"/>
        </w:numPr>
        <w:spacing w:after="40" w:before="40"/>
      </w:pPr>
      <w:r>
        <w:rPr>
          <w:rFonts w:ascii="Arial" w:cs="Arial" w:eastAsia="Arial" w:hAnsi="Arial"/>
          <w:color w:val="1A1A1A"/>
          <w:sz w:val="20"/>
          <w:szCs w:val="20"/>
        </w:rPr>
        <w:t xml:space="preserve">Response actions decorated with logging, approval gates, and rollback capabilities</w:t>
      </w:r>
    </w:p>
    <w:p>
      <w:pPr>
        <w:pStyle w:val="Heading3"/>
        <w:spacing w:after="80" w:before="200"/>
      </w:pPr>
      <w:r>
        <w:rPr>
          <w:rFonts w:ascii="Arial" w:cs="Arial" w:eastAsia="Arial" w:hAnsi="Arial"/>
          <w:b/>
          <w:bCs/>
          <w:color w:val="2E75B6"/>
          <w:sz w:val="22"/>
          <w:szCs w:val="22"/>
        </w:rPr>
        <w:t xml:space="preserve">E. Threat Intelligence Integration</w:t>
      </w:r>
    </w:p>
    <w:p>
      <w:pPr>
        <w:pStyle w:val="ListParagraph"/>
        <w:numPr>
          <w:ilvl w:val="0"/>
          <w:numId w:val="2"/>
        </w:numPr>
        <w:spacing w:after="40" w:before="40"/>
      </w:pPr>
      <w:r>
        <w:rPr>
          <w:rFonts w:ascii="Arial" w:cs="Arial" w:eastAsia="Arial" w:hAnsi="Arial"/>
          <w:color w:val="1A1A1A"/>
          <w:sz w:val="20"/>
          <w:szCs w:val="20"/>
        </w:rPr>
        <w:t xml:space="preserve">Integrate external threat intel providers (VirusTotal, MISP, custom feeds)</w:t>
      </w:r>
    </w:p>
    <w:p>
      <w:pPr>
        <w:pStyle w:val="ListParagraph"/>
        <w:numPr>
          <w:ilvl w:val="0"/>
          <w:numId w:val="2"/>
        </w:numPr>
        <w:spacing w:after="40" w:before="40"/>
      </w:pPr>
      <w:r>
        <w:rPr>
          <w:rFonts w:ascii="Arial" w:cs="Arial" w:eastAsia="Arial" w:hAnsi="Arial"/>
          <w:color w:val="1A1A1A"/>
          <w:sz w:val="20"/>
          <w:szCs w:val="20"/>
        </w:rPr>
        <w:t xml:space="preserve">Proxy layer handles caching, rate limiting, and access control for external APIs</w:t>
      </w:r>
    </w:p>
    <w:p>
      <w:pPr>
        <w:pStyle w:val="ListParagraph"/>
        <w:numPr>
          <w:ilvl w:val="0"/>
          <w:numId w:val="2"/>
        </w:numPr>
        <w:spacing w:after="40" w:before="40"/>
      </w:pPr>
      <w:r>
        <w:rPr>
          <w:rFonts w:ascii="Arial" w:cs="Arial" w:eastAsia="Arial" w:hAnsi="Arial"/>
          <w:color w:val="1A1A1A"/>
          <w:sz w:val="20"/>
          <w:szCs w:val="20"/>
        </w:rPr>
        <w:t xml:space="preserve">Adapter layer normalizes disparate threat intel formats</w:t>
      </w:r>
    </w:p>
    <w:p>
      <w:pPr>
        <w:spacing w:after="0" w:before="160"/>
      </w:pPr>
    </w:p>
    <w:p>
      <w:pPr>
        <w:pStyle w:val="Heading2"/>
        <w:pBdr>
          <w:bottom w:val="single" w:color="2E75B6" w:sz="2"/>
        </w:pBdr>
        <w:spacing w:after="100" w:before="280"/>
      </w:pPr>
      <w:r>
        <w:rPr>
          <w:rFonts w:ascii="Arial" w:cs="Arial" w:eastAsia="Arial" w:hAnsi="Arial"/>
          <w:b/>
          <w:bCs/>
          <w:color w:val="1F3864"/>
          <w:sz w:val="26"/>
          <w:szCs w:val="26"/>
        </w:rPr>
        <w:t xml:space="preserve">1.4 Mandatory Patterns &amp; Architecture Mapping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860"/>
      </w:tblGrid>
      <w:tr>
        <w:tc>
          <w:tcPr>
            <w:tcW w:type="dxa" w:w="22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Pattern</w:t>
            </w:r>
          </w:p>
        </w:tc>
        <w:tc>
          <w:tcPr>
            <w:tcW w:type="dxa" w:w="32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Location / Subsystem</w:t>
            </w:r>
          </w:p>
        </w:tc>
        <w:tc>
          <w:tcPr>
            <w:tcW w:type="dxa" w:w="386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Justification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Singleton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AlertIngestionConfig, ThreatIntelCache, EventBusPublisher</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 source of truth for config, shared cache, event coordination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Factory Method</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AlertNormalizerFactory, ResponseActionFactory</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Different sources produce different alert formats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Abstract Factory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EnrichmentProviderFactory, NotifierFactory</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families of related providers (GeoIP + ThreatIntel + AssetDB)</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Composite</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Alert → AlertCampaign / IncidentCluster tree</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Campaigns contain Alerts; both analyzed and responded to uniformly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Facade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IncidentResponseFacade</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Simplifies complex subsystem of state validation, action execution, logging</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Adapter</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SplunkAdapter, CrowdStrikeAdapter, VirusTotalAdapter, MISPAdapter</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Convert external APIs to SDA-Pro canonical interfaces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Decorator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EnrichmentDecorator, ApprovalGateDecorator, AuditLogDecorator</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enrichment, approval, logging, rollback dynamically to response actions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Proxy</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ThreatIntelProxy (caching + rate limiting), ResponseActionProxy</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Control access to expensive external APIs, enforce authorization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Incident lifecycle: NewState → TriageState → ... → ClosedState</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Encapsulate state-specific behavior and legal transitions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Chain of Responsibility</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DeduplicationHandler → EnrichmentHandler → ClassificationHandler → RoutingHandler</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Decouple alert processing stages; allow dynamic pipeline configuration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Observer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IncidentEventPublisher / DashboardUpdater, AuditLogger, NotificationDispatcher</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Maintain consistency across loosely coupled subsystems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Strategy</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AggressiveContainmentStrategy, BalancedStrategy, ConservativeStrategy, WatchAndWaitStrategy</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Interchangeable response algorithms based on incident severity</w:t>
            </w:r>
          </w:p>
        </w:tc>
      </w:tr>
    </w:tbl>
    <w:p>
      <w:r>
        <w:br w:type="page"/>
      </w:r>
    </w:p>
    <w:p>
      <w:pPr>
        <w:pStyle w:val="Heading1"/>
        <w:pBdr>
          <w:bottom w:val="single" w:color="2E75B6" w:sz="4"/>
        </w:pBdr>
        <w:shd w:fill="1F3864" w:val="clear"/>
        <w:spacing w:after="180" w:before="360"/>
        <w:ind w:left="200" w:right="200"/>
      </w:pPr>
      <w:r>
        <w:rPr>
          <w:rFonts w:ascii="Arial" w:cs="Arial" w:eastAsia="Arial" w:hAnsi="Arial"/>
          <w:b/>
          <w:bCs/>
          <w:color w:val="FFFFFF"/>
          <w:sz w:val="32"/>
          <w:szCs w:val="32"/>
        </w:rPr>
        <w:t xml:space="preserve">Part II: Student A — Sudais Malik (SAP: 53006)</w:t>
      </w:r>
    </w:p>
    <w:p>
      <w:pPr>
        <w:spacing w:after="160" w:before="80"/>
      </w:pPr>
      <w:r>
        <w:rPr>
          <w:rFonts w:ascii="Arial" w:cs="Arial" w:eastAsia="Arial" w:hAnsi="Arial"/>
          <w:b/>
          <w:bCs/>
          <w:i/>
          <w:iCs/>
          <w:color w:val="2E75B6"/>
          <w:sz w:val="22"/>
          <w:szCs w:val="22"/>
        </w:rPr>
        <w:t xml:space="preserve">Primary Domain: Threat Pipeline Engineer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75B6" w:sz="1"/>
              <w:left w:val="single" w:color="2E75B6" w:sz="8"/>
              <w:bottom w:val="single" w:color="2E75B6" w:sz="1"/>
              <w:right w:val="single" w:color="2E75B6" w:sz="1"/>
            </w:tcBorders>
            <w:shd w:fill="EEF4FB" w:val="clear"/>
            <w:tcMar>
              <w:top w:type="dxa" w:w="80"/>
              <w:left w:type="dxa" w:w="200"/>
              <w:bottom w:type="dxa" w:w="80"/>
              <w:right w:type="dxa" w:w="120"/>
            </w:tcMar>
          </w:tcPr>
          <w:p>
            <w:pPr>
              <w:spacing w:after="60" w:before="60"/>
            </w:pPr>
            <w:r>
              <w:rPr>
                <w:rFonts w:ascii="Arial" w:cs="Arial" w:eastAsia="Arial" w:hAnsi="Arial"/>
                <w:b/>
                <w:bCs/>
                <w:color w:val="1F3864"/>
                <w:sz w:val="20"/>
                <w:szCs w:val="20"/>
              </w:rPr>
              <w:t xml:space="preserve">Patterns Owned by Student A</w:t>
            </w:r>
          </w:p>
          <w:p>
            <w:pPr>
              <w:pStyle w:val="ListParagraph"/>
              <w:numPr>
                <w:ilvl w:val="0"/>
                <w:numId w:val="2"/>
              </w:numPr>
              <w:spacing w:after="30" w:before="30"/>
            </w:pPr>
            <w:r>
              <w:rPr>
                <w:rFonts w:ascii="Arial" w:cs="Arial" w:eastAsia="Arial" w:hAnsi="Arial"/>
                <w:color w:val="404040"/>
                <w:sz w:val="19"/>
                <w:szCs w:val="19"/>
              </w:rPr>
              <w:t xml:space="preserve">Singleton — IngestionConfigManager, ThreatIntelCache</w:t>
            </w:r>
          </w:p>
          <w:p>
            <w:pPr>
              <w:pStyle w:val="ListParagraph"/>
              <w:numPr>
                <w:ilvl w:val="0"/>
                <w:numId w:val="2"/>
              </w:numPr>
              <w:spacing w:after="30" w:before="30"/>
            </w:pPr>
            <w:r>
              <w:rPr>
                <w:rFonts w:ascii="Arial" w:cs="Arial" w:eastAsia="Arial" w:hAnsi="Arial"/>
                <w:color w:val="404040"/>
                <w:sz w:val="19"/>
                <w:szCs w:val="19"/>
              </w:rPr>
              <w:t xml:space="preserve">Composite — Alert, AlertCampaign, IncidentCluster</w:t>
            </w:r>
          </w:p>
          <w:p>
            <w:pPr>
              <w:pStyle w:val="ListParagraph"/>
              <w:numPr>
                <w:ilvl w:val="0"/>
                <w:numId w:val="2"/>
              </w:numPr>
              <w:spacing w:after="30" w:before="30"/>
            </w:pPr>
            <w:r>
              <w:rPr>
                <w:rFonts w:ascii="Arial" w:cs="Arial" w:eastAsia="Arial" w:hAnsi="Arial"/>
                <w:color w:val="404040"/>
                <w:sz w:val="19"/>
                <w:szCs w:val="19"/>
              </w:rPr>
              <w:t xml:space="preserve">Factory Method — AlertNormalizerFactory</w:t>
            </w:r>
          </w:p>
          <w:p>
            <w:pPr>
              <w:pStyle w:val="ListParagraph"/>
              <w:numPr>
                <w:ilvl w:val="0"/>
                <w:numId w:val="2"/>
              </w:numPr>
              <w:spacing w:after="30" w:before="30"/>
            </w:pPr>
            <w:r>
              <w:rPr>
                <w:rFonts w:ascii="Arial" w:cs="Arial" w:eastAsia="Arial" w:hAnsi="Arial"/>
                <w:color w:val="404040"/>
                <w:sz w:val="19"/>
                <w:szCs w:val="19"/>
              </w:rPr>
              <w:t xml:space="preserve">Abstract Factory — EnrichmentProviderFactory</w:t>
            </w:r>
          </w:p>
          <w:p>
            <w:pPr>
              <w:pStyle w:val="ListParagraph"/>
              <w:numPr>
                <w:ilvl w:val="0"/>
                <w:numId w:val="2"/>
              </w:numPr>
              <w:spacing w:after="30" w:before="30"/>
            </w:pPr>
            <w:r>
              <w:rPr>
                <w:rFonts w:ascii="Arial" w:cs="Arial" w:eastAsia="Arial" w:hAnsi="Arial"/>
                <w:color w:val="404040"/>
                <w:sz w:val="19"/>
                <w:szCs w:val="19"/>
              </w:rPr>
              <w:t xml:space="preserve">Chain of Responsibility — Enrichment Pipeline (5 handlers)</w:t>
            </w:r>
          </w:p>
          <w:p>
            <w:pPr>
              <w:pStyle w:val="ListParagraph"/>
              <w:numPr>
                <w:ilvl w:val="0"/>
                <w:numId w:val="2"/>
              </w:numPr>
              <w:spacing w:after="30" w:before="30"/>
            </w:pPr>
            <w:r>
              <w:rPr>
                <w:rFonts w:ascii="Arial" w:cs="Arial" w:eastAsia="Arial" w:hAnsi="Arial"/>
                <w:color w:val="404040"/>
                <w:sz w:val="19"/>
                <w:szCs w:val="19"/>
              </w:rPr>
              <w:t xml:space="preserve">State — Incident lifecycle (7 states)</w:t>
            </w:r>
          </w:p>
          <w:p>
            <w:pPr>
              <w:pStyle w:val="ListParagraph"/>
              <w:numPr>
                <w:ilvl w:val="0"/>
                <w:numId w:val="2"/>
              </w:numPr>
              <w:spacing w:after="30" w:before="30"/>
            </w:pPr>
            <w:r>
              <w:rPr>
                <w:rFonts w:ascii="Arial" w:cs="Arial" w:eastAsia="Arial" w:hAnsi="Arial"/>
                <w:color w:val="404040"/>
                <w:sz w:val="19"/>
                <w:szCs w:val="19"/>
              </w:rPr>
              <w:t xml:space="preserve">Strategy — Correlation algorithms (via enrichment-correlation-service)</w:t>
            </w:r>
          </w:p>
        </w:tc>
      </w:tr>
    </w:tbl>
    <w:p>
      <w:pPr>
        <w:spacing w:after="0" w:before="200"/>
      </w:pPr>
    </w:p>
    <w:p>
      <w:pPr>
        <w:pStyle w:val="Heading2"/>
        <w:pBdr>
          <w:bottom w:val="single" w:color="2E75B6" w:sz="2"/>
        </w:pBdr>
        <w:spacing w:after="100" w:before="280"/>
      </w:pPr>
      <w:r>
        <w:rPr>
          <w:rFonts w:ascii="Arial" w:cs="Arial" w:eastAsia="Arial" w:hAnsi="Arial"/>
          <w:b/>
          <w:bCs/>
          <w:color w:val="1F3864"/>
          <w:sz w:val="26"/>
          <w:szCs w:val="26"/>
        </w:rPr>
        <w:t xml:space="preserve">2.1 Alert Ingestion Service</w:t>
      </w:r>
    </w:p>
    <w:p>
      <w:pPr>
        <w:pStyle w:val="Heading3"/>
        <w:spacing w:after="80" w:before="200"/>
      </w:pPr>
      <w:r>
        <w:rPr>
          <w:rFonts w:ascii="Arial" w:cs="Arial" w:eastAsia="Arial" w:hAnsi="Arial"/>
          <w:b/>
          <w:bCs/>
          <w:color w:val="2E75B6"/>
          <w:sz w:val="22"/>
          <w:szCs w:val="22"/>
        </w:rPr>
        <w:t xml:space="preserve">2.1.1 Service Overview</w:t>
      </w:r>
    </w:p>
    <w:p>
      <w:pPr>
        <w:spacing w:after="60" w:before="60"/>
      </w:pPr>
      <w:r>
        <w:rPr>
          <w:rFonts w:ascii="Arial" w:cs="Arial" w:eastAsia="Arial" w:hAnsi="Arial"/>
          <w:color w:val="1A1A1A"/>
          <w:sz w:val="20"/>
          <w:szCs w:val="20"/>
        </w:rPr>
        <w:t xml:space="preserve">The Alert Ingestion Service is the entry point for all incoming security events. It supports both push-based (webhook) and pull-based (polling) ingestion modes. Raw payloads from heterogeneous sources are validated, authenticated, and normalized into a canonical Alert model using the Factory Method pattern.</w:t>
      </w:r>
    </w:p>
    <w:p>
      <w:pPr>
        <w:spacing w:after="0" w:before="80"/>
      </w:pPr>
    </w:p>
    <w:p>
      <w:pPr>
        <w:pStyle w:val="Heading3"/>
        <w:spacing w:after="80" w:before="200"/>
      </w:pPr>
      <w:r>
        <w:rPr>
          <w:rFonts w:ascii="Arial" w:cs="Arial" w:eastAsia="Arial" w:hAnsi="Arial"/>
          <w:b/>
          <w:bCs/>
          <w:color w:val="2E75B6"/>
          <w:sz w:val="22"/>
          <w:szCs w:val="22"/>
        </w:rPr>
        <w:t xml:space="preserve">2.1.2 Design Patterns Applied</w:t>
      </w:r>
    </w:p>
    <w:p>
      <w:pPr>
        <w:pStyle w:val="Heading3"/>
        <w:spacing w:after="80" w:before="200"/>
      </w:pPr>
      <w:r>
        <w:rPr>
          <w:rFonts w:ascii="Arial" w:cs="Arial" w:eastAsia="Arial" w:hAnsi="Arial"/>
          <w:b/>
          <w:bCs/>
          <w:color w:val="2E75B6"/>
          <w:sz w:val="22"/>
          <w:szCs w:val="22"/>
        </w:rPr>
        <w:t xml:space="preserve">Pattern 1: Factory Method — AlertNormalizerFactory</w:t>
      </w:r>
    </w:p>
    <w:p>
      <w:pPr>
        <w:spacing w:after="60" w:before="60"/>
      </w:pPr>
      <w:r>
        <w:rPr>
          <w:rFonts w:ascii="Arial" w:cs="Arial" w:eastAsia="Arial" w:hAnsi="Arial"/>
          <w:color w:val="1A1A1A"/>
          <w:sz w:val="20"/>
          <w:szCs w:val="20"/>
        </w:rPr>
        <w:t xml:space="preserve">Different alert sources (Splunk, CrowdStrike, Firewall, Cloud SIEM) produce different JSON schemas. The Factory Method pattern is used to instantiate the correct normalizer at runtime without coupling the ingestion logic to any specific normalizer implementation.</w:t>
      </w:r>
    </w:p>
    <w:p>
      <w:pPr>
        <w:spacing w:after="0" w:before="60"/>
      </w:pPr>
    </w:p>
    <w:p>
      <w:r>
        <w:rPr>
          <w:rFonts w:ascii="Arial" w:cs="Arial" w:eastAsia="Arial" w:hAnsi="Arial"/>
          <w:b/>
          <w:bCs/>
          <w:color w:val="1A1A1A"/>
          <w:sz w:val="20"/>
          <w:szCs w:val="20"/>
        </w:rPr>
        <w:t xml:space="preserve">Code Annotation Requirement:</w:t>
      </w:r>
      <w:r>
        <w:rPr>
          <w:rFonts w:ascii="Arial" w:cs="Arial" w:eastAsia="Arial" w:hAnsi="Arial"/>
          <w:color w:val="1A1A1A"/>
          <w:sz w:val="20"/>
          <w:szCs w:val="20"/>
        </w:rPr>
        <w:t xml:space="preserve">  // PATTERN: Factory Method — AlertNormalizerFactory</w:t>
      </w:r>
    </w:p>
    <w:p>
      <w:pPr>
        <w:spacing w:after="0" w:before="80"/>
      </w:pPr>
    </w:p>
    <w:p>
      <w:pPr>
        <w:pStyle w:val="Heading3"/>
        <w:spacing w:after="80" w:before="200"/>
      </w:pPr>
      <w:r>
        <w:rPr>
          <w:rFonts w:ascii="Arial" w:cs="Arial" w:eastAsia="Arial" w:hAnsi="Arial"/>
          <w:b/>
          <w:bCs/>
          <w:color w:val="2E75B6"/>
          <w:sz w:val="22"/>
          <w:szCs w:val="22"/>
        </w:rPr>
        <w:t xml:space="preserve">Screenshot Placeholder — AlertNormalizerFactory Code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4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AlertNormalizerFactory.java — Factory Method Implementation</w:t>
            </w:r>
          </w:p>
        </w:tc>
      </w:tr>
    </w:tbl>
    <w:p>
      <w:pPr>
        <w:spacing w:after="0" w:before="120"/>
      </w:pPr>
    </w:p>
    <w:p>
      <w:pPr>
        <w:pStyle w:val="Heading3"/>
        <w:spacing w:after="80" w:before="200"/>
      </w:pPr>
      <w:r>
        <w:rPr>
          <w:rFonts w:ascii="Arial" w:cs="Arial" w:eastAsia="Arial" w:hAnsi="Arial"/>
          <w:b/>
          <w:bCs/>
          <w:color w:val="2E75B6"/>
          <w:sz w:val="22"/>
          <w:szCs w:val="22"/>
        </w:rPr>
        <w:t xml:space="preserve">Pattern 2: Singleton — IngestionConfigManager</w:t>
      </w:r>
    </w:p>
    <w:p>
      <w:pPr>
        <w:spacing w:after="60" w:before="60"/>
      </w:pPr>
      <w:r>
        <w:rPr>
          <w:rFonts w:ascii="Arial" w:cs="Arial" w:eastAsia="Arial" w:hAnsi="Arial"/>
          <w:color w:val="1A1A1A"/>
          <w:sz w:val="20"/>
          <w:szCs w:val="20"/>
        </w:rPr>
        <w:t xml:space="preserve">The ingestion configuration (source endpoints, polling intervals, authentication tokens) must be consistent across all threads and ingestion workers. The Singleton pattern ensures a single shared instance manages this configuration, preventing race conditions and duplicate initialization.</w:t>
      </w:r>
    </w:p>
    <w:p>
      <w:pPr>
        <w:spacing w:after="0" w:before="60"/>
      </w:pPr>
    </w:p>
    <w:p>
      <w:r>
        <w:rPr>
          <w:rFonts w:ascii="Arial" w:cs="Arial" w:eastAsia="Arial" w:hAnsi="Arial"/>
          <w:b/>
          <w:bCs/>
          <w:color w:val="1A1A1A"/>
          <w:sz w:val="20"/>
          <w:szCs w:val="20"/>
        </w:rPr>
        <w:t xml:space="preserve">Code Annotation Requirement:</w:t>
      </w:r>
      <w:r>
        <w:rPr>
          <w:rFonts w:ascii="Arial" w:cs="Arial" w:eastAsia="Arial" w:hAnsi="Arial"/>
          <w:color w:val="1A1A1A"/>
          <w:sz w:val="20"/>
          <w:szCs w:val="20"/>
        </w:rPr>
        <w:t xml:space="preserve">  // PATTERN: Singleton — IngestionConfigManager</w:t>
      </w:r>
    </w:p>
    <w:p>
      <w:pPr>
        <w:spacing w:after="0" w:before="80"/>
      </w:pPr>
    </w:p>
    <w:p>
      <w:pPr>
        <w:pStyle w:val="Heading3"/>
        <w:spacing w:after="80" w:before="200"/>
      </w:pPr>
      <w:r>
        <w:rPr>
          <w:rFonts w:ascii="Arial" w:cs="Arial" w:eastAsia="Arial" w:hAnsi="Arial"/>
          <w:b/>
          <w:bCs/>
          <w:color w:val="2E75B6"/>
          <w:sz w:val="22"/>
          <w:szCs w:val="22"/>
        </w:rPr>
        <w:t xml:space="preserve">Screenshot Placeholder — IngestionConfigManager Code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2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IngestionConfigManager.java — Singleton Implementation</w:t>
            </w:r>
          </w:p>
        </w:tc>
      </w:tr>
    </w:tbl>
    <w:p>
      <w:pPr>
        <w:spacing w:after="0" w:before="120"/>
      </w:pPr>
    </w:p>
    <w:p>
      <w:pPr>
        <w:pStyle w:val="Heading3"/>
        <w:spacing w:after="80" w:before="200"/>
      </w:pPr>
      <w:r>
        <w:rPr>
          <w:rFonts w:ascii="Arial" w:cs="Arial" w:eastAsia="Arial" w:hAnsi="Arial"/>
          <w:b/>
          <w:bCs/>
          <w:color w:val="2E75B6"/>
          <w:sz w:val="22"/>
          <w:szCs w:val="22"/>
        </w:rPr>
        <w:t xml:space="preserve">Pattern 3: Composite — Alert Tree Structure</w:t>
      </w:r>
    </w:p>
    <w:p>
      <w:pPr>
        <w:spacing w:after="60" w:before="60"/>
      </w:pPr>
      <w:r>
        <w:rPr>
          <w:rFonts w:ascii="Arial" w:cs="Arial" w:eastAsia="Arial" w:hAnsi="Arial"/>
          <w:color w:val="1A1A1A"/>
          <w:sz w:val="20"/>
          <w:szCs w:val="20"/>
        </w:rPr>
        <w:t xml:space="preserve">A single security event may be a standalone SingleAlert, or it may belong to an AlertCampaign (multi-stage attack) or IncidentCluster (correlated group). The Composite pattern allows the enrichment pipeline and response orchestrator to treat individual alerts and complex groupings uniformly through the AlertComponent interface.</w:t>
      </w:r>
    </w:p>
    <w:p>
      <w:pPr>
        <w:spacing w:after="0" w:before="60"/>
      </w:pPr>
    </w:p>
    <w:p>
      <w:r>
        <w:rPr>
          <w:rFonts w:ascii="Arial" w:cs="Arial" w:eastAsia="Arial" w:hAnsi="Arial"/>
          <w:b/>
          <w:bCs/>
          <w:color w:val="1A1A1A"/>
          <w:sz w:val="20"/>
          <w:szCs w:val="20"/>
        </w:rPr>
        <w:t xml:space="preserve">Code Annotation Requirement:</w:t>
      </w:r>
      <w:r>
        <w:rPr>
          <w:rFonts w:ascii="Arial" w:cs="Arial" w:eastAsia="Arial" w:hAnsi="Arial"/>
          <w:color w:val="1A1A1A"/>
          <w:sz w:val="20"/>
          <w:szCs w:val="20"/>
        </w:rPr>
        <w:t xml:space="preserve">  // PATTERN: Composite — AlertComponent, AlertCampaign, IncidentCluster</w:t>
      </w:r>
    </w:p>
    <w:p>
      <w:pPr>
        <w:spacing w:after="0" w:before="80"/>
      </w:pPr>
    </w:p>
    <w:p>
      <w:pPr>
        <w:pStyle w:val="Heading3"/>
        <w:spacing w:after="80" w:before="200"/>
      </w:pPr>
      <w:r>
        <w:rPr>
          <w:rFonts w:ascii="Arial" w:cs="Arial" w:eastAsia="Arial" w:hAnsi="Arial"/>
          <w:b/>
          <w:bCs/>
          <w:color w:val="2E75B6"/>
          <w:sz w:val="22"/>
          <w:szCs w:val="22"/>
        </w:rPr>
        <w:t xml:space="preserve">Screenshot Placeholder — Composite Pattern Code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4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AlertComponent.java, AlertCampaign.java, IncidentCluster.java — Composite Pattern</w:t>
            </w:r>
          </w:p>
        </w:tc>
      </w:tr>
    </w:tbl>
    <w:p>
      <w:pPr>
        <w:spacing w:after="0" w:before="120"/>
      </w:pPr>
    </w:p>
    <w:p>
      <w:pPr>
        <w:pStyle w:val="Heading3"/>
        <w:spacing w:after="80" w:before="200"/>
      </w:pPr>
      <w:r>
        <w:rPr>
          <w:rFonts w:ascii="Arial" w:cs="Arial" w:eastAsia="Arial" w:hAnsi="Arial"/>
          <w:b/>
          <w:bCs/>
          <w:color w:val="2E75B6"/>
          <w:sz w:val="22"/>
          <w:szCs w:val="22"/>
        </w:rPr>
        <w:t xml:space="preserve">2.1.3 Directory Structure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0"/>
        <w:gridCol w:w="5260"/>
      </w:tblGrid>
      <w:tr>
        <w:tc>
          <w:tcPr>
            <w:tcW w:type="dxa" w:w="40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Directory / File</w:t>
            </w:r>
          </w:p>
        </w:tc>
        <w:tc>
          <w:tcPr>
            <w:tcW w:type="dxa" w:w="526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services/alert-ingestion-service/src/controllers/</w:t>
            </w:r>
          </w:p>
        </w:tc>
        <w:tc>
          <w:tcPr>
            <w:tcW w:type="dxa" w:w="5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 &amp; Webhook endpoint handlers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services/alert-ingestion-service/src/services/normalizer/</w:t>
            </w:r>
          </w:p>
        </w:tc>
        <w:tc>
          <w:tcPr>
            <w:tcW w:type="dxa" w:w="5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Factory Method: AlertNormalizerFactory + all normalizers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services/alert-ingestion-service/src/services/ingestion/</w:t>
            </w:r>
          </w:p>
        </w:tc>
        <w:tc>
          <w:tcPr>
            <w:tcW w:type="dxa" w:w="5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Push (webhook) and Pull (polling) ingestion modes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services/alert-ingestion-service/src/domain/alert/</w:t>
            </w:r>
          </w:p>
        </w:tc>
        <w:tc>
          <w:tcPr>
            <w:tcW w:type="dxa" w:w="5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Composite: Alert, AlertCampaign, IncidentCluster</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services/alert-ingestion-service/src/domain/source/</w:t>
            </w:r>
          </w:p>
        </w:tc>
        <w:tc>
          <w:tcPr>
            <w:tcW w:type="dxa" w:w="5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AlertSource entities</w:t>
            </w:r>
          </w:p>
        </w:tc>
      </w:tr>
      <w:tr>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services/alert-ingestion-service/src/config/</w:t>
            </w:r>
          </w:p>
        </w:tc>
        <w:tc>
          <w:tcPr>
            <w:tcW w:type="dxa" w:w="5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Singleton: IngestionConfigManager</w:t>
            </w:r>
          </w:p>
        </w:tc>
      </w:tr>
    </w:tbl>
    <w:p>
      <w:pPr>
        <w:spacing w:after="0" w:before="200"/>
      </w:pPr>
    </w:p>
    <w:p>
      <w:pPr>
        <w:pStyle w:val="Heading2"/>
        <w:pBdr>
          <w:bottom w:val="single" w:color="2E75B6" w:sz="2"/>
        </w:pBdr>
        <w:spacing w:after="100" w:before="280"/>
      </w:pPr>
      <w:r>
        <w:rPr>
          <w:rFonts w:ascii="Arial" w:cs="Arial" w:eastAsia="Arial" w:hAnsi="Arial"/>
          <w:b/>
          <w:bCs/>
          <w:color w:val="1F3864"/>
          <w:sz w:val="26"/>
          <w:szCs w:val="26"/>
        </w:rPr>
        <w:t xml:space="preserve">2.2 Enrichment &amp; Correlation Service</w:t>
      </w:r>
    </w:p>
    <w:p>
      <w:pPr>
        <w:pStyle w:val="Heading3"/>
        <w:spacing w:after="80" w:before="200"/>
      </w:pPr>
      <w:r>
        <w:rPr>
          <w:rFonts w:ascii="Arial" w:cs="Arial" w:eastAsia="Arial" w:hAnsi="Arial"/>
          <w:b/>
          <w:bCs/>
          <w:color w:val="2E75B6"/>
          <w:sz w:val="22"/>
          <w:szCs w:val="22"/>
        </w:rPr>
        <w:t xml:space="preserve">2.2.1 Service Overview</w:t>
      </w:r>
    </w:p>
    <w:p>
      <w:pPr>
        <w:spacing w:after="60" w:before="60"/>
      </w:pPr>
      <w:r>
        <w:rPr>
          <w:rFonts w:ascii="Arial" w:cs="Arial" w:eastAsia="Arial" w:hAnsi="Arial"/>
          <w:color w:val="1A1A1A"/>
          <w:sz w:val="20"/>
          <w:szCs w:val="20"/>
        </w:rPr>
        <w:t xml:space="preserve">This service processes normalized alerts through a multi-stage enrichment pipeline, adding contextual information (geolocation, threat intelligence, asset criticality, user privilege) before classifying severity and routing alerts for incident creation.</w:t>
      </w:r>
    </w:p>
    <w:p>
      <w:pPr>
        <w:spacing w:after="0" w:before="80"/>
      </w:pPr>
    </w:p>
    <w:p>
      <w:pPr>
        <w:pStyle w:val="Heading3"/>
        <w:spacing w:after="80" w:before="200"/>
      </w:pPr>
      <w:r>
        <w:rPr>
          <w:rFonts w:ascii="Arial" w:cs="Arial" w:eastAsia="Arial" w:hAnsi="Arial"/>
          <w:b/>
          <w:bCs/>
          <w:color w:val="2E75B6"/>
          <w:sz w:val="22"/>
          <w:szCs w:val="22"/>
        </w:rPr>
        <w:t xml:space="preserve">Pattern 4: Chain of Responsibility — Enrichment Pipeline</w:t>
      </w:r>
    </w:p>
    <w:p>
      <w:pPr>
        <w:spacing w:after="60" w:before="60"/>
      </w:pPr>
      <w:r>
        <w:rPr>
          <w:rFonts w:ascii="Arial" w:cs="Arial" w:eastAsia="Arial" w:hAnsi="Arial"/>
          <w:color w:val="1A1A1A"/>
          <w:sz w:val="20"/>
          <w:szCs w:val="20"/>
        </w:rPr>
        <w:t xml:space="preserve">Each alert traverses a configurable chain of 5 handlers. Each handler either processes the alert and passes it forward, or halts processing (e.g., deduplication drops repeated alerts). This decouples pipeline stages and allows dynamic reconfiguration.</w:t>
      </w:r>
    </w:p>
    <w:p>
      <w:pPr>
        <w:spacing w:after="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560"/>
      </w:tblGrid>
      <w:tr>
        <w:tc>
          <w:tcPr>
            <w:tcW w:type="dxa" w:w="12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Order</w:t>
            </w:r>
          </w:p>
        </w:tc>
        <w:tc>
          <w:tcPr>
            <w:tcW w:type="dxa" w:w="25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Handler</w:t>
            </w:r>
          </w:p>
        </w:tc>
        <w:tc>
          <w:tcPr>
            <w:tcW w:type="dxa" w:w="556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DeduplicationHandler</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Checks alert cache; drops duplicate alerts within time window</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H2</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GeoIPHandler</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Enriches source/destination IPs with geographic location context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ThreatIntelHandler</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Queries ThreatIntelProxy for reputation scores (IP, domain, file hash)</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H4</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AssetContextHandler</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Resolves asset criticality and owner identity from Asset Inventory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H5</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ClassificationHandler</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Assigns severity (Critical/High/Medium/Low) using rule-based classifier</w:t>
            </w:r>
          </w:p>
        </w:tc>
      </w:tr>
    </w:tbl>
    <w:p>
      <w:pPr>
        <w:spacing w:after="0" w:before="80"/>
      </w:pPr>
    </w:p>
    <w:p>
      <w:r>
        <w:rPr>
          <w:rFonts w:ascii="Arial" w:cs="Arial" w:eastAsia="Arial" w:hAnsi="Arial"/>
          <w:b/>
          <w:bCs/>
          <w:color w:val="1A1A1A"/>
          <w:sz w:val="20"/>
          <w:szCs w:val="20"/>
        </w:rPr>
        <w:t xml:space="preserve">Code Annotation Requirement:</w:t>
      </w:r>
      <w:r>
        <w:rPr>
          <w:rFonts w:ascii="Arial" w:cs="Arial" w:eastAsia="Arial" w:hAnsi="Arial"/>
          <w:color w:val="1A1A1A"/>
          <w:sz w:val="20"/>
          <w:szCs w:val="20"/>
        </w:rPr>
        <w:t xml:space="preserve">  // PATTERN: Chain of Responsibility — EnrichmentHandler</w:t>
      </w:r>
    </w:p>
    <w:p>
      <w:pPr>
        <w:spacing w:after="0" w:before="80"/>
      </w:pPr>
    </w:p>
    <w:p>
      <w:pPr>
        <w:pStyle w:val="Heading3"/>
        <w:spacing w:after="80" w:before="200"/>
      </w:pPr>
      <w:r>
        <w:rPr>
          <w:rFonts w:ascii="Arial" w:cs="Arial" w:eastAsia="Arial" w:hAnsi="Arial"/>
          <w:b/>
          <w:bCs/>
          <w:color w:val="2E75B6"/>
          <w:sz w:val="22"/>
          <w:szCs w:val="22"/>
        </w:rPr>
        <w:t xml:space="preserve">Screenshot Placeholder — Chain of Responsibility Implementation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6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EnrichmentHandler.java (abstract), DeduplicationHandler.java, GeoIPHandler.java — Chain of Responsibility</w:t>
            </w:r>
          </w:p>
        </w:tc>
      </w:tr>
    </w:tbl>
    <w:p>
      <w:pPr>
        <w:spacing w:after="0" w:before="120"/>
      </w:pPr>
    </w:p>
    <w:p>
      <w:pPr>
        <w:pStyle w:val="Heading3"/>
        <w:spacing w:after="80" w:before="200"/>
      </w:pPr>
      <w:r>
        <w:rPr>
          <w:rFonts w:ascii="Arial" w:cs="Arial" w:eastAsia="Arial" w:hAnsi="Arial"/>
          <w:b/>
          <w:bCs/>
          <w:color w:val="2E75B6"/>
          <w:sz w:val="22"/>
          <w:szCs w:val="22"/>
        </w:rPr>
        <w:t xml:space="preserve">Pattern 5: Abstract Factory — EnrichmentProviderFactory</w:t>
      </w:r>
    </w:p>
    <w:p>
      <w:pPr>
        <w:spacing w:after="60" w:before="60"/>
      </w:pPr>
      <w:r>
        <w:rPr>
          <w:rFonts w:ascii="Arial" w:cs="Arial" w:eastAsia="Arial" w:hAnsi="Arial"/>
          <w:color w:val="1A1A1A"/>
          <w:sz w:val="20"/>
          <w:szCs w:val="20"/>
        </w:rPr>
        <w:t xml:space="preserve">Two deployment tiers exist: Premium (VirusTotal + MaxMind GeoIP + enterprise asset DB) and Standard (basic feeds + GeoLite + local asset store). The Abstract Factory creates a compatible family of enrichment providers so the pipeline does not depend on specific implementations.</w:t>
      </w:r>
    </w:p>
    <w:p>
      <w:pPr>
        <w:spacing w:after="0" w:before="60"/>
      </w:pPr>
    </w:p>
    <w:p>
      <w:r>
        <w:rPr>
          <w:rFonts w:ascii="Arial" w:cs="Arial" w:eastAsia="Arial" w:hAnsi="Arial"/>
          <w:b/>
          <w:bCs/>
          <w:color w:val="1A1A1A"/>
          <w:sz w:val="20"/>
          <w:szCs w:val="20"/>
        </w:rPr>
        <w:t xml:space="preserve">Code Annotation Requirement:</w:t>
      </w:r>
      <w:r>
        <w:rPr>
          <w:rFonts w:ascii="Arial" w:cs="Arial" w:eastAsia="Arial" w:hAnsi="Arial"/>
          <w:color w:val="1A1A1A"/>
          <w:sz w:val="20"/>
          <w:szCs w:val="20"/>
        </w:rPr>
        <w:t xml:space="preserve">  // PATTERN: Abstract Factory — EnrichmentProviderFactory, PremiumEnrichmentFactory, StandardEnrichmentFactory</w:t>
      </w:r>
    </w:p>
    <w:p>
      <w:pPr>
        <w:spacing w:after="0" w:before="80"/>
      </w:pPr>
    </w:p>
    <w:p>
      <w:pPr>
        <w:pStyle w:val="Heading3"/>
        <w:spacing w:after="80" w:before="200"/>
      </w:pPr>
      <w:r>
        <w:rPr>
          <w:rFonts w:ascii="Arial" w:cs="Arial" w:eastAsia="Arial" w:hAnsi="Arial"/>
          <w:b/>
          <w:bCs/>
          <w:color w:val="2E75B6"/>
          <w:sz w:val="22"/>
          <w:szCs w:val="22"/>
        </w:rPr>
        <w:t xml:space="preserve">Screenshot Placeholder — Abstract Factory Code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4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EnrichmentProviderFactory.java (interface), PremiumEnrichmentFactory.java, StandardEnrichmentFactory.java</w:t>
            </w:r>
          </w:p>
        </w:tc>
      </w:tr>
    </w:tbl>
    <w:p>
      <w:pPr>
        <w:spacing w:after="0" w:before="200"/>
      </w:pPr>
    </w:p>
    <w:p>
      <w:pPr>
        <w:pStyle w:val="Heading2"/>
        <w:pBdr>
          <w:bottom w:val="single" w:color="2E75B6" w:sz="2"/>
        </w:pBdr>
        <w:spacing w:after="100" w:before="280"/>
      </w:pPr>
      <w:r>
        <w:rPr>
          <w:rFonts w:ascii="Arial" w:cs="Arial" w:eastAsia="Arial" w:hAnsi="Arial"/>
          <w:b/>
          <w:bCs/>
          <w:color w:val="1F3864"/>
          <w:sz w:val="26"/>
          <w:szCs w:val="26"/>
        </w:rPr>
        <w:t xml:space="preserve">2.3 Incident Management Service</w:t>
      </w:r>
    </w:p>
    <w:p>
      <w:pPr>
        <w:pStyle w:val="Heading3"/>
        <w:spacing w:after="80" w:before="200"/>
      </w:pPr>
      <w:r>
        <w:rPr>
          <w:rFonts w:ascii="Arial" w:cs="Arial" w:eastAsia="Arial" w:hAnsi="Arial"/>
          <w:b/>
          <w:bCs/>
          <w:color w:val="2E75B6"/>
          <w:sz w:val="22"/>
          <w:szCs w:val="22"/>
        </w:rPr>
        <w:t xml:space="preserve">2.3.1 Service Overview</w:t>
      </w:r>
    </w:p>
    <w:p>
      <w:pPr>
        <w:spacing w:after="60" w:before="60"/>
      </w:pPr>
      <w:r>
        <w:rPr>
          <w:rFonts w:ascii="Arial" w:cs="Arial" w:eastAsia="Arial" w:hAnsi="Arial"/>
          <w:color w:val="1A1A1A"/>
          <w:sz w:val="20"/>
          <w:szCs w:val="20"/>
        </w:rPr>
        <w:t xml:space="preserve">The Incident Management Service is responsible for the full lifecycle of a security incident from initial creation through post-incident review and closure. It enforces that only valid state transitions occur and that the correct response actions are available at each lifecycle phase.</w:t>
      </w:r>
    </w:p>
    <w:p>
      <w:pPr>
        <w:spacing w:after="0" w:before="80"/>
      </w:pPr>
    </w:p>
    <w:p>
      <w:pPr>
        <w:pStyle w:val="Heading3"/>
        <w:spacing w:after="80" w:before="200"/>
      </w:pPr>
      <w:r>
        <w:rPr>
          <w:rFonts w:ascii="Arial" w:cs="Arial" w:eastAsia="Arial" w:hAnsi="Arial"/>
          <w:b/>
          <w:bCs/>
          <w:color w:val="2E75B6"/>
          <w:sz w:val="22"/>
          <w:szCs w:val="22"/>
        </w:rPr>
        <w:t xml:space="preserve">Pattern 6: State — Incident Lifecycle</w:t>
      </w:r>
    </w:p>
    <w:p>
      <w:pPr>
        <w:spacing w:after="60" w:before="60"/>
      </w:pPr>
      <w:r>
        <w:rPr>
          <w:rFonts w:ascii="Arial" w:cs="Arial" w:eastAsia="Arial" w:hAnsi="Arial"/>
          <w:color w:val="1A1A1A"/>
          <w:sz w:val="20"/>
          <w:szCs w:val="20"/>
        </w:rPr>
        <w:t xml:space="preserve">An Incident object delegates all lifecycle behavior to its current IncidentState object. This encapsulates state-specific logic (allowed actions, valid transitions, timeout behavior) inside dedicated state classes rather than large conditional blocks.</w:t>
      </w:r>
    </w:p>
    <w:p>
      <w:pPr>
        <w:spacing w:after="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60"/>
      </w:tblGrid>
      <w:tr>
        <w:tc>
          <w:tcPr>
            <w:tcW w:type="dxa" w:w="28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State</w:t>
            </w:r>
          </w:p>
        </w:tc>
        <w:tc>
          <w:tcPr>
            <w:tcW w:type="dxa" w:w="32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Allowed Actions</w:t>
            </w:r>
          </w:p>
        </w:tc>
        <w:tc>
          <w:tcPr>
            <w:tcW w:type="dxa" w:w="326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Auto-Transition Trigger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NewState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Begin triage, Escalate</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Auto-triage timer (5 min)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UnderTriageState</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Initiate containment, Escalate, Close (false positive)</w:t>
            </w:r>
          </w:p>
        </w:tc>
        <w:tc>
          <w:tcPr>
            <w:tcW w:type="dxa" w:w="3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Analyst confirms incident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ContainmentState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Execute containment actions, Escalate</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containment actions succeed</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EradicationState</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Remove malware, Patch vulnerabilities</w:t>
            </w:r>
          </w:p>
        </w:tc>
        <w:tc>
          <w:tcPr>
            <w:tcW w:type="dxa" w:w="3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Eradication confirmed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RecoveryState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Restore services, Monitor</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Services verified restored</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PostIncidentReviewState</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Write report, Annotate timeline</w:t>
            </w:r>
          </w:p>
        </w:tc>
        <w:tc>
          <w:tcPr>
            <w:tcW w:type="dxa" w:w="3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Review submitted</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ClosedState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Read-only (no transitions out)</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Terminal state</w:t>
            </w:r>
          </w:p>
        </w:tc>
      </w:tr>
    </w:tbl>
    <w:p>
      <w:pPr>
        <w:spacing w:after="0" w:before="80"/>
      </w:pPr>
    </w:p>
    <w:p>
      <w:r>
        <w:rPr>
          <w:rFonts w:ascii="Arial" w:cs="Arial" w:eastAsia="Arial" w:hAnsi="Arial"/>
          <w:b/>
          <w:bCs/>
          <w:color w:val="1A1A1A"/>
          <w:sz w:val="20"/>
          <w:szCs w:val="20"/>
        </w:rPr>
        <w:t xml:space="preserve">Code Annotation Requirement:</w:t>
      </w:r>
      <w:r>
        <w:rPr>
          <w:rFonts w:ascii="Arial" w:cs="Arial" w:eastAsia="Arial" w:hAnsi="Arial"/>
          <w:color w:val="1A1A1A"/>
          <w:sz w:val="20"/>
          <w:szCs w:val="20"/>
        </w:rPr>
        <w:t xml:space="preserve">  // PATTERN: State — IncidentState, NewState, ContainmentState, etc.</w:t>
      </w:r>
    </w:p>
    <w:p>
      <w:pPr>
        <w:spacing w:after="0" w:before="80"/>
      </w:pPr>
    </w:p>
    <w:p>
      <w:pPr>
        <w:pStyle w:val="Heading3"/>
        <w:spacing w:after="80" w:before="200"/>
      </w:pPr>
      <w:r>
        <w:rPr>
          <w:rFonts w:ascii="Arial" w:cs="Arial" w:eastAsia="Arial" w:hAnsi="Arial"/>
          <w:b/>
          <w:bCs/>
          <w:color w:val="2E75B6"/>
          <w:sz w:val="22"/>
          <w:szCs w:val="22"/>
        </w:rPr>
        <w:t xml:space="preserve">Screenshot Placeholder — State Pattern Code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6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Incident.java, IncidentState.java (interface), NewState.java, ContainmentState.java — State Pattern</w:t>
            </w:r>
          </w:p>
        </w:tc>
      </w:tr>
    </w:tbl>
    <w:p>
      <w:pPr>
        <w:spacing w:after="0" w:before="120"/>
      </w:pPr>
    </w:p>
    <w:p>
      <w:pPr>
        <w:pStyle w:val="Heading3"/>
        <w:spacing w:after="80" w:before="200"/>
      </w:pPr>
      <w:r>
        <w:rPr>
          <w:rFonts w:ascii="Arial" w:cs="Arial" w:eastAsia="Arial" w:hAnsi="Arial"/>
          <w:b/>
          <w:bCs/>
          <w:color w:val="2E75B6"/>
          <w:sz w:val="22"/>
          <w:szCs w:val="22"/>
        </w:rPr>
        <w:t xml:space="preserve">Screenshot Placeholder — State Transition Unit Tests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2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IncidentStateTransitionTest.java — Unit tests for all valid/invalid state transitions</w:t>
            </w:r>
          </w:p>
        </w:tc>
      </w:tr>
    </w:tbl>
    <w:p>
      <w:r>
        <w:br w:type="page"/>
      </w:r>
    </w:p>
    <w:p>
      <w:pPr>
        <w:pStyle w:val="Heading1"/>
        <w:pBdr>
          <w:bottom w:val="single" w:color="2E75B6" w:sz="4"/>
        </w:pBdr>
        <w:shd w:fill="1F3864" w:val="clear"/>
        <w:spacing w:after="180" w:before="360"/>
        <w:ind w:left="200" w:right="200"/>
      </w:pPr>
      <w:r>
        <w:rPr>
          <w:rFonts w:ascii="Arial" w:cs="Arial" w:eastAsia="Arial" w:hAnsi="Arial"/>
          <w:b/>
          <w:bCs/>
          <w:color w:val="FFFFFF"/>
          <w:sz w:val="32"/>
          <w:szCs w:val="32"/>
        </w:rPr>
        <w:t xml:space="preserve">Part III: Student B — Muhammad Salman Akbar (SAP: 53002)</w:t>
      </w:r>
    </w:p>
    <w:p>
      <w:pPr>
        <w:spacing w:after="160" w:before="80"/>
      </w:pPr>
      <w:r>
        <w:rPr>
          <w:rFonts w:ascii="Arial" w:cs="Arial" w:eastAsia="Arial" w:hAnsi="Arial"/>
          <w:b/>
          <w:bCs/>
          <w:i/>
          <w:iCs/>
          <w:color w:val="2E75B6"/>
          <w:sz w:val="22"/>
          <w:szCs w:val="22"/>
        </w:rPr>
        <w:t xml:space="preserve">Primary Domain: Integration &amp; Response Engineer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75B6" w:sz="1"/>
              <w:left w:val="single" w:color="2E75B6" w:sz="8"/>
              <w:bottom w:val="single" w:color="2E75B6" w:sz="1"/>
              <w:right w:val="single" w:color="2E75B6" w:sz="1"/>
            </w:tcBorders>
            <w:shd w:fill="EEF4FB" w:val="clear"/>
            <w:tcMar>
              <w:top w:type="dxa" w:w="80"/>
              <w:left w:type="dxa" w:w="200"/>
              <w:bottom w:type="dxa" w:w="80"/>
              <w:right w:type="dxa" w:w="120"/>
            </w:tcMar>
          </w:tcPr>
          <w:p>
            <w:pPr>
              <w:spacing w:after="60" w:before="60"/>
            </w:pPr>
            <w:r>
              <w:rPr>
                <w:rFonts w:ascii="Arial" w:cs="Arial" w:eastAsia="Arial" w:hAnsi="Arial"/>
                <w:b/>
                <w:bCs/>
                <w:color w:val="1F3864"/>
                <w:sz w:val="20"/>
                <w:szCs w:val="20"/>
              </w:rPr>
              <w:t xml:space="preserve">Patterns Owned by Student B</w:t>
            </w:r>
          </w:p>
          <w:p>
            <w:pPr>
              <w:pStyle w:val="ListParagraph"/>
              <w:numPr>
                <w:ilvl w:val="0"/>
                <w:numId w:val="2"/>
              </w:numPr>
              <w:spacing w:after="30" w:before="30"/>
            </w:pPr>
            <w:r>
              <w:rPr>
                <w:rFonts w:ascii="Arial" w:cs="Arial" w:eastAsia="Arial" w:hAnsi="Arial"/>
                <w:color w:val="404040"/>
                <w:sz w:val="19"/>
                <w:szCs w:val="19"/>
              </w:rPr>
              <w:t xml:space="preserve">Facade — IncidentResponseFacade</w:t>
            </w:r>
          </w:p>
          <w:p>
            <w:pPr>
              <w:pStyle w:val="ListParagraph"/>
              <w:numPr>
                <w:ilvl w:val="0"/>
                <w:numId w:val="2"/>
              </w:numPr>
              <w:spacing w:after="30" w:before="30"/>
            </w:pPr>
            <w:r>
              <w:rPr>
                <w:rFonts w:ascii="Arial" w:cs="Arial" w:eastAsia="Arial" w:hAnsi="Arial"/>
                <w:color w:val="404040"/>
                <w:sz w:val="19"/>
                <w:szCs w:val="19"/>
              </w:rPr>
              <w:t xml:space="preserve">Strategy — ResponseStrategy (Aggressive, Balanced, Conservative, WatchAndWait)</w:t>
            </w:r>
          </w:p>
          <w:p>
            <w:pPr>
              <w:pStyle w:val="ListParagraph"/>
              <w:numPr>
                <w:ilvl w:val="0"/>
                <w:numId w:val="2"/>
              </w:numPr>
              <w:spacing w:after="30" w:before="30"/>
            </w:pPr>
            <w:r>
              <w:rPr>
                <w:rFonts w:ascii="Arial" w:cs="Arial" w:eastAsia="Arial" w:hAnsi="Arial"/>
                <w:color w:val="404040"/>
                <w:sz w:val="19"/>
                <w:szCs w:val="19"/>
              </w:rPr>
              <w:t xml:space="preserve">Decorator — AuditLogDecorator, ApprovalGateDecorator, RollbackCapabilityDecorator, MetricsDecorator</w:t>
            </w:r>
          </w:p>
          <w:p>
            <w:pPr>
              <w:pStyle w:val="ListParagraph"/>
              <w:numPr>
                <w:ilvl w:val="0"/>
                <w:numId w:val="2"/>
              </w:numPr>
              <w:spacing w:after="30" w:before="30"/>
            </w:pPr>
            <w:r>
              <w:rPr>
                <w:rFonts w:ascii="Arial" w:cs="Arial" w:eastAsia="Arial" w:hAnsi="Arial"/>
                <w:color w:val="404040"/>
                <w:sz w:val="19"/>
                <w:szCs w:val="19"/>
              </w:rPr>
              <w:t xml:space="preserve">Adapter — VirusTotalAdapter, MISPAdapter, CustomFeedAdapter, PaloAltoAdapter</w:t>
            </w:r>
          </w:p>
          <w:p>
            <w:pPr>
              <w:pStyle w:val="ListParagraph"/>
              <w:numPr>
                <w:ilvl w:val="0"/>
                <w:numId w:val="2"/>
              </w:numPr>
              <w:spacing w:after="30" w:before="30"/>
            </w:pPr>
            <w:r>
              <w:rPr>
                <w:rFonts w:ascii="Arial" w:cs="Arial" w:eastAsia="Arial" w:hAnsi="Arial"/>
                <w:color w:val="404040"/>
                <w:sz w:val="19"/>
                <w:szCs w:val="19"/>
              </w:rPr>
              <w:t xml:space="preserve">Proxy — CachingProxy, RateLimitProxy, AccessControlProxy</w:t>
            </w:r>
          </w:p>
          <w:p>
            <w:pPr>
              <w:pStyle w:val="ListParagraph"/>
              <w:numPr>
                <w:ilvl w:val="0"/>
                <w:numId w:val="2"/>
              </w:numPr>
              <w:spacing w:after="30" w:before="30"/>
            </w:pPr>
            <w:r>
              <w:rPr>
                <w:rFonts w:ascii="Arial" w:cs="Arial" w:eastAsia="Arial" w:hAnsi="Arial"/>
                <w:color w:val="404040"/>
                <w:sz w:val="19"/>
                <w:szCs w:val="19"/>
              </w:rPr>
              <w:t xml:space="preserve">Chain of Responsibility — Alert processing middleware pipeline (supporting role)</w:t>
            </w:r>
          </w:p>
          <w:p>
            <w:pPr>
              <w:pStyle w:val="ListParagraph"/>
              <w:numPr>
                <w:ilvl w:val="0"/>
                <w:numId w:val="2"/>
              </w:numPr>
              <w:spacing w:after="30" w:before="30"/>
            </w:pPr>
            <w:r>
              <w:rPr>
                <w:rFonts w:ascii="Arial" w:cs="Arial" w:eastAsia="Arial" w:hAnsi="Arial"/>
                <w:color w:val="404040"/>
                <w:sz w:val="19"/>
                <w:szCs w:val="19"/>
              </w:rPr>
              <w:t xml:space="preserve">Abstract Factory — NotifierFactory (supporting role with Student C)</w:t>
            </w:r>
          </w:p>
        </w:tc>
      </w:tr>
    </w:tbl>
    <w:p>
      <w:pPr>
        <w:spacing w:after="0" w:before="200"/>
      </w:pPr>
    </w:p>
    <w:p>
      <w:pPr>
        <w:pStyle w:val="Heading2"/>
        <w:pBdr>
          <w:bottom w:val="single" w:color="2E75B6" w:sz="2"/>
        </w:pBdr>
        <w:spacing w:after="100" w:before="280"/>
      </w:pPr>
      <w:r>
        <w:rPr>
          <w:rFonts w:ascii="Arial" w:cs="Arial" w:eastAsia="Arial" w:hAnsi="Arial"/>
          <w:b/>
          <w:bCs/>
          <w:color w:val="1F3864"/>
          <w:sz w:val="26"/>
          <w:szCs w:val="26"/>
        </w:rPr>
        <w:t xml:space="preserve">3.1 Response Orchestration Service</w:t>
      </w:r>
    </w:p>
    <w:p>
      <w:pPr>
        <w:pStyle w:val="Heading3"/>
        <w:spacing w:after="80" w:before="200"/>
      </w:pPr>
      <w:r>
        <w:rPr>
          <w:rFonts w:ascii="Arial" w:cs="Arial" w:eastAsia="Arial" w:hAnsi="Arial"/>
          <w:b/>
          <w:bCs/>
          <w:color w:val="2E75B6"/>
          <w:sz w:val="22"/>
          <w:szCs w:val="22"/>
        </w:rPr>
        <w:t xml:space="preserve">3.1.1 Service Overview</w:t>
      </w:r>
    </w:p>
    <w:p>
      <w:pPr>
        <w:spacing w:after="60" w:before="60"/>
      </w:pPr>
      <w:r>
        <w:rPr>
          <w:rFonts w:ascii="Arial" w:cs="Arial" w:eastAsia="Arial" w:hAnsi="Arial"/>
          <w:color w:val="1A1A1A"/>
          <w:sz w:val="20"/>
          <w:szCs w:val="20"/>
        </w:rPr>
        <w:t xml:space="preserve">The Response Orchestration Service selects and executes automated or analyst-triggered response actions against active incidents. It uses the Facade pattern to present a simple API to callers, Strategy for algorithm selection, Decorator for cross-cutting concerns, and Proxy for controlled access to external execution targets.</w:t>
      </w:r>
    </w:p>
    <w:p>
      <w:pPr>
        <w:spacing w:after="0" w:before="80"/>
      </w:pPr>
    </w:p>
    <w:p>
      <w:pPr>
        <w:pStyle w:val="Heading3"/>
        <w:spacing w:after="80" w:before="200"/>
      </w:pPr>
      <w:r>
        <w:rPr>
          <w:rFonts w:ascii="Arial" w:cs="Arial" w:eastAsia="Arial" w:hAnsi="Arial"/>
          <w:b/>
          <w:bCs/>
          <w:color w:val="2E75B6"/>
          <w:sz w:val="22"/>
          <w:szCs w:val="22"/>
        </w:rPr>
        <w:t xml:space="preserve">Pattern 7: Facade — IncidentResponseFacade</w:t>
      </w:r>
    </w:p>
    <w:p>
      <w:pPr>
        <w:spacing w:after="60" w:before="60"/>
      </w:pPr>
      <w:r>
        <w:rPr>
          <w:rFonts w:ascii="Arial" w:cs="Arial" w:eastAsia="Arial" w:hAnsi="Arial"/>
          <w:color w:val="1A1A1A"/>
          <w:sz w:val="20"/>
          <w:szCs w:val="20"/>
        </w:rPr>
        <w:t xml:space="preserve">The response subsystem involves state validation, strategy selection, action factory invocation, decorator wrapping, proxy authorization, external adapter calls, event publication, and audit logging. The Facade exposes four clean methods (assessAndRespond, executeResponsePlan, rollbackActions, getResponseHistory), hiding all internal coordination.</w:t>
      </w:r>
    </w:p>
    <w:p>
      <w:pPr>
        <w:spacing w:after="0" w:before="60"/>
      </w:pPr>
    </w:p>
    <w:p>
      <w:r>
        <w:rPr>
          <w:rFonts w:ascii="Arial" w:cs="Arial" w:eastAsia="Arial" w:hAnsi="Arial"/>
          <w:b/>
          <w:bCs/>
          <w:color w:val="1A1A1A"/>
          <w:sz w:val="20"/>
          <w:szCs w:val="20"/>
        </w:rPr>
        <w:t xml:space="preserve">Code Annotation Requirement:</w:t>
      </w:r>
      <w:r>
        <w:rPr>
          <w:rFonts w:ascii="Arial" w:cs="Arial" w:eastAsia="Arial" w:hAnsi="Arial"/>
          <w:color w:val="1A1A1A"/>
          <w:sz w:val="20"/>
          <w:szCs w:val="20"/>
        </w:rPr>
        <w:t xml:space="preserve">  // PATTERN: Facade — IncidentResponseFacade</w:t>
      </w:r>
    </w:p>
    <w:p>
      <w:pPr>
        <w:spacing w:after="0" w:before="80"/>
      </w:pPr>
    </w:p>
    <w:p>
      <w:pPr>
        <w:pStyle w:val="Heading3"/>
        <w:spacing w:after="80" w:before="200"/>
      </w:pPr>
      <w:r>
        <w:rPr>
          <w:rFonts w:ascii="Arial" w:cs="Arial" w:eastAsia="Arial" w:hAnsi="Arial"/>
          <w:b/>
          <w:bCs/>
          <w:color w:val="2E75B6"/>
          <w:sz w:val="22"/>
          <w:szCs w:val="22"/>
        </w:rPr>
        <w:t xml:space="preserve">Screenshot Placeholder — IncidentResponseFacade Code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5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IncidentResponseFacade.java — Facade Pattern with all coordinated dependencies</w:t>
            </w:r>
          </w:p>
        </w:tc>
      </w:tr>
    </w:tbl>
    <w:p>
      <w:pPr>
        <w:spacing w:after="0" w:before="120"/>
      </w:pPr>
    </w:p>
    <w:p>
      <w:pPr>
        <w:pStyle w:val="Heading3"/>
        <w:spacing w:after="80" w:before="200"/>
      </w:pPr>
      <w:r>
        <w:rPr>
          <w:rFonts w:ascii="Arial" w:cs="Arial" w:eastAsia="Arial" w:hAnsi="Arial"/>
          <w:b/>
          <w:bCs/>
          <w:color w:val="2E75B6"/>
          <w:sz w:val="22"/>
          <w:szCs w:val="22"/>
        </w:rPr>
        <w:t xml:space="preserve">Pattern 8: Strategy — Response Strategy Selection</w:t>
      </w:r>
    </w:p>
    <w:p>
      <w:pPr>
        <w:spacing w:after="60" w:before="60"/>
      </w:pPr>
      <w:r>
        <w:rPr>
          <w:rFonts w:ascii="Arial" w:cs="Arial" w:eastAsia="Arial" w:hAnsi="Arial"/>
          <w:color w:val="1A1A1A"/>
          <w:sz w:val="20"/>
          <w:szCs w:val="20"/>
        </w:rPr>
        <w:t xml:space="preserve">The system must apply different response intensities depending on the incident severity, asset criticality, and business context (e.g., production database vs. test server). The Strategy pattern allows these algorithms to be swapped at runtime without modifying the orchestration logic.</w:t>
      </w:r>
    </w:p>
    <w:p>
      <w:pPr>
        <w:spacing w:after="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3130"/>
        <w:gridCol w:w="3130"/>
      </w:tblGrid>
      <w:tr>
        <w:tc>
          <w:tcPr>
            <w:tcW w:type="dxa" w:w="30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Strategy</w:t>
            </w:r>
          </w:p>
        </w:tc>
        <w:tc>
          <w:tcPr>
            <w:tcW w:type="dxa" w:w="313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Selection Criteria</w:t>
            </w:r>
          </w:p>
        </w:tc>
        <w:tc>
          <w:tcPr>
            <w:tcW w:type="dxa" w:w="313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Actions Taken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AggressiveContainmentStrategy</w:t>
            </w:r>
          </w:p>
        </w:tc>
        <w:tc>
          <w:tcPr>
            <w:tcW w:type="dxa" w:w="31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CRITICAL severity + HIGH asset criticality</w:t>
            </w:r>
          </w:p>
        </w:tc>
        <w:tc>
          <w:tcPr>
            <w:tcW w:type="dxa" w:w="31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IsolateEndpoint + BlockIP + DisableUser</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BalancedResponseStrategy</w:t>
            </w:r>
          </w:p>
        </w:tc>
        <w:tc>
          <w:tcPr>
            <w:tcW w:type="dxa" w:w="313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 severity + MEDIUM asset criticality</w:t>
            </w:r>
          </w:p>
        </w:tc>
        <w:tc>
          <w:tcPr>
            <w:tcW w:type="dxa" w:w="313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BlockIP + QuarantineFile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ConservativeStrategy</w:t>
            </w:r>
          </w:p>
        </w:tc>
        <w:tc>
          <w:tcPr>
            <w:tcW w:type="dxa" w:w="31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 severity + LOW asset criticality</w:t>
            </w:r>
          </w:p>
        </w:tc>
        <w:tc>
          <w:tcPr>
            <w:tcW w:type="dxa" w:w="31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QuarantineFile + Escalate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WatchAndWaitStrategy</w:t>
            </w:r>
          </w:p>
        </w:tc>
        <w:tc>
          <w:tcPr>
            <w:tcW w:type="dxa" w:w="313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LOW severity / uncertain attribution</w:t>
            </w:r>
          </w:p>
        </w:tc>
        <w:tc>
          <w:tcPr>
            <w:tcW w:type="dxa" w:w="313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Log only + Escalate for analyst review</w:t>
            </w:r>
          </w:p>
        </w:tc>
      </w:tr>
    </w:tbl>
    <w:p>
      <w:pPr>
        <w:spacing w:after="0" w:before="80"/>
      </w:pPr>
    </w:p>
    <w:p>
      <w:r>
        <w:rPr>
          <w:rFonts w:ascii="Arial" w:cs="Arial" w:eastAsia="Arial" w:hAnsi="Arial"/>
          <w:b/>
          <w:bCs/>
          <w:color w:val="1A1A1A"/>
          <w:sz w:val="20"/>
          <w:szCs w:val="20"/>
        </w:rPr>
        <w:t xml:space="preserve">Code Annotation Requirement:</w:t>
      </w:r>
      <w:r>
        <w:rPr>
          <w:rFonts w:ascii="Arial" w:cs="Arial" w:eastAsia="Arial" w:hAnsi="Arial"/>
          <w:color w:val="1A1A1A"/>
          <w:sz w:val="20"/>
          <w:szCs w:val="20"/>
        </w:rPr>
        <w:t xml:space="preserve">  // PATTERN: Strategy — ResponseStrategy, AggressiveContainmentStrategy</w:t>
      </w:r>
    </w:p>
    <w:p>
      <w:pPr>
        <w:spacing w:after="0" w:before="80"/>
      </w:pPr>
    </w:p>
    <w:p>
      <w:pPr>
        <w:pStyle w:val="Heading3"/>
        <w:spacing w:after="80" w:before="200"/>
      </w:pPr>
      <w:r>
        <w:rPr>
          <w:rFonts w:ascii="Arial" w:cs="Arial" w:eastAsia="Arial" w:hAnsi="Arial"/>
          <w:b/>
          <w:bCs/>
          <w:color w:val="2E75B6"/>
          <w:sz w:val="22"/>
          <w:szCs w:val="22"/>
        </w:rPr>
        <w:t xml:space="preserve">Screenshot Placeholder — Strategy Pattern Code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4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ResponseStrategy.java (interface), AggressiveContainmentStrategy.java, BalancedResponseStrategy.java</w:t>
            </w:r>
          </w:p>
        </w:tc>
      </w:tr>
    </w:tbl>
    <w:p>
      <w:pPr>
        <w:spacing w:after="0" w:before="120"/>
      </w:pPr>
    </w:p>
    <w:p>
      <w:pPr>
        <w:pStyle w:val="Heading3"/>
        <w:spacing w:after="80" w:before="200"/>
      </w:pPr>
      <w:r>
        <w:rPr>
          <w:rFonts w:ascii="Arial" w:cs="Arial" w:eastAsia="Arial" w:hAnsi="Arial"/>
          <w:b/>
          <w:bCs/>
          <w:color w:val="2E75B6"/>
          <w:sz w:val="22"/>
          <w:szCs w:val="22"/>
        </w:rPr>
        <w:t xml:space="preserve">Pattern 9: Decorator — Response Action Cross-Cutting Concerns</w:t>
      </w:r>
    </w:p>
    <w:p>
      <w:pPr>
        <w:spacing w:after="60" w:before="60"/>
      </w:pPr>
      <w:r>
        <w:rPr>
          <w:rFonts w:ascii="Arial" w:cs="Arial" w:eastAsia="Arial" w:hAnsi="Arial"/>
          <w:color w:val="1A1A1A"/>
          <w:sz w:val="20"/>
          <w:szCs w:val="20"/>
        </w:rPr>
        <w:t xml:space="preserve">Response actions (BlockIPAction, IsolateEndpointAction, etc.) have cross-cutting concerns: audit logging, approval gates, metrics recording, and rollback capability. The Decorator pattern wraps actions dynamically so each concern is applied as an independent layer without modifying the action classes.</w:t>
      </w:r>
    </w:p>
    <w:p>
      <w:pPr>
        <w:spacing w:after="0" w:before="60"/>
      </w:pPr>
    </w:p>
    <w:p>
      <w:r>
        <w:rPr>
          <w:rFonts w:ascii="Arial" w:cs="Arial" w:eastAsia="Arial" w:hAnsi="Arial"/>
          <w:b/>
          <w:bCs/>
          <w:sz w:val="20"/>
          <w:szCs w:val="20"/>
        </w:rPr>
        <w:t xml:space="preserve">Execution chain: </w:t>
      </w:r>
      <w:r>
        <w:rPr>
          <w:rFonts w:ascii="Courier New" w:cs="Courier New" w:eastAsia="Courier New" w:hAnsi="Courier New"/>
          <w:color w:val="C7254E"/>
          <w:sz w:val="18"/>
          <w:szCs w:val="18"/>
        </w:rPr>
        <w:t xml:space="preserve">MetricsDecorator → ApprovalGateDecorator → AuditLogDecorator → BlockIPAction</w:t>
      </w:r>
    </w:p>
    <w:p>
      <w:pPr>
        <w:spacing w:after="0" w:before="60"/>
      </w:pPr>
    </w:p>
    <w:p>
      <w:r>
        <w:rPr>
          <w:rFonts w:ascii="Arial" w:cs="Arial" w:eastAsia="Arial" w:hAnsi="Arial"/>
          <w:b/>
          <w:bCs/>
          <w:color w:val="1A1A1A"/>
          <w:sz w:val="20"/>
          <w:szCs w:val="20"/>
        </w:rPr>
        <w:t xml:space="preserve">Code Annotation Requirement:</w:t>
      </w:r>
      <w:r>
        <w:rPr>
          <w:rFonts w:ascii="Arial" w:cs="Arial" w:eastAsia="Arial" w:hAnsi="Arial"/>
          <w:color w:val="1A1A1A"/>
          <w:sz w:val="20"/>
          <w:szCs w:val="20"/>
        </w:rPr>
        <w:t xml:space="preserve">  // PATTERN: Decorator — ResponseActionDecorator, AuditLogDecorator, ApprovalGateDecorator</w:t>
      </w:r>
    </w:p>
    <w:p>
      <w:pPr>
        <w:spacing w:after="0" w:before="80"/>
      </w:pPr>
    </w:p>
    <w:p>
      <w:pPr>
        <w:pStyle w:val="Heading3"/>
        <w:spacing w:after="80" w:before="200"/>
      </w:pPr>
      <w:r>
        <w:rPr>
          <w:rFonts w:ascii="Arial" w:cs="Arial" w:eastAsia="Arial" w:hAnsi="Arial"/>
          <w:b/>
          <w:bCs/>
          <w:color w:val="2E75B6"/>
          <w:sz w:val="22"/>
          <w:szCs w:val="22"/>
        </w:rPr>
        <w:t xml:space="preserve">Screenshot Placeholder — Decorator Pattern Code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6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ResponseActionDecorator.java (abstract), AuditLogDecorator.java, ApprovalGateDecorator.java, RollbackCapabilityDecorator.java</w:t>
            </w:r>
          </w:p>
        </w:tc>
      </w:tr>
    </w:tbl>
    <w:p>
      <w:pPr>
        <w:spacing w:after="0" w:before="200"/>
      </w:pPr>
    </w:p>
    <w:p>
      <w:pPr>
        <w:pStyle w:val="Heading2"/>
        <w:pBdr>
          <w:bottom w:val="single" w:color="2E75B6" w:sz="2"/>
        </w:pBdr>
        <w:spacing w:after="100" w:before="280"/>
      </w:pPr>
      <w:r>
        <w:rPr>
          <w:rFonts w:ascii="Arial" w:cs="Arial" w:eastAsia="Arial" w:hAnsi="Arial"/>
          <w:b/>
          <w:bCs/>
          <w:color w:val="1F3864"/>
          <w:sz w:val="26"/>
          <w:szCs w:val="26"/>
        </w:rPr>
        <w:t xml:space="preserve">3.2 Threat Intel Service</w:t>
      </w:r>
    </w:p>
    <w:p>
      <w:pPr>
        <w:pStyle w:val="Heading3"/>
        <w:spacing w:after="80" w:before="200"/>
      </w:pPr>
      <w:r>
        <w:rPr>
          <w:rFonts w:ascii="Arial" w:cs="Arial" w:eastAsia="Arial" w:hAnsi="Arial"/>
          <w:b/>
          <w:bCs/>
          <w:color w:val="2E75B6"/>
          <w:sz w:val="22"/>
          <w:szCs w:val="22"/>
        </w:rPr>
        <w:t xml:space="preserve">3.2.1 Service Overview</w:t>
      </w:r>
    </w:p>
    <w:p>
      <w:pPr>
        <w:spacing w:after="60" w:before="60"/>
      </w:pPr>
      <w:r>
        <w:rPr>
          <w:rFonts w:ascii="Arial" w:cs="Arial" w:eastAsia="Arial" w:hAnsi="Arial"/>
          <w:color w:val="1A1A1A"/>
          <w:sz w:val="20"/>
          <w:szCs w:val="20"/>
        </w:rPr>
        <w:t xml:space="preserve">The Threat Intel Service integrates external reputation providers (VirusTotal, MISP, custom feeds) through Adapters that translate disparate API formats to SDA-Pro's canonical ThreatIntelProvider interface. Proxy classes layer caching, rate limiting, and access control in front of the real providers.</w:t>
      </w:r>
    </w:p>
    <w:p>
      <w:pPr>
        <w:spacing w:after="0" w:before="80"/>
      </w:pPr>
    </w:p>
    <w:p>
      <w:pPr>
        <w:pStyle w:val="Heading3"/>
        <w:spacing w:after="80" w:before="200"/>
      </w:pPr>
      <w:r>
        <w:rPr>
          <w:rFonts w:ascii="Arial" w:cs="Arial" w:eastAsia="Arial" w:hAnsi="Arial"/>
          <w:b/>
          <w:bCs/>
          <w:color w:val="2E75B6"/>
          <w:sz w:val="22"/>
          <w:szCs w:val="22"/>
        </w:rPr>
        <w:t xml:space="preserve">Pattern 10: Adapter — External Threat Intel Integration</w:t>
      </w:r>
    </w:p>
    <w:p>
      <w:pPr>
        <w:spacing w:after="60" w:before="60"/>
      </w:pPr>
      <w:r>
        <w:rPr>
          <w:rFonts w:ascii="Arial" w:cs="Arial" w:eastAsia="Arial" w:hAnsi="Arial"/>
          <w:color w:val="1A1A1A"/>
          <w:sz w:val="20"/>
          <w:szCs w:val="20"/>
        </w:rPr>
        <w:t xml:space="preserve">VirusTotal, MISP, and custom feeds each have distinct authentication mechanisms, request formats, and response schemas. Adapters implement the ThreatIntelProvider interface while internally handling the translation, making all providers interchangeable to the rest of the system.</w:t>
      </w:r>
    </w:p>
    <w:p>
      <w:pPr>
        <w:spacing w:after="0" w:before="60"/>
      </w:pPr>
    </w:p>
    <w:p>
      <w:r>
        <w:rPr>
          <w:rFonts w:ascii="Arial" w:cs="Arial" w:eastAsia="Arial" w:hAnsi="Arial"/>
          <w:b/>
          <w:bCs/>
          <w:color w:val="1A1A1A"/>
          <w:sz w:val="20"/>
          <w:szCs w:val="20"/>
        </w:rPr>
        <w:t xml:space="preserve">Code Annotation Requirement:</w:t>
      </w:r>
      <w:r>
        <w:rPr>
          <w:rFonts w:ascii="Arial" w:cs="Arial" w:eastAsia="Arial" w:hAnsi="Arial"/>
          <w:color w:val="1A1A1A"/>
          <w:sz w:val="20"/>
          <w:szCs w:val="20"/>
        </w:rPr>
        <w:t xml:space="preserve">  // PATTERN: Adapter — VirusTotalAdapter, MISPAdapter, CustomFeedAdapter</w:t>
      </w:r>
    </w:p>
    <w:p>
      <w:pPr>
        <w:spacing w:after="0" w:before="80"/>
      </w:pPr>
    </w:p>
    <w:p>
      <w:pPr>
        <w:pStyle w:val="Heading3"/>
        <w:spacing w:after="80" w:before="200"/>
      </w:pPr>
      <w:r>
        <w:rPr>
          <w:rFonts w:ascii="Arial" w:cs="Arial" w:eastAsia="Arial" w:hAnsi="Arial"/>
          <w:b/>
          <w:bCs/>
          <w:color w:val="2E75B6"/>
          <w:sz w:val="22"/>
          <w:szCs w:val="22"/>
        </w:rPr>
        <w:t xml:space="preserve">Screenshot Placeholder — Adapter Pattern Code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5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ThreatIntelProvider.java (interface), VirusTotalAdapter.java, MISPAdapter.java — Adapter Pattern</w:t>
            </w:r>
          </w:p>
        </w:tc>
      </w:tr>
    </w:tbl>
    <w:p>
      <w:pPr>
        <w:spacing w:after="0" w:before="120"/>
      </w:pPr>
    </w:p>
    <w:p>
      <w:pPr>
        <w:pStyle w:val="Heading3"/>
        <w:spacing w:after="80" w:before="200"/>
      </w:pPr>
      <w:r>
        <w:rPr>
          <w:rFonts w:ascii="Arial" w:cs="Arial" w:eastAsia="Arial" w:hAnsi="Arial"/>
          <w:b/>
          <w:bCs/>
          <w:color w:val="2E75B6"/>
          <w:sz w:val="22"/>
          <w:szCs w:val="22"/>
        </w:rPr>
        <w:t xml:space="preserve">Pattern 11: Proxy — Threat Intel Access Control Layer</w:t>
      </w:r>
    </w:p>
    <w:p>
      <w:pPr>
        <w:spacing w:after="60" w:before="60"/>
      </w:pPr>
      <w:r>
        <w:rPr>
          <w:rFonts w:ascii="Arial" w:cs="Arial" w:eastAsia="Arial" w:hAnsi="Arial"/>
          <w:color w:val="1A1A1A"/>
          <w:sz w:val="20"/>
          <w:szCs w:val="20"/>
        </w:rPr>
        <w:t xml:space="preserve">External threat intel APIs are expensive (paid per query), rate-limited, and require authorization. Three proxy classes address each concern independently. They can be composed: CachingProxy wraps RateLimitProxy which wraps AccessControlProxy which wraps the real provider.</w:t>
      </w:r>
    </w:p>
    <w:p>
      <w:pPr>
        <w:spacing w:after="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6660"/>
      </w:tblGrid>
      <w:tr>
        <w:tc>
          <w:tcPr>
            <w:tcW w:type="dxa" w:w="26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Proxy Class</w:t>
            </w:r>
          </w:p>
        </w:tc>
        <w:tc>
          <w:tcPr>
            <w:tcW w:type="dxa" w:w="666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CachingProxy</w:t>
            </w:r>
          </w:p>
        </w:tc>
        <w:tc>
          <w:tcPr>
            <w:tcW w:type="dxa" w:w="6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Cache reputation results in Redis (TTL-based); returns cached result on hit, delegates on miss</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RateLimitProxy</w:t>
            </w:r>
          </w:p>
        </w:tc>
        <w:tc>
          <w:tcPr>
            <w:tcW w:type="dxa" w:w="6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Track API call counts per time window; throw RateLimitExceededException to prevent billing overruns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AccessControlProxy</w:t>
            </w:r>
          </w:p>
        </w:tc>
        <w:tc>
          <w:tcPr>
            <w:tcW w:type="dxa" w:w="6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Verify analyst/service has required permissions before forwarding threat intel queries</w:t>
            </w:r>
          </w:p>
        </w:tc>
      </w:tr>
    </w:tbl>
    <w:p>
      <w:pPr>
        <w:spacing w:after="0" w:before="80"/>
      </w:pPr>
    </w:p>
    <w:p>
      <w:r>
        <w:rPr>
          <w:rFonts w:ascii="Arial" w:cs="Arial" w:eastAsia="Arial" w:hAnsi="Arial"/>
          <w:b/>
          <w:bCs/>
          <w:color w:val="1A1A1A"/>
          <w:sz w:val="20"/>
          <w:szCs w:val="20"/>
        </w:rPr>
        <w:t xml:space="preserve">Code Annotation Requirement:</w:t>
      </w:r>
      <w:r>
        <w:rPr>
          <w:rFonts w:ascii="Arial" w:cs="Arial" w:eastAsia="Arial" w:hAnsi="Arial"/>
          <w:color w:val="1A1A1A"/>
          <w:sz w:val="20"/>
          <w:szCs w:val="20"/>
        </w:rPr>
        <w:t xml:space="preserve">  // PATTERN: Proxy — ThreatIntelProxy, CachingProxy, RateLimitProxy, AccessControlProxy</w:t>
      </w:r>
    </w:p>
    <w:p>
      <w:pPr>
        <w:spacing w:after="0" w:before="80"/>
      </w:pPr>
    </w:p>
    <w:p>
      <w:pPr>
        <w:pStyle w:val="Heading3"/>
        <w:spacing w:after="80" w:before="200"/>
      </w:pPr>
      <w:r>
        <w:rPr>
          <w:rFonts w:ascii="Arial" w:cs="Arial" w:eastAsia="Arial" w:hAnsi="Arial"/>
          <w:b/>
          <w:bCs/>
          <w:color w:val="2E75B6"/>
          <w:sz w:val="22"/>
          <w:szCs w:val="22"/>
        </w:rPr>
        <w:t xml:space="preserve">Screenshot Placeholder — Proxy Pattern Code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5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CachingProxy.java, RateLimitProxy.java, AccessControlProxy.java — Proxy Pattern</w:t>
            </w:r>
          </w:p>
        </w:tc>
      </w:tr>
    </w:tbl>
    <w:p>
      <w:pPr>
        <w:spacing w:after="0" w:before="200"/>
      </w:pPr>
    </w:p>
    <w:p>
      <w:pPr>
        <w:pStyle w:val="Heading2"/>
        <w:pBdr>
          <w:bottom w:val="single" w:color="2E75B6" w:sz="2"/>
        </w:pBdr>
        <w:spacing w:after="100" w:before="280"/>
      </w:pPr>
      <w:r>
        <w:rPr>
          <w:rFonts w:ascii="Arial" w:cs="Arial" w:eastAsia="Arial" w:hAnsi="Arial"/>
          <w:b/>
          <w:bCs/>
          <w:color w:val="1F3864"/>
          <w:sz w:val="26"/>
          <w:szCs w:val="26"/>
        </w:rPr>
        <w:t xml:space="preserve">3.3 Notification Service &amp; Alert Processing Middleware</w:t>
      </w:r>
    </w:p>
    <w:p>
      <w:pPr>
        <w:pStyle w:val="Heading3"/>
        <w:spacing w:after="80" w:before="200"/>
      </w:pPr>
      <w:r>
        <w:rPr>
          <w:rFonts w:ascii="Arial" w:cs="Arial" w:eastAsia="Arial" w:hAnsi="Arial"/>
          <w:b/>
          <w:bCs/>
          <w:color w:val="2E75B6"/>
          <w:sz w:val="22"/>
          <w:szCs w:val="22"/>
        </w:rPr>
        <w:t xml:space="preserve">3.3.1 Notification Service</w:t>
      </w:r>
    </w:p>
    <w:p>
      <w:pPr>
        <w:spacing w:after="60" w:before="60"/>
      </w:pPr>
      <w:r>
        <w:rPr>
          <w:rFonts w:ascii="Arial" w:cs="Arial" w:eastAsia="Arial" w:hAnsi="Arial"/>
          <w:color w:val="1A1A1A"/>
          <w:sz w:val="20"/>
          <w:szCs w:val="20"/>
        </w:rPr>
        <w:t xml:space="preserve">The Notification Service dispatches alerts to SOC analysts and on-call engineers through multiple channels (email, Slack, PagerDuty). It uses the Abstract Factory pattern (co-owned with Student C) to create channel-specific notifier instances appropriate to the deployment tier.</w:t>
      </w:r>
    </w:p>
    <w:p>
      <w:pPr>
        <w:spacing w:after="0" w:before="80"/>
      </w:pPr>
    </w:p>
    <w:p>
      <w:pPr>
        <w:pStyle w:val="Heading3"/>
        <w:spacing w:after="80" w:before="200"/>
      </w:pPr>
      <w:r>
        <w:rPr>
          <w:rFonts w:ascii="Arial" w:cs="Arial" w:eastAsia="Arial" w:hAnsi="Arial"/>
          <w:b/>
          <w:bCs/>
          <w:color w:val="2E75B6"/>
          <w:sz w:val="22"/>
          <w:szCs w:val="22"/>
        </w:rPr>
        <w:t xml:space="preserve">Screenshot Placeholder — NotifierFactory Code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3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NotificationFactory.java (interface), EnterpriseNotificationFactory.java, BasicNotificationFactory.java — Abstract Factory</w:t>
            </w:r>
          </w:p>
        </w:tc>
      </w:tr>
    </w:tbl>
    <w:p>
      <w:pPr>
        <w:spacing w:after="0" w:before="120"/>
      </w:pPr>
    </w:p>
    <w:p>
      <w:pPr>
        <w:pStyle w:val="Heading3"/>
        <w:spacing w:after="80" w:before="200"/>
      </w:pPr>
      <w:r>
        <w:rPr>
          <w:rFonts w:ascii="Arial" w:cs="Arial" w:eastAsia="Arial" w:hAnsi="Arial"/>
          <w:b/>
          <w:bCs/>
          <w:color w:val="2E75B6"/>
          <w:sz w:val="22"/>
          <w:szCs w:val="22"/>
        </w:rPr>
        <w:t xml:space="preserve">3.3.2 Alert Processing Middleware (Chain of Responsibility — Supporting Role)</w:t>
      </w:r>
    </w:p>
    <w:p>
      <w:pPr>
        <w:spacing w:after="60" w:before="60"/>
      </w:pPr>
      <w:r>
        <w:rPr>
          <w:rFonts w:ascii="Arial" w:cs="Arial" w:eastAsia="Arial" w:hAnsi="Arial"/>
          <w:color w:val="1A1A1A"/>
          <w:sz w:val="20"/>
          <w:szCs w:val="20"/>
        </w:rPr>
        <w:t xml:space="preserve">Student B owns the middleware/ directory which implements the physical Chain of Responsibility pipeline that processes incoming alerts. This complements Student A's enrichment-correlation-service and connects the ingestion layer to the enrichment services.</w:t>
      </w:r>
    </w:p>
    <w:p>
      <w:pPr>
        <w:spacing w:after="0" w:before="80"/>
      </w:pPr>
    </w:p>
    <w:p>
      <w:pPr>
        <w:pStyle w:val="Heading3"/>
        <w:spacing w:after="80" w:before="200"/>
      </w:pPr>
      <w:r>
        <w:rPr>
          <w:rFonts w:ascii="Arial" w:cs="Arial" w:eastAsia="Arial" w:hAnsi="Arial"/>
          <w:b/>
          <w:bCs/>
          <w:color w:val="2E75B6"/>
          <w:sz w:val="22"/>
          <w:szCs w:val="22"/>
        </w:rPr>
        <w:t xml:space="preserve">Screenshot Placeholder — Middleware Pipeline Code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2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middleware/src/ directory — DeduplicationHandler, GeoIPHandler, ClassificationHandler, RoutingHandler chain assembly</w:t>
            </w:r>
          </w:p>
        </w:tc>
      </w:tr>
    </w:tbl>
    <w:p>
      <w:r>
        <w:br w:type="page"/>
      </w:r>
    </w:p>
    <w:p>
      <w:pPr>
        <w:pStyle w:val="Heading1"/>
        <w:pBdr>
          <w:bottom w:val="single" w:color="2E75B6" w:sz="4"/>
        </w:pBdr>
        <w:shd w:fill="1F3864" w:val="clear"/>
        <w:spacing w:after="180" w:before="360"/>
        <w:ind w:left="200" w:right="200"/>
      </w:pPr>
      <w:r>
        <w:rPr>
          <w:rFonts w:ascii="Arial" w:cs="Arial" w:eastAsia="Arial" w:hAnsi="Arial"/>
          <w:b/>
          <w:bCs/>
          <w:color w:val="FFFFFF"/>
          <w:sz w:val="32"/>
          <w:szCs w:val="32"/>
        </w:rPr>
        <w:t xml:space="preserve">Part IV: Student C — Muhammad Farhan Ijaz (SAP: 52999)</w:t>
      </w:r>
    </w:p>
    <w:p>
      <w:pPr>
        <w:spacing w:after="160" w:before="80"/>
      </w:pPr>
      <w:r>
        <w:rPr>
          <w:rFonts w:ascii="Arial" w:cs="Arial" w:eastAsia="Arial" w:hAnsi="Arial"/>
          <w:b/>
          <w:bCs/>
          <w:i/>
          <w:iCs/>
          <w:color w:val="2E75B6"/>
          <w:sz w:val="22"/>
          <w:szCs w:val="22"/>
        </w:rPr>
        <w:t xml:space="preserve">Primary Domain: SOC Platform Engineer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75B6" w:sz="1"/>
              <w:left w:val="single" w:color="2E75B6" w:sz="8"/>
              <w:bottom w:val="single" w:color="2E75B6" w:sz="1"/>
              <w:right w:val="single" w:color="2E75B6" w:sz="1"/>
            </w:tcBorders>
            <w:shd w:fill="EEF4FB" w:val="clear"/>
            <w:tcMar>
              <w:top w:type="dxa" w:w="80"/>
              <w:left w:type="dxa" w:w="200"/>
              <w:bottom w:type="dxa" w:w="80"/>
              <w:right w:type="dxa" w:w="120"/>
            </w:tcMar>
          </w:tcPr>
          <w:p>
            <w:pPr>
              <w:spacing w:after="60" w:before="60"/>
            </w:pPr>
            <w:r>
              <w:rPr>
                <w:rFonts w:ascii="Arial" w:cs="Arial" w:eastAsia="Arial" w:hAnsi="Arial"/>
                <w:b/>
                <w:bCs/>
                <w:color w:val="1F3864"/>
                <w:sz w:val="20"/>
                <w:szCs w:val="20"/>
              </w:rPr>
              <w:t xml:space="preserve">Patterns &amp; Architecture Owned by Student C</w:t>
            </w:r>
          </w:p>
          <w:p>
            <w:pPr>
              <w:pStyle w:val="ListParagraph"/>
              <w:numPr>
                <w:ilvl w:val="0"/>
                <w:numId w:val="2"/>
              </w:numPr>
              <w:spacing w:after="30" w:before="30"/>
            </w:pPr>
            <w:r>
              <w:rPr>
                <w:rFonts w:ascii="Arial" w:cs="Arial" w:eastAsia="Arial" w:hAnsi="Arial"/>
                <w:color w:val="404040"/>
                <w:sz w:val="19"/>
                <w:szCs w:val="19"/>
              </w:rPr>
              <w:t xml:space="preserve">Observer — EventBusPublisher, DashboardUpdater, AuditEventLogger, NotificationDispatcher, MetricsCollector</w:t>
            </w:r>
          </w:p>
          <w:p>
            <w:pPr>
              <w:pStyle w:val="ListParagraph"/>
              <w:numPr>
                <w:ilvl w:val="0"/>
                <w:numId w:val="2"/>
              </w:numPr>
              <w:spacing w:after="30" w:before="30"/>
            </w:pPr>
            <w:r>
              <w:rPr>
                <w:rFonts w:ascii="Arial" w:cs="Arial" w:eastAsia="Arial" w:hAnsi="Arial"/>
                <w:color w:val="404040"/>
                <w:sz w:val="19"/>
                <w:szCs w:val="19"/>
              </w:rPr>
              <w:t xml:space="preserve">Singleton — EventBusPublisher (shared with event bus infrastructure)</w:t>
            </w:r>
          </w:p>
          <w:p>
            <w:pPr>
              <w:pStyle w:val="ListParagraph"/>
              <w:numPr>
                <w:ilvl w:val="0"/>
                <w:numId w:val="2"/>
              </w:numPr>
              <w:spacing w:after="30" w:before="30"/>
            </w:pPr>
            <w:r>
              <w:rPr>
                <w:rFonts w:ascii="Arial" w:cs="Arial" w:eastAsia="Arial" w:hAnsi="Arial"/>
                <w:color w:val="404040"/>
                <w:sz w:val="19"/>
                <w:szCs w:val="19"/>
              </w:rPr>
              <w:t xml:space="preserve">MVC — SOC Analyst Dashboard (full Model-View-Controller implementation)</w:t>
            </w:r>
          </w:p>
          <w:p>
            <w:pPr>
              <w:pStyle w:val="ListParagraph"/>
              <w:numPr>
                <w:ilvl w:val="0"/>
                <w:numId w:val="2"/>
              </w:numPr>
              <w:spacing w:after="30" w:before="30"/>
            </w:pPr>
            <w:r>
              <w:rPr>
                <w:rFonts w:ascii="Arial" w:cs="Arial" w:eastAsia="Arial" w:hAnsi="Arial"/>
                <w:color w:val="404040"/>
                <w:sz w:val="19"/>
                <w:szCs w:val="19"/>
              </w:rPr>
              <w:t xml:space="preserve">SOA Architecture — Service orchestration coordination</w:t>
            </w:r>
          </w:p>
          <w:p>
            <w:pPr>
              <w:pStyle w:val="ListParagraph"/>
              <w:numPr>
                <w:ilvl w:val="0"/>
                <w:numId w:val="2"/>
              </w:numPr>
              <w:spacing w:after="30" w:before="30"/>
            </w:pPr>
            <w:r>
              <w:rPr>
                <w:rFonts w:ascii="Arial" w:cs="Arial" w:eastAsia="Arial" w:hAnsi="Arial"/>
                <w:color w:val="404040"/>
                <w:sz w:val="19"/>
                <w:szCs w:val="19"/>
              </w:rPr>
              <w:t xml:space="preserve">Event-Driven Architecture — Event bus topology, schemas, pub/sub wiring</w:t>
            </w:r>
          </w:p>
          <w:p>
            <w:pPr>
              <w:pStyle w:val="ListParagraph"/>
              <w:numPr>
                <w:ilvl w:val="0"/>
                <w:numId w:val="2"/>
              </w:numPr>
              <w:spacing w:after="30" w:before="30"/>
            </w:pPr>
            <w:r>
              <w:rPr>
                <w:rFonts w:ascii="Arial" w:cs="Arial" w:eastAsia="Arial" w:hAnsi="Arial"/>
                <w:color w:val="404040"/>
                <w:sz w:val="19"/>
                <w:szCs w:val="19"/>
              </w:rPr>
              <w:t xml:space="preserve">Layered Architecture — Internal structure of every SOA service</w:t>
            </w:r>
          </w:p>
        </w:tc>
      </w:tr>
    </w:tbl>
    <w:p>
      <w:pPr>
        <w:spacing w:after="0" w:before="200"/>
      </w:pPr>
    </w:p>
    <w:p>
      <w:pPr>
        <w:pStyle w:val="Heading2"/>
        <w:pBdr>
          <w:bottom w:val="single" w:color="2E75B6" w:sz="2"/>
        </w:pBdr>
        <w:spacing w:after="100" w:before="280"/>
      </w:pPr>
      <w:r>
        <w:rPr>
          <w:rFonts w:ascii="Arial" w:cs="Arial" w:eastAsia="Arial" w:hAnsi="Arial"/>
          <w:b/>
          <w:bCs/>
          <w:color w:val="1F3864"/>
          <w:sz w:val="26"/>
          <w:szCs w:val="26"/>
        </w:rPr>
        <w:t xml:space="preserve">4.1 SOC Analyst Dashboard (MVC)</w:t>
      </w:r>
    </w:p>
    <w:p>
      <w:pPr>
        <w:pStyle w:val="Heading3"/>
        <w:spacing w:after="80" w:before="200"/>
      </w:pPr>
      <w:r>
        <w:rPr>
          <w:rFonts w:ascii="Arial" w:cs="Arial" w:eastAsia="Arial" w:hAnsi="Arial"/>
          <w:b/>
          <w:bCs/>
          <w:color w:val="2E75B6"/>
          <w:sz w:val="22"/>
          <w:szCs w:val="22"/>
        </w:rPr>
        <w:t xml:space="preserve">4.1.1 Architecture Overview</w:t>
      </w:r>
    </w:p>
    <w:p>
      <w:pPr>
        <w:spacing w:after="60" w:before="60"/>
      </w:pPr>
      <w:r>
        <w:rPr>
          <w:rFonts w:ascii="Arial" w:cs="Arial" w:eastAsia="Arial" w:hAnsi="Arial"/>
          <w:color w:val="1A1A1A"/>
          <w:sz w:val="20"/>
          <w:szCs w:val="20"/>
        </w:rPr>
        <w:t xml:space="preserve">The SOC Analyst Dashboard is built as a full MVC application. The Controller layer handles HTTP and WebSocket requests. The Model layer contains API clients, DTOs, and local state. The View layer comprises React/Vue components that render live data streams and incident queues.</w:t>
      </w:r>
    </w:p>
    <w:p>
      <w:pPr>
        <w:spacing w:after="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760"/>
      </w:tblGrid>
      <w:tr>
        <w:tc>
          <w:tcPr>
            <w:tcW w:type="dxa" w:w="20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MVC Layer</w:t>
            </w:r>
          </w:p>
        </w:tc>
        <w:tc>
          <w:tcPr>
            <w:tcW w:type="dxa" w:w="35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Directory</w:t>
            </w:r>
          </w:p>
        </w:tc>
        <w:tc>
          <w:tcPr>
            <w:tcW w:type="dxa" w:w="376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Controller</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soc-dashboard/src/controllers/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Route handlers for alerts, incidents, response actions, metrics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Model</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soc-dashboard/src/models/</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API client DTOs, incident state cache, alert stream buffers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soc-dashboard/src/views/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React/Vue components: AlertStream, IncidentQueue, ResponseConsole, MetricsDashboard</w:t>
            </w:r>
          </w:p>
        </w:tc>
      </w:tr>
    </w:tbl>
    <w:p>
      <w:pPr>
        <w:spacing w:after="0" w:before="80"/>
      </w:pPr>
    </w:p>
    <w:p>
      <w:pPr>
        <w:pStyle w:val="Heading3"/>
        <w:spacing w:after="80" w:before="200"/>
      </w:pPr>
      <w:r>
        <w:rPr>
          <w:rFonts w:ascii="Arial" w:cs="Arial" w:eastAsia="Arial" w:hAnsi="Arial"/>
          <w:b/>
          <w:bCs/>
          <w:color w:val="2E75B6"/>
          <w:sz w:val="22"/>
          <w:szCs w:val="22"/>
        </w:rPr>
        <w:t xml:space="preserve">Screenshot Placeholder — Dashboard Directory Structure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0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soc-dashboard/src/ directory structure showing controllers/, models/, views/ separation — MVC Evidence</w:t>
            </w:r>
          </w:p>
        </w:tc>
      </w:tr>
    </w:tbl>
    <w:p>
      <w:pPr>
        <w:spacing w:after="0" w:before="120"/>
      </w:pPr>
    </w:p>
    <w:p>
      <w:pPr>
        <w:pStyle w:val="Heading3"/>
        <w:spacing w:after="80" w:before="200"/>
      </w:pPr>
      <w:r>
        <w:rPr>
          <w:rFonts w:ascii="Arial" w:cs="Arial" w:eastAsia="Arial" w:hAnsi="Arial"/>
          <w:b/>
          <w:bCs/>
          <w:color w:val="2E75B6"/>
          <w:sz w:val="22"/>
          <w:szCs w:val="22"/>
        </w:rPr>
        <w:t xml:space="preserve">4.1.2 Controller Layer</w:t>
      </w:r>
    </w:p>
    <w:p>
      <w:pPr>
        <w:spacing w:after="60" w:before="60"/>
      </w:pPr>
      <w:r>
        <w:rPr>
          <w:rFonts w:ascii="Arial" w:cs="Arial" w:eastAsia="Arial" w:hAnsi="Arial"/>
          <w:color w:val="1A1A1A"/>
          <w:sz w:val="20"/>
          <w:szCs w:val="20"/>
        </w:rPr>
        <w:t xml:space="preserve">Three controllers handle the primary dashboard concerns. AlertStreamController provides a Server-Sent Events (SSE) stream for real-time alert feed. IncidentController exposes CRUD operations plus manual response action triggers. DashboardController aggregates SOC metrics.</w:t>
      </w:r>
    </w:p>
    <w:p>
      <w:pPr>
        <w:spacing w:after="0" w:before="60"/>
      </w:pPr>
    </w:p>
    <w:p>
      <w:r>
        <w:rPr>
          <w:rFonts w:ascii="Arial" w:cs="Arial" w:eastAsia="Arial" w:hAnsi="Arial"/>
          <w:b/>
          <w:bCs/>
          <w:color w:val="1A1A1A"/>
          <w:sz w:val="20"/>
          <w:szCs w:val="20"/>
        </w:rPr>
        <w:t xml:space="preserve">Code Annotation Requirement:</w:t>
      </w:r>
      <w:r>
        <w:rPr>
          <w:rFonts w:ascii="Arial" w:cs="Arial" w:eastAsia="Arial" w:hAnsi="Arial"/>
          <w:color w:val="1A1A1A"/>
          <w:sz w:val="20"/>
          <w:szCs w:val="20"/>
        </w:rPr>
        <w:t xml:space="preserve">  // PATTERN: MVC — AlertStreamController, IncidentController, DashboardController</w:t>
      </w:r>
    </w:p>
    <w:p>
      <w:pPr>
        <w:spacing w:after="0" w:before="80"/>
      </w:pPr>
    </w:p>
    <w:p>
      <w:pPr>
        <w:pStyle w:val="Heading3"/>
        <w:spacing w:after="80" w:before="200"/>
      </w:pPr>
      <w:r>
        <w:rPr>
          <w:rFonts w:ascii="Arial" w:cs="Arial" w:eastAsia="Arial" w:hAnsi="Arial"/>
          <w:b/>
          <w:bCs/>
          <w:color w:val="2E75B6"/>
          <w:sz w:val="22"/>
          <w:szCs w:val="22"/>
        </w:rPr>
        <w:t xml:space="preserve">Screenshot Placeholder — Controller Layer Code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4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AlertStreamController.java, IncidentController.java — MVC Controller Layer</w:t>
            </w:r>
          </w:p>
        </w:tc>
      </w:tr>
    </w:tbl>
    <w:p>
      <w:pPr>
        <w:spacing w:after="0" w:before="120"/>
      </w:pPr>
    </w:p>
    <w:p>
      <w:pPr>
        <w:pStyle w:val="Heading3"/>
        <w:spacing w:after="80" w:before="200"/>
      </w:pPr>
      <w:r>
        <w:rPr>
          <w:rFonts w:ascii="Arial" w:cs="Arial" w:eastAsia="Arial" w:hAnsi="Arial"/>
          <w:b/>
          <w:bCs/>
          <w:color w:val="2E75B6"/>
          <w:sz w:val="22"/>
          <w:szCs w:val="22"/>
        </w:rPr>
        <w:t xml:space="preserve">4.1.3 Model Layer</w:t>
      </w:r>
    </w:p>
    <w:p>
      <w:pPr>
        <w:spacing w:after="60" w:before="60"/>
      </w:pPr>
      <w:r>
        <w:rPr>
          <w:rFonts w:ascii="Arial" w:cs="Arial" w:eastAsia="Arial" w:hAnsi="Arial"/>
          <w:color w:val="1A1A1A"/>
          <w:sz w:val="20"/>
          <w:szCs w:val="20"/>
        </w:rPr>
        <w:t xml:space="preserve">Models act as data access and transformation objects. They wrap API clients to backend services, apply DTOs for type safety, and expose toViewData() methods that transform domain objects into view-friendly structures.</w:t>
      </w:r>
    </w:p>
    <w:p>
      <w:pPr>
        <w:spacing w:after="0" w:before="80"/>
      </w:pPr>
    </w:p>
    <w:p>
      <w:pPr>
        <w:pStyle w:val="Heading3"/>
        <w:spacing w:after="80" w:before="200"/>
      </w:pPr>
      <w:r>
        <w:rPr>
          <w:rFonts w:ascii="Arial" w:cs="Arial" w:eastAsia="Arial" w:hAnsi="Arial"/>
          <w:b/>
          <w:bCs/>
          <w:color w:val="2E75B6"/>
          <w:sz w:val="22"/>
          <w:szCs w:val="22"/>
        </w:rPr>
        <w:t xml:space="preserve">Screenshot Placeholder — Model Layer Code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3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AlertStreamModel.java, IncidentQueueModel.java, DashboardMetricsModel.java — MVC Model Layer</w:t>
            </w:r>
          </w:p>
        </w:tc>
      </w:tr>
    </w:tbl>
    <w:p>
      <w:pPr>
        <w:spacing w:after="0" w:before="120"/>
      </w:pPr>
    </w:p>
    <w:p>
      <w:pPr>
        <w:pStyle w:val="Heading3"/>
        <w:spacing w:after="80" w:before="200"/>
      </w:pPr>
      <w:r>
        <w:rPr>
          <w:rFonts w:ascii="Arial" w:cs="Arial" w:eastAsia="Arial" w:hAnsi="Arial"/>
          <w:b/>
          <w:bCs/>
          <w:color w:val="2E75B6"/>
          <w:sz w:val="22"/>
          <w:szCs w:val="22"/>
        </w:rPr>
        <w:t xml:space="preserve">4.1.4 View Layer</w:t>
      </w:r>
    </w:p>
    <w:p>
      <w:pPr>
        <w:spacing w:after="60" w:before="60"/>
      </w:pPr>
      <w:r>
        <w:rPr>
          <w:rFonts w:ascii="Arial" w:cs="Arial" w:eastAsia="Arial" w:hAnsi="Arial"/>
          <w:color w:val="1A1A1A"/>
          <w:sz w:val="20"/>
          <w:szCs w:val="20"/>
        </w:rPr>
        <w:t xml:space="preserve">Views are React/Vue components that receive data from models and render the SOC interface: real-time alert stream with severity indicators, incident queue with state badges, response action console with approval workflow, and metrics dashboard with MTTD/MTTR KPIs.</w:t>
      </w:r>
    </w:p>
    <w:p>
      <w:pPr>
        <w:spacing w:after="0" w:before="80"/>
      </w:pPr>
    </w:p>
    <w:p>
      <w:pPr>
        <w:pStyle w:val="Heading3"/>
        <w:spacing w:after="80" w:before="200"/>
      </w:pPr>
      <w:r>
        <w:rPr>
          <w:rFonts w:ascii="Arial" w:cs="Arial" w:eastAsia="Arial" w:hAnsi="Arial"/>
          <w:b/>
          <w:bCs/>
          <w:color w:val="2E75B6"/>
          <w:sz w:val="22"/>
          <w:szCs w:val="22"/>
        </w:rPr>
        <w:t xml:space="preserve">Screenshot Placeholder — Dashboard UI Screenshot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8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SOC Dashboard running — Alert Stream panel, Incident Queue panel, Response Console visible</w:t>
            </w:r>
          </w:p>
        </w:tc>
      </w:tr>
    </w:tbl>
    <w:p>
      <w:pPr>
        <w:spacing w:after="0" w:before="200"/>
      </w:pPr>
    </w:p>
    <w:p>
      <w:pPr>
        <w:pStyle w:val="Heading2"/>
        <w:pBdr>
          <w:bottom w:val="single" w:color="2E75B6" w:sz="2"/>
        </w:pBdr>
        <w:spacing w:after="100" w:before="280"/>
      </w:pPr>
      <w:r>
        <w:rPr>
          <w:rFonts w:ascii="Arial" w:cs="Arial" w:eastAsia="Arial" w:hAnsi="Arial"/>
          <w:b/>
          <w:bCs/>
          <w:color w:val="1F3864"/>
          <w:sz w:val="26"/>
          <w:szCs w:val="26"/>
        </w:rPr>
        <w:t xml:space="preserve">4.2 Audit Service &amp; Identity Service</w:t>
      </w:r>
    </w:p>
    <w:p>
      <w:pPr>
        <w:pStyle w:val="Heading3"/>
        <w:spacing w:after="80" w:before="200"/>
      </w:pPr>
      <w:r>
        <w:rPr>
          <w:rFonts w:ascii="Arial" w:cs="Arial" w:eastAsia="Arial" w:hAnsi="Arial"/>
          <w:b/>
          <w:bCs/>
          <w:color w:val="2E75B6"/>
          <w:sz w:val="22"/>
          <w:szCs w:val="22"/>
        </w:rPr>
        <w:t xml:space="preserve">4.2.1 Audit Service</w:t>
      </w:r>
    </w:p>
    <w:p>
      <w:pPr>
        <w:spacing w:after="60" w:before="60"/>
      </w:pPr>
      <w:r>
        <w:rPr>
          <w:rFonts w:ascii="Arial" w:cs="Arial" w:eastAsia="Arial" w:hAnsi="Arial"/>
          <w:color w:val="1A1A1A"/>
          <w:sz w:val="20"/>
          <w:szCs w:val="20"/>
        </w:rPr>
        <w:t xml:space="preserve">The Audit Service acts as an Observer subscriber to all domain events published on the event bus. Every enrichment, classification, state transition, and response action execution is immutably written to the AuditDB for compliance evidence (SOC2, GDPR breach timelines).</w:t>
      </w:r>
    </w:p>
    <w:p>
      <w:pPr>
        <w:spacing w:after="0" w:before="60"/>
      </w:pPr>
    </w:p>
    <w:p>
      <w:r>
        <w:rPr>
          <w:rFonts w:ascii="Arial" w:cs="Arial" w:eastAsia="Arial" w:hAnsi="Arial"/>
          <w:b/>
          <w:bCs/>
          <w:color w:val="1A1A1A"/>
          <w:sz w:val="20"/>
          <w:szCs w:val="20"/>
        </w:rPr>
        <w:t xml:space="preserve">Code Annotation Requirement:</w:t>
      </w:r>
      <w:r>
        <w:rPr>
          <w:rFonts w:ascii="Arial" w:cs="Arial" w:eastAsia="Arial" w:hAnsi="Arial"/>
          <w:color w:val="1A1A1A"/>
          <w:sz w:val="20"/>
          <w:szCs w:val="20"/>
        </w:rPr>
        <w:t xml:space="preserve">  // PATTERN: Observer — AuditEventLogger (Observer implementation)</w:t>
      </w:r>
    </w:p>
    <w:p>
      <w:pPr>
        <w:spacing w:after="0" w:before="80"/>
      </w:pPr>
    </w:p>
    <w:p>
      <w:pPr>
        <w:pStyle w:val="Heading3"/>
        <w:spacing w:after="80" w:before="200"/>
      </w:pPr>
      <w:r>
        <w:rPr>
          <w:rFonts w:ascii="Arial" w:cs="Arial" w:eastAsia="Arial" w:hAnsi="Arial"/>
          <w:b/>
          <w:bCs/>
          <w:color w:val="2E75B6"/>
          <w:sz w:val="22"/>
          <w:szCs w:val="22"/>
        </w:rPr>
        <w:t xml:space="preserve">Screenshot Placeholder — AuditEventLogger Code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2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AuditEventLogger.java — Observer implementation subscribing to domain events and writing to AuditRepository</w:t>
            </w:r>
          </w:p>
        </w:tc>
      </w:tr>
    </w:tbl>
    <w:p>
      <w:pPr>
        <w:spacing w:after="0" w:before="120"/>
      </w:pPr>
    </w:p>
    <w:p>
      <w:pPr>
        <w:pStyle w:val="Heading3"/>
        <w:spacing w:after="80" w:before="200"/>
      </w:pPr>
      <w:r>
        <w:rPr>
          <w:rFonts w:ascii="Arial" w:cs="Arial" w:eastAsia="Arial" w:hAnsi="Arial"/>
          <w:b/>
          <w:bCs/>
          <w:color w:val="2E75B6"/>
          <w:sz w:val="22"/>
          <w:szCs w:val="22"/>
        </w:rPr>
        <w:t xml:space="preserve">4.2.2 Identity Service</w:t>
      </w:r>
    </w:p>
    <w:p>
      <w:pPr>
        <w:spacing w:after="60" w:before="60"/>
      </w:pPr>
      <w:r>
        <w:rPr>
          <w:rFonts w:ascii="Arial" w:cs="Arial" w:eastAsia="Arial" w:hAnsi="Arial"/>
          <w:color w:val="1A1A1A"/>
          <w:sz w:val="20"/>
          <w:szCs w:val="20"/>
        </w:rPr>
        <w:t xml:space="preserve">The Identity Service manages analyst authentication, role-based access control (RBAC), and session tokens stored in Redis. It is used by the AccessControlProxy in the Threat Intel Service and by state transition validators in the Incident Management Service.</w:t>
      </w:r>
    </w:p>
    <w:p>
      <w:pPr>
        <w:spacing w:after="0" w:before="80"/>
      </w:pPr>
    </w:p>
    <w:p>
      <w:pPr>
        <w:pStyle w:val="Heading3"/>
        <w:spacing w:after="80" w:before="200"/>
      </w:pPr>
      <w:r>
        <w:rPr>
          <w:rFonts w:ascii="Arial" w:cs="Arial" w:eastAsia="Arial" w:hAnsi="Arial"/>
          <w:b/>
          <w:bCs/>
          <w:color w:val="2E75B6"/>
          <w:sz w:val="22"/>
          <w:szCs w:val="22"/>
        </w:rPr>
        <w:t xml:space="preserve">Screenshot Placeholder — Identity Service Structure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0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services/identity-service/src/ directory — controllers, services, repositories for analyst identity &amp; RBAC</w:t>
            </w:r>
          </w:p>
        </w:tc>
      </w:tr>
    </w:tbl>
    <w:p>
      <w:pPr>
        <w:spacing w:after="0" w:before="200"/>
      </w:pPr>
    </w:p>
    <w:p>
      <w:pPr>
        <w:pStyle w:val="Heading2"/>
        <w:pBdr>
          <w:bottom w:val="single" w:color="2E75B6" w:sz="2"/>
        </w:pBdr>
        <w:spacing w:after="100" w:before="280"/>
      </w:pPr>
      <w:r>
        <w:rPr>
          <w:rFonts w:ascii="Arial" w:cs="Arial" w:eastAsia="Arial" w:hAnsi="Arial"/>
          <w:b/>
          <w:bCs/>
          <w:color w:val="1F3864"/>
          <w:sz w:val="26"/>
          <w:szCs w:val="26"/>
        </w:rPr>
        <w:t xml:space="preserve">4.3 Event Bus Infrastructure</w:t>
      </w:r>
    </w:p>
    <w:p>
      <w:pPr>
        <w:pStyle w:val="Heading3"/>
        <w:spacing w:after="80" w:before="200"/>
      </w:pPr>
      <w:r>
        <w:rPr>
          <w:rFonts w:ascii="Arial" w:cs="Arial" w:eastAsia="Arial" w:hAnsi="Arial"/>
          <w:b/>
          <w:bCs/>
          <w:color w:val="2E75B6"/>
          <w:sz w:val="22"/>
          <w:szCs w:val="22"/>
        </w:rPr>
        <w:t xml:space="preserve">4.3.1 Observer Pattern — EventBusPublisher</w:t>
      </w:r>
    </w:p>
    <w:p>
      <w:pPr>
        <w:spacing w:after="60" w:before="60"/>
      </w:pPr>
      <w:r>
        <w:rPr>
          <w:rFonts w:ascii="Arial" w:cs="Arial" w:eastAsia="Arial" w:hAnsi="Arial"/>
          <w:color w:val="1A1A1A"/>
          <w:sz w:val="20"/>
          <w:szCs w:val="20"/>
        </w:rPr>
        <w:t xml:space="preserve">The EventBusPublisher is implemented as a Singleton that maintains a registry of Observer subscribers keyed by event type. When a domain event occurs (AlertIngested, IncidentCreated, ResponseActionExecuted), the publisher routes the event to all registered observers concurrently via the RabbitMQ/Kafka message broker.</w:t>
      </w:r>
    </w:p>
    <w:p>
      <w:pPr>
        <w:spacing w:after="0" w:before="60"/>
      </w:pPr>
    </w:p>
    <w:p>
      <w:r>
        <w:rPr>
          <w:rFonts w:ascii="Arial" w:cs="Arial" w:eastAsia="Arial" w:hAnsi="Arial"/>
          <w:b/>
          <w:bCs/>
          <w:color w:val="1A1A1A"/>
          <w:sz w:val="20"/>
          <w:szCs w:val="20"/>
        </w:rPr>
        <w:t xml:space="preserve">Code Annotation Requirement:</w:t>
      </w:r>
      <w:r>
        <w:rPr>
          <w:rFonts w:ascii="Arial" w:cs="Arial" w:eastAsia="Arial" w:hAnsi="Arial"/>
          <w:color w:val="1A1A1A"/>
          <w:sz w:val="20"/>
          <w:szCs w:val="20"/>
        </w:rPr>
        <w:t xml:space="preserve">  // PATTERN: Observer + Singleton — EventBusPublisher</w:t>
      </w:r>
    </w:p>
    <w:p>
      <w:pPr>
        <w:spacing w:after="0" w:before="80"/>
      </w:pPr>
    </w:p>
    <w:p>
      <w:pPr>
        <w:pStyle w:val="Heading3"/>
        <w:spacing w:after="80" w:before="200"/>
      </w:pPr>
      <w:r>
        <w:rPr>
          <w:rFonts w:ascii="Arial" w:cs="Arial" w:eastAsia="Arial" w:hAnsi="Arial"/>
          <w:b/>
          <w:bCs/>
          <w:color w:val="2E75B6"/>
          <w:sz w:val="22"/>
          <w:szCs w:val="22"/>
        </w:rPr>
        <w:t xml:space="preserve">Screenshot Placeholder — EventBusPublisher Code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5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EventBusPublisher.java — Singleton + Subject implementation with Observer registry and publish methods</w:t>
            </w:r>
          </w:p>
        </w:tc>
      </w:tr>
    </w:tbl>
    <w:p>
      <w:pPr>
        <w:spacing w:after="0" w:before="120"/>
      </w:pPr>
    </w:p>
    <w:p>
      <w:pPr>
        <w:pStyle w:val="Heading3"/>
        <w:spacing w:after="80" w:before="200"/>
      </w:pPr>
      <w:r>
        <w:rPr>
          <w:rFonts w:ascii="Arial" w:cs="Arial" w:eastAsia="Arial" w:hAnsi="Arial"/>
          <w:b/>
          <w:bCs/>
          <w:color w:val="2E75B6"/>
          <w:sz w:val="22"/>
          <w:szCs w:val="22"/>
        </w:rPr>
        <w:t xml:space="preserve">4.3.2 Event Schema Definitions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760"/>
      </w:tblGrid>
      <w:tr>
        <w:tc>
          <w:tcPr>
            <w:tcW w:type="dxa" w:w="25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Event Type</w:t>
            </w:r>
          </w:p>
        </w:tc>
        <w:tc>
          <w:tcPr>
            <w:tcW w:type="dxa" w:w="20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Publisher</w:t>
            </w:r>
          </w:p>
        </w:tc>
        <w:tc>
          <w:tcPr>
            <w:tcW w:type="dxa" w:w="476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Subscribers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AlertIngested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Alert Ingestion Svc</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Enrichment, Dashboard, Audit</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AlertEnriched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Enrichment Svc</w:t>
            </w:r>
          </w:p>
        </w:tc>
        <w:tc>
          <w:tcPr>
            <w:tcW w:type="dxa" w:w="4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Correlation, Dashboard, Audit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IncidentCreated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Incident Mgmt Svc</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 Notification, Response Orchestration</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IncidentStateChanged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Incident Mgmt Svc</w:t>
            </w:r>
          </w:p>
        </w:tc>
        <w:tc>
          <w:tcPr>
            <w:tcW w:type="dxa" w:w="4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Dashboard, Audit, Metrics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ResponseActionExecuted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Response Orchestration Svc</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 Audit, Notification</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ThreatIntelUpdated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Threat Intel Svc</w:t>
            </w:r>
          </w:p>
        </w:tc>
        <w:tc>
          <w:tcPr>
            <w:tcW w:type="dxa" w:w="4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Enrichment (cache invalidation)</w:t>
            </w:r>
          </w:p>
        </w:tc>
      </w:tr>
    </w:tbl>
    <w:p>
      <w:pPr>
        <w:spacing w:after="0" w:before="80"/>
      </w:pPr>
    </w:p>
    <w:p>
      <w:pPr>
        <w:pStyle w:val="Heading3"/>
        <w:spacing w:after="80" w:before="200"/>
      </w:pPr>
      <w:r>
        <w:rPr>
          <w:rFonts w:ascii="Arial" w:cs="Arial" w:eastAsia="Arial" w:hAnsi="Arial"/>
          <w:b/>
          <w:bCs/>
          <w:color w:val="2E75B6"/>
          <w:sz w:val="22"/>
          <w:szCs w:val="22"/>
        </w:rPr>
        <w:t xml:space="preserve">Screenshot Placeholder — Event Bus Wiring / Message Broker Config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2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event-bus/src/schemas/ directory — domain event schema definitions; event-bus/src/subscribers/ — Observer wiring</w:t>
            </w:r>
          </w:p>
        </w:tc>
      </w:tr>
    </w:tbl>
    <w:p>
      <w:r>
        <w:br w:type="page"/>
      </w:r>
    </w:p>
    <w:p>
      <w:pPr>
        <w:pStyle w:val="Heading1"/>
        <w:pBdr>
          <w:bottom w:val="single" w:color="2E75B6" w:sz="4"/>
        </w:pBdr>
        <w:shd w:fill="1F3864" w:val="clear"/>
        <w:spacing w:after="180" w:before="360"/>
        <w:ind w:left="200" w:right="200"/>
      </w:pPr>
      <w:r>
        <w:rPr>
          <w:rFonts w:ascii="Arial" w:cs="Arial" w:eastAsia="Arial" w:hAnsi="Arial"/>
          <w:b/>
          <w:bCs/>
          <w:color w:val="FFFFFF"/>
          <w:sz w:val="32"/>
          <w:szCs w:val="32"/>
        </w:rPr>
        <w:t xml:space="preserve">Part V: Architecture &amp; UML Diagrams</w:t>
      </w:r>
    </w:p>
    <w:p>
      <w:pPr>
        <w:pStyle w:val="Heading2"/>
        <w:pBdr>
          <w:bottom w:val="single" w:color="2E75B6" w:sz="2"/>
        </w:pBdr>
        <w:spacing w:after="100" w:before="280"/>
      </w:pPr>
      <w:r>
        <w:rPr>
          <w:rFonts w:ascii="Arial" w:cs="Arial" w:eastAsia="Arial" w:hAnsi="Arial"/>
          <w:b/>
          <w:bCs/>
          <w:color w:val="1F3864"/>
          <w:sz w:val="26"/>
          <w:szCs w:val="26"/>
        </w:rPr>
        <w:t xml:space="preserve">5.1 UML Class Diagram — All 12 Design Patterns</w:t>
      </w:r>
    </w:p>
    <w:p>
      <w:pPr>
        <w:spacing w:after="60" w:before="60"/>
      </w:pPr>
      <w:r>
        <w:rPr>
          <w:rFonts w:ascii="Arial" w:cs="Arial" w:eastAsia="Arial" w:hAnsi="Arial"/>
          <w:color w:val="1A1A1A"/>
          <w:sz w:val="20"/>
          <w:szCs w:val="20"/>
        </w:rPr>
        <w:t xml:space="preserve">The class diagram below covers all 12 mandatory design patterns organized into 8 packages. Paste the PlantUML source (provided in the project PDF appendix) into plantuml.com to render.</w:t>
      </w:r>
    </w:p>
    <w:p>
      <w:pPr>
        <w:spacing w:after="0" w:before="80"/>
      </w:pPr>
    </w:p>
    <w:p>
      <w:pPr>
        <w:pStyle w:val="Heading3"/>
        <w:spacing w:after="80" w:before="200"/>
      </w:pPr>
      <w:r>
        <w:rPr>
          <w:rFonts w:ascii="Arial" w:cs="Arial" w:eastAsia="Arial" w:hAnsi="Arial"/>
          <w:b/>
          <w:bCs/>
          <w:color w:val="2E75B6"/>
          <w:sz w:val="22"/>
          <w:szCs w:val="22"/>
        </w:rPr>
        <w:t xml:space="preserve">Screenshot Placeholder — UML Class Diagram</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36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INSERT: UML Class Diagram rendered from SDA-Pro_Class_Diagram PlantUML source — All 12 patterns, 8 packages</w:t>
            </w:r>
          </w:p>
        </w:tc>
      </w:tr>
    </w:tbl>
    <w:p>
      <w:pPr>
        <w:spacing w:after="0" w:before="160"/>
      </w:pPr>
    </w:p>
    <w:p>
      <w:pPr>
        <w:pStyle w:val="Heading2"/>
        <w:pBdr>
          <w:bottom w:val="single" w:color="2E75B6" w:sz="2"/>
        </w:pBdr>
        <w:spacing w:after="100" w:before="280"/>
      </w:pPr>
      <w:r>
        <w:rPr>
          <w:rFonts w:ascii="Arial" w:cs="Arial" w:eastAsia="Arial" w:hAnsi="Arial"/>
          <w:b/>
          <w:bCs/>
          <w:color w:val="1F3864"/>
          <w:sz w:val="26"/>
          <w:szCs w:val="26"/>
        </w:rPr>
        <w:t xml:space="preserve">5.2 UML Component &amp; Deployment Diagram — SOA Architecture</w:t>
      </w:r>
    </w:p>
    <w:p>
      <w:pPr>
        <w:spacing w:after="60" w:before="60"/>
      </w:pPr>
      <w:r>
        <w:rPr>
          <w:rFonts w:ascii="Arial" w:cs="Arial" w:eastAsia="Arial" w:hAnsi="Arial"/>
          <w:color w:val="1A1A1A"/>
          <w:sz w:val="20"/>
          <w:szCs w:val="20"/>
        </w:rPr>
        <w:t xml:space="preserve">The component diagram illustrates all SOA services, the message broker backbone, data layer, MVC dashboard, and middleware pipeline, along with all synchronous (gRPC/REST) and asynchronous (event-driven) relationships between components.</w:t>
      </w:r>
    </w:p>
    <w:p>
      <w:pPr>
        <w:spacing w:after="0" w:before="80"/>
      </w:pPr>
    </w:p>
    <w:p>
      <w:pPr>
        <w:pStyle w:val="Heading3"/>
        <w:spacing w:after="80" w:before="200"/>
      </w:pPr>
      <w:r>
        <w:rPr>
          <w:rFonts w:ascii="Arial" w:cs="Arial" w:eastAsia="Arial" w:hAnsi="Arial"/>
          <w:b/>
          <w:bCs/>
          <w:color w:val="2E75B6"/>
          <w:sz w:val="22"/>
          <w:szCs w:val="22"/>
        </w:rPr>
        <w:t xml:space="preserve">Screenshot Placeholder — UML Component Diagram</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36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INSERT: UML Component Diagram rendered from SDA-Pro_Component_Diagram PlantUML source — SOA Architecture</w:t>
            </w:r>
          </w:p>
        </w:tc>
      </w:tr>
    </w:tbl>
    <w:p>
      <w:pPr>
        <w:spacing w:after="0" w:before="160"/>
      </w:pPr>
    </w:p>
    <w:p>
      <w:pPr>
        <w:pStyle w:val="Heading2"/>
        <w:pBdr>
          <w:bottom w:val="single" w:color="2E75B6" w:sz="2"/>
        </w:pBdr>
        <w:spacing w:after="100" w:before="280"/>
      </w:pPr>
      <w:r>
        <w:rPr>
          <w:rFonts w:ascii="Arial" w:cs="Arial" w:eastAsia="Arial" w:hAnsi="Arial"/>
          <w:b/>
          <w:bCs/>
          <w:color w:val="1F3864"/>
          <w:sz w:val="26"/>
          <w:szCs w:val="26"/>
        </w:rPr>
        <w:t xml:space="preserve">5.3 UML Sequence Diagram — Alert Ingestion &amp; Enrichment Pipeline</w:t>
      </w:r>
    </w:p>
    <w:p>
      <w:pPr>
        <w:spacing w:after="60" w:before="60"/>
      </w:pPr>
      <w:r>
        <w:rPr>
          <w:rFonts w:ascii="Arial" w:cs="Arial" w:eastAsia="Arial" w:hAnsi="Arial"/>
          <w:color w:val="1A1A1A"/>
          <w:sz w:val="20"/>
          <w:szCs w:val="20"/>
        </w:rPr>
        <w:t xml:space="preserve">This sequence diagram traces a single Splunk webhook alert through: Factory Method normalization → Composite grouping → Chain of Responsibility enrichment pipeline (5 handlers) → Proxy/Adapter threat intel lookup → Strategy correlation → State-based incident creation → Observer event publication to Dashboard and Audit.</w:t>
      </w:r>
    </w:p>
    <w:p>
      <w:pPr>
        <w:spacing w:after="0" w:before="80"/>
      </w:pPr>
    </w:p>
    <w:p>
      <w:pPr>
        <w:pStyle w:val="Heading3"/>
        <w:spacing w:after="80" w:before="200"/>
      </w:pPr>
      <w:r>
        <w:rPr>
          <w:rFonts w:ascii="Arial" w:cs="Arial" w:eastAsia="Arial" w:hAnsi="Arial"/>
          <w:b/>
          <w:bCs/>
          <w:color w:val="2E75B6"/>
          <w:sz w:val="22"/>
          <w:szCs w:val="22"/>
        </w:rPr>
        <w:t xml:space="preserve">Screenshot Placeholder — Sequence Diagram: Alert Ingestion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36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INSERT: UML Sequence Diagram rendered from SDA-Pro_Sequence_Ingestion PlantUML source</w:t>
            </w:r>
          </w:p>
        </w:tc>
      </w:tr>
    </w:tbl>
    <w:p>
      <w:pPr>
        <w:spacing w:after="0" w:before="160"/>
      </w:pPr>
    </w:p>
    <w:p>
      <w:pPr>
        <w:pStyle w:val="Heading2"/>
        <w:pBdr>
          <w:bottom w:val="single" w:color="2E75B6" w:sz="2"/>
        </w:pBdr>
        <w:spacing w:after="100" w:before="280"/>
      </w:pPr>
      <w:r>
        <w:rPr>
          <w:rFonts w:ascii="Arial" w:cs="Arial" w:eastAsia="Arial" w:hAnsi="Arial"/>
          <w:b/>
          <w:bCs/>
          <w:color w:val="1F3864"/>
          <w:sz w:val="26"/>
          <w:szCs w:val="26"/>
        </w:rPr>
        <w:t xml:space="preserve">5.4 UML Sequence Diagram — Incident Response Orchestration</w:t>
      </w:r>
    </w:p>
    <w:p>
      <w:pPr>
        <w:spacing w:after="60" w:before="60"/>
      </w:pPr>
      <w:r>
        <w:rPr>
          <w:rFonts w:ascii="Arial" w:cs="Arial" w:eastAsia="Arial" w:hAnsi="Arial"/>
          <w:color w:val="1A1A1A"/>
          <w:sz w:val="20"/>
          <w:szCs w:val="20"/>
        </w:rPr>
        <w:t xml:space="preserve">This sequence diagram traces an analyst-triggered response: Facade coordination → State transition (Triage → Containment) → Strategy selection → Factory + Decorator chain → Proxy authorization → Adapter execution (PaloAlto firewall block) → State auto-transition → Observer fan-out to Dashboard and Notification.</w:t>
      </w:r>
    </w:p>
    <w:p>
      <w:pPr>
        <w:spacing w:after="0" w:before="80"/>
      </w:pPr>
    </w:p>
    <w:p>
      <w:pPr>
        <w:pStyle w:val="Heading3"/>
        <w:spacing w:after="80" w:before="200"/>
      </w:pPr>
      <w:r>
        <w:rPr>
          <w:rFonts w:ascii="Arial" w:cs="Arial" w:eastAsia="Arial" w:hAnsi="Arial"/>
          <w:b/>
          <w:bCs/>
          <w:color w:val="2E75B6"/>
          <w:sz w:val="22"/>
          <w:szCs w:val="22"/>
        </w:rPr>
        <w:t xml:space="preserve">Screenshot Placeholder — Sequence Diagram: Incident Response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36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INSERT: UML Sequence Diagram rendered from SDA-Pro_Sequence_Response PlantUML source</w:t>
            </w:r>
          </w:p>
        </w:tc>
      </w:tr>
    </w:tbl>
    <w:p>
      <w:pPr>
        <w:spacing w:after="0" w:before="160"/>
      </w:pPr>
    </w:p>
    <w:p>
      <w:pPr>
        <w:pStyle w:val="Heading2"/>
        <w:pBdr>
          <w:bottom w:val="single" w:color="2E75B6" w:sz="2"/>
        </w:pBdr>
        <w:spacing w:after="100" w:before="280"/>
      </w:pPr>
      <w:r>
        <w:rPr>
          <w:rFonts w:ascii="Arial" w:cs="Arial" w:eastAsia="Arial" w:hAnsi="Arial"/>
          <w:b/>
          <w:bCs/>
          <w:color w:val="1F3864"/>
          <w:sz w:val="26"/>
          <w:szCs w:val="26"/>
        </w:rPr>
        <w:t xml:space="preserve">5.5 Architecture Styles Evidence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760"/>
      </w:tblGrid>
      <w:tr>
        <w:tc>
          <w:tcPr>
            <w:tcW w:type="dxa" w:w="20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Architecture Style</w:t>
            </w:r>
          </w:p>
        </w:tc>
        <w:tc>
          <w:tcPr>
            <w:tcW w:type="dxa" w:w="35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Where Applied</w:t>
            </w:r>
          </w:p>
        </w:tc>
        <w:tc>
          <w:tcPr>
            <w:tcW w:type="dxa" w:w="376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Evidence Required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SOA</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8 core services as autonomous units with defined contracts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Component diagram, API specs, service contracts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MVC</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SOC Analyst Dashboard (soc-dashboard/)</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Directory structure with controllers/, models/, views/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Layered Architecture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Internal structure of every SOA service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Presentation → Business Logic → Data Access separation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Event-Driven Architecture</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Alert ingestion, incident state changes, response completions</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Event schemas, message broker topology, pub/sub evidence</w:t>
            </w:r>
          </w:p>
        </w:tc>
      </w:tr>
    </w:tbl>
    <w:p>
      <w:r>
        <w:br w:type="page"/>
      </w:r>
    </w:p>
    <w:p>
      <w:pPr>
        <w:pStyle w:val="Heading1"/>
        <w:pBdr>
          <w:bottom w:val="single" w:color="2E75B6" w:sz="4"/>
        </w:pBdr>
        <w:shd w:fill="1F3864" w:val="clear"/>
        <w:spacing w:after="180" w:before="360"/>
        <w:ind w:left="200" w:right="200"/>
      </w:pPr>
      <w:r>
        <w:rPr>
          <w:rFonts w:ascii="Arial" w:cs="Arial" w:eastAsia="Arial" w:hAnsi="Arial"/>
          <w:b/>
          <w:bCs/>
          <w:color w:val="FFFFFF"/>
          <w:sz w:val="32"/>
          <w:szCs w:val="32"/>
        </w:rPr>
        <w:t xml:space="preserve">Part VI: API Contracts &amp; Event Schema</w:t>
      </w:r>
    </w:p>
    <w:p>
      <w:pPr>
        <w:pStyle w:val="Heading2"/>
        <w:pBdr>
          <w:bottom w:val="single" w:color="2E75B6" w:sz="2"/>
        </w:pBdr>
        <w:spacing w:after="100" w:before="280"/>
      </w:pPr>
      <w:r>
        <w:rPr>
          <w:rFonts w:ascii="Arial" w:cs="Arial" w:eastAsia="Arial" w:hAnsi="Arial"/>
          <w:b/>
          <w:bCs/>
          <w:color w:val="1F3864"/>
          <w:sz w:val="26"/>
          <w:szCs w:val="26"/>
        </w:rPr>
        <w:t xml:space="preserve">6.1 Synchronous REST/gRPC Contracts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260"/>
      </w:tblGrid>
      <w:tr>
        <w:tc>
          <w:tcPr>
            <w:tcW w:type="dxa" w:w="28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22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426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/ingest/splunk</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Webhook: Splunk alert ingestion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/ingest/crowdstrike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Streaming: CrowdStrike EDR events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/incidents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 list incident queue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/incidents/{id}/actions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Dashboard: trigger manual response action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/threat-intel/reputation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Response Orchestration: check IP/file hash reputation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/notifications/dispatch</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Response Orchestration: send analyst notification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/identity/analysts/{id}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 get analyst profile and permissions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/audit/reports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Dashboard: generate compliance report</w:t>
            </w:r>
          </w:p>
        </w:tc>
      </w:tr>
    </w:tbl>
    <w:p>
      <w:pPr>
        <w:spacing w:after="0" w:before="160"/>
      </w:pPr>
    </w:p>
    <w:p>
      <w:pPr>
        <w:pStyle w:val="Heading2"/>
        <w:pBdr>
          <w:bottom w:val="single" w:color="2E75B6" w:sz="2"/>
        </w:pBdr>
        <w:spacing w:after="100" w:before="280"/>
      </w:pPr>
      <w:r>
        <w:rPr>
          <w:rFonts w:ascii="Arial" w:cs="Arial" w:eastAsia="Arial" w:hAnsi="Arial"/>
          <w:b/>
          <w:bCs/>
          <w:color w:val="1F3864"/>
          <w:sz w:val="26"/>
          <w:szCs w:val="26"/>
        </w:rPr>
        <w:t xml:space="preserve">6.2 Canonical Alert Schema (Shared Contract)</w:t>
      </w:r>
    </w:p>
    <w:p>
      <w:pPr>
        <w:spacing w:after="80" w:before="80"/>
      </w:pPr>
      <w:r>
        <w:rPr>
          <w:rFonts w:ascii="Courier New" w:cs="Courier New" w:eastAsia="Courier New" w:hAnsi="Courier New"/>
          <w:color w:val="C7254E"/>
          <w:sz w:val="19"/>
          <w:szCs w:val="19"/>
        </w:rPr>
        <w:t xml:space="preserve">shared/contracts/CanonicalAlert.json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75B6" w:sz="1"/>
              <w:left w:val="single" w:color="2E75B6" w:sz="8"/>
              <w:bottom w:val="single" w:color="2E75B6" w:sz="1"/>
              <w:right w:val="single" w:color="2E75B6" w:sz="1"/>
            </w:tcBorders>
            <w:shd w:fill="EEF4FB" w:val="clear"/>
            <w:tcMar>
              <w:top w:type="dxa" w:w="80"/>
              <w:left w:type="dxa" w:w="200"/>
              <w:bottom w:type="dxa" w:w="80"/>
              <w:right w:type="dxa" w:w="120"/>
            </w:tcMar>
          </w:tcPr>
          <w:p>
            <w:pPr>
              <w:spacing w:after="60" w:before="60"/>
            </w:pPr>
            <w:r>
              <w:rPr>
                <w:rFonts w:ascii="Arial" w:cs="Arial" w:eastAsia="Arial" w:hAnsi="Arial"/>
                <w:b/>
                <w:bCs/>
                <w:color w:val="1F3864"/>
                <w:sz w:val="20"/>
                <w:szCs w:val="20"/>
              </w:rPr>
              <w:t xml:space="preserve">CanonicalAlert Fields</w:t>
            </w:r>
          </w:p>
          <w:p>
            <w:pPr>
              <w:pStyle w:val="ListParagraph"/>
              <w:numPr>
                <w:ilvl w:val="0"/>
                <w:numId w:val="2"/>
              </w:numPr>
              <w:spacing w:after="30" w:before="30"/>
            </w:pPr>
            <w:r>
              <w:rPr>
                <w:rFonts w:ascii="Arial" w:cs="Arial" w:eastAsia="Arial" w:hAnsi="Arial"/>
                <w:color w:val="404040"/>
                <w:sz w:val="19"/>
                <w:szCs w:val="19"/>
              </w:rPr>
              <w:t xml:space="preserve">id: UUID — globally unique alert identifier</w:t>
            </w:r>
          </w:p>
          <w:p>
            <w:pPr>
              <w:pStyle w:val="ListParagraph"/>
              <w:numPr>
                <w:ilvl w:val="0"/>
                <w:numId w:val="2"/>
              </w:numPr>
              <w:spacing w:after="30" w:before="30"/>
            </w:pPr>
            <w:r>
              <w:rPr>
                <w:rFonts w:ascii="Arial" w:cs="Arial" w:eastAsia="Arial" w:hAnsi="Arial"/>
                <w:color w:val="404040"/>
                <w:sz w:val="19"/>
                <w:szCs w:val="19"/>
              </w:rPr>
              <w:t xml:space="preserve">sourceType: AlertSourceType — SPLUNK | CROWDSTRIKE | FIREWALL | CLOUD_SIEM</w:t>
            </w:r>
          </w:p>
          <w:p>
            <w:pPr>
              <w:pStyle w:val="ListParagraph"/>
              <w:numPr>
                <w:ilvl w:val="0"/>
                <w:numId w:val="2"/>
              </w:numPr>
              <w:spacing w:after="30" w:before="30"/>
            </w:pPr>
            <w:r>
              <w:rPr>
                <w:rFonts w:ascii="Arial" w:cs="Arial" w:eastAsia="Arial" w:hAnsi="Arial"/>
                <w:color w:val="404040"/>
                <w:sz w:val="19"/>
                <w:szCs w:val="19"/>
              </w:rPr>
              <w:t xml:space="preserve">rawPayload: JsonNode — original source payload (preserved for forensics)</w:t>
            </w:r>
          </w:p>
          <w:p>
            <w:pPr>
              <w:pStyle w:val="ListParagraph"/>
              <w:numPr>
                <w:ilvl w:val="0"/>
                <w:numId w:val="2"/>
              </w:numPr>
              <w:spacing w:after="30" w:before="30"/>
            </w:pPr>
            <w:r>
              <w:rPr>
                <w:rFonts w:ascii="Arial" w:cs="Arial" w:eastAsia="Arial" w:hAnsi="Arial"/>
                <w:color w:val="404040"/>
                <w:sz w:val="19"/>
                <w:szCs w:val="19"/>
              </w:rPr>
              <w:t xml:space="preserve">timestamp: Instant — event occurrence time (ISO-8601)</w:t>
            </w:r>
          </w:p>
          <w:p>
            <w:pPr>
              <w:pStyle w:val="ListParagraph"/>
              <w:numPr>
                <w:ilvl w:val="0"/>
                <w:numId w:val="2"/>
              </w:numPr>
              <w:spacing w:after="30" w:before="30"/>
            </w:pPr>
            <w:r>
              <w:rPr>
                <w:rFonts w:ascii="Arial" w:cs="Arial" w:eastAsia="Arial" w:hAnsi="Arial"/>
                <w:color w:val="404040"/>
                <w:sz w:val="19"/>
                <w:szCs w:val="19"/>
              </w:rPr>
              <w:t xml:space="preserve">severity: Severity — CRITICAL | HIGH | MEDIUM | LOW (set by ClassificationHandler)</w:t>
            </w:r>
          </w:p>
          <w:p>
            <w:pPr>
              <w:pStyle w:val="ListParagraph"/>
              <w:numPr>
                <w:ilvl w:val="0"/>
                <w:numId w:val="2"/>
              </w:numPr>
              <w:spacing w:after="30" w:before="30"/>
            </w:pPr>
            <w:r>
              <w:rPr>
                <w:rFonts w:ascii="Arial" w:cs="Arial" w:eastAsia="Arial" w:hAnsi="Arial"/>
                <w:color w:val="404040"/>
                <w:sz w:val="19"/>
                <w:szCs w:val="19"/>
              </w:rPr>
              <w:t xml:space="preserve">sourceIP: String — attacker or anomalous source IP address</w:t>
            </w:r>
          </w:p>
          <w:p>
            <w:pPr>
              <w:pStyle w:val="ListParagraph"/>
              <w:numPr>
                <w:ilvl w:val="0"/>
                <w:numId w:val="2"/>
              </w:numPr>
              <w:spacing w:after="30" w:before="30"/>
            </w:pPr>
            <w:r>
              <w:rPr>
                <w:rFonts w:ascii="Arial" w:cs="Arial" w:eastAsia="Arial" w:hAnsi="Arial"/>
                <w:color w:val="404040"/>
                <w:sz w:val="19"/>
                <w:szCs w:val="19"/>
              </w:rPr>
              <w:t xml:space="preserve">destinationIP: String — target IP address</w:t>
            </w:r>
          </w:p>
          <w:p>
            <w:pPr>
              <w:pStyle w:val="ListParagraph"/>
              <w:numPr>
                <w:ilvl w:val="0"/>
                <w:numId w:val="2"/>
              </w:numPr>
              <w:spacing w:after="30" w:before="30"/>
            </w:pPr>
            <w:r>
              <w:rPr>
                <w:rFonts w:ascii="Arial" w:cs="Arial" w:eastAsia="Arial" w:hAnsi="Arial"/>
                <w:color w:val="404040"/>
                <w:sz w:val="19"/>
                <w:szCs w:val="19"/>
              </w:rPr>
              <w:t xml:space="preserve">indicators: List&lt;ThreatIndicator&gt; — IOCs extracted from raw payload</w:t>
            </w:r>
          </w:p>
          <w:p>
            <w:pPr>
              <w:pStyle w:val="ListParagraph"/>
              <w:numPr>
                <w:ilvl w:val="0"/>
                <w:numId w:val="2"/>
              </w:numPr>
              <w:spacing w:after="30" w:before="30"/>
            </w:pPr>
            <w:r>
              <w:rPr>
                <w:rFonts w:ascii="Arial" w:cs="Arial" w:eastAsia="Arial" w:hAnsi="Arial"/>
                <w:color w:val="404040"/>
                <w:sz w:val="19"/>
                <w:szCs w:val="19"/>
              </w:rPr>
              <w:t xml:space="preserve">enrichments: Map&lt;String,Object&gt; — geo location, reputation, asset context</w:t>
            </w:r>
          </w:p>
        </w:tc>
      </w:tr>
    </w:tbl>
    <w:p>
      <w:pPr>
        <w:spacing w:after="0" w:before="160"/>
      </w:pPr>
    </w:p>
    <w:p>
      <w:pPr>
        <w:pStyle w:val="Heading2"/>
        <w:pBdr>
          <w:bottom w:val="single" w:color="2E75B6" w:sz="2"/>
        </w:pBdr>
        <w:spacing w:after="100" w:before="280"/>
      </w:pPr>
      <w:r>
        <w:rPr>
          <w:rFonts w:ascii="Arial" w:cs="Arial" w:eastAsia="Arial" w:hAnsi="Arial"/>
          <w:b/>
          <w:bCs/>
          <w:color w:val="1F3864"/>
          <w:sz w:val="26"/>
          <w:szCs w:val="26"/>
        </w:rPr>
        <w:t xml:space="preserve">6.3 Asynchronous Event Schema</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75B6" w:sz="1"/>
              <w:left w:val="single" w:color="2E75B6" w:sz="8"/>
              <w:bottom w:val="single" w:color="2E75B6" w:sz="1"/>
              <w:right w:val="single" w:color="2E75B6" w:sz="1"/>
            </w:tcBorders>
            <w:shd w:fill="EEF4FB" w:val="clear"/>
            <w:tcMar>
              <w:top w:type="dxa" w:w="80"/>
              <w:left w:type="dxa" w:w="200"/>
              <w:bottom w:type="dxa" w:w="80"/>
              <w:right w:type="dxa" w:w="120"/>
            </w:tcMar>
          </w:tcPr>
          <w:p>
            <w:pPr>
              <w:spacing w:after="60" w:before="60"/>
            </w:pPr>
            <w:r>
              <w:rPr>
                <w:rFonts w:ascii="Arial" w:cs="Arial" w:eastAsia="Arial" w:hAnsi="Arial"/>
                <w:b/>
                <w:bCs/>
                <w:color w:val="1F3864"/>
                <w:sz w:val="20"/>
                <w:szCs w:val="20"/>
              </w:rPr>
              <w:t xml:space="preserve">Domain Event: IncidentCreated</w:t>
            </w:r>
          </w:p>
          <w:p>
            <w:pPr>
              <w:pStyle w:val="ListParagraph"/>
              <w:numPr>
                <w:ilvl w:val="0"/>
                <w:numId w:val="2"/>
              </w:numPr>
              <w:spacing w:after="30" w:before="30"/>
            </w:pPr>
            <w:r>
              <w:rPr>
                <w:rFonts w:ascii="Arial" w:cs="Arial" w:eastAsia="Arial" w:hAnsi="Arial"/>
                <w:color w:val="404040"/>
                <w:sz w:val="19"/>
                <w:szCs w:val="19"/>
              </w:rPr>
              <w:t xml:space="preserve">eventType: 'IncidentCreated'</w:t>
            </w:r>
          </w:p>
          <w:p>
            <w:pPr>
              <w:pStyle w:val="ListParagraph"/>
              <w:numPr>
                <w:ilvl w:val="0"/>
                <w:numId w:val="2"/>
              </w:numPr>
              <w:spacing w:after="30" w:before="30"/>
            </w:pPr>
            <w:r>
              <w:rPr>
                <w:rFonts w:ascii="Arial" w:cs="Arial" w:eastAsia="Arial" w:hAnsi="Arial"/>
                <w:color w:val="404040"/>
                <w:sz w:val="19"/>
                <w:szCs w:val="19"/>
              </w:rPr>
              <w:t xml:space="preserve">incidentId: UUID</w:t>
            </w:r>
          </w:p>
          <w:p>
            <w:pPr>
              <w:pStyle w:val="ListParagraph"/>
              <w:numPr>
                <w:ilvl w:val="0"/>
                <w:numId w:val="2"/>
              </w:numPr>
              <w:spacing w:after="30" w:before="30"/>
            </w:pPr>
            <w:r>
              <w:rPr>
                <w:rFonts w:ascii="Arial" w:cs="Arial" w:eastAsia="Arial" w:hAnsi="Arial"/>
                <w:color w:val="404040"/>
                <w:sz w:val="19"/>
                <w:szCs w:val="19"/>
              </w:rPr>
              <w:t xml:space="preserve">triggeredByAlertId: UUID</w:t>
            </w:r>
          </w:p>
          <w:p>
            <w:pPr>
              <w:pStyle w:val="ListParagraph"/>
              <w:numPr>
                <w:ilvl w:val="0"/>
                <w:numId w:val="2"/>
              </w:numPr>
              <w:spacing w:after="30" w:before="30"/>
            </w:pPr>
            <w:r>
              <w:rPr>
                <w:rFonts w:ascii="Arial" w:cs="Arial" w:eastAsia="Arial" w:hAnsi="Arial"/>
                <w:color w:val="404040"/>
                <w:sz w:val="19"/>
                <w:szCs w:val="19"/>
              </w:rPr>
              <w:t xml:space="preserve">severity: Severity</w:t>
            </w:r>
          </w:p>
          <w:p>
            <w:pPr>
              <w:pStyle w:val="ListParagraph"/>
              <w:numPr>
                <w:ilvl w:val="0"/>
                <w:numId w:val="2"/>
              </w:numPr>
              <w:spacing w:after="30" w:before="30"/>
            </w:pPr>
            <w:r>
              <w:rPr>
                <w:rFonts w:ascii="Arial" w:cs="Arial" w:eastAsia="Arial" w:hAnsi="Arial"/>
                <w:color w:val="404040"/>
                <w:sz w:val="19"/>
                <w:szCs w:val="19"/>
              </w:rPr>
              <w:t xml:space="preserve">assignedAnalystId: UUID (nullable)</w:t>
            </w:r>
          </w:p>
          <w:p>
            <w:pPr>
              <w:pStyle w:val="ListParagraph"/>
              <w:numPr>
                <w:ilvl w:val="0"/>
                <w:numId w:val="2"/>
              </w:numPr>
              <w:spacing w:after="30" w:before="30"/>
            </w:pPr>
            <w:r>
              <w:rPr>
                <w:rFonts w:ascii="Arial" w:cs="Arial" w:eastAsia="Arial" w:hAnsi="Arial"/>
                <w:color w:val="404040"/>
                <w:sz w:val="19"/>
                <w:szCs w:val="19"/>
              </w:rPr>
              <w:t xml:space="preserve">state: 'NEW'</w:t>
            </w:r>
          </w:p>
          <w:p>
            <w:pPr>
              <w:pStyle w:val="ListParagraph"/>
              <w:numPr>
                <w:ilvl w:val="0"/>
                <w:numId w:val="2"/>
              </w:numPr>
              <w:spacing w:after="30" w:before="30"/>
            </w:pPr>
            <w:r>
              <w:rPr>
                <w:rFonts w:ascii="Arial" w:cs="Arial" w:eastAsia="Arial" w:hAnsi="Arial"/>
                <w:color w:val="404040"/>
                <w:sz w:val="19"/>
                <w:szCs w:val="19"/>
              </w:rPr>
              <w:t xml:space="preserve">createdAt: Instant</w:t>
            </w:r>
          </w:p>
          <w:p>
            <w:pPr>
              <w:pStyle w:val="ListParagraph"/>
              <w:numPr>
                <w:ilvl w:val="0"/>
                <w:numId w:val="2"/>
              </w:numPr>
              <w:spacing w:after="30" w:before="30"/>
            </w:pPr>
            <w:r>
              <w:rPr>
                <w:rFonts w:ascii="Arial" w:cs="Arial" w:eastAsia="Arial" w:hAnsi="Arial"/>
                <w:color w:val="404040"/>
                <w:sz w:val="19"/>
                <w:szCs w:val="19"/>
              </w:rPr>
              <w:t xml:space="preserve">correlationRule: String</w:t>
            </w:r>
          </w:p>
        </w:tc>
      </w:tr>
    </w:tbl>
    <w:p>
      <w:pPr>
        <w:spacing w:after="0" w:before="80"/>
      </w:pPr>
    </w:p>
    <w:p>
      <w:pPr>
        <w:pStyle w:val="Heading3"/>
        <w:spacing w:after="80" w:before="200"/>
      </w:pPr>
      <w:r>
        <w:rPr>
          <w:rFonts w:ascii="Arial" w:cs="Arial" w:eastAsia="Arial" w:hAnsi="Arial"/>
          <w:b/>
          <w:bCs/>
          <w:color w:val="2E75B6"/>
          <w:sz w:val="22"/>
          <w:szCs w:val="22"/>
        </w:rPr>
        <w:t xml:space="preserve">Screenshot Placeholder — OpenAPI / AsyncAPI Contract Files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2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docs/api/ directory — OpenAPI YAML files for synchronous endpoints + AsyncAPI YAML for event schemas</w:t>
            </w:r>
          </w:p>
        </w:tc>
      </w:tr>
    </w:tbl>
    <w:p>
      <w:r>
        <w:br w:type="page"/>
      </w:r>
    </w:p>
    <w:p>
      <w:pPr>
        <w:pStyle w:val="Heading1"/>
        <w:pBdr>
          <w:bottom w:val="single" w:color="2E75B6" w:sz="4"/>
        </w:pBdr>
        <w:shd w:fill="1F3864" w:val="clear"/>
        <w:spacing w:after="180" w:before="360"/>
        <w:ind w:left="200" w:right="200"/>
      </w:pPr>
      <w:r>
        <w:rPr>
          <w:rFonts w:ascii="Arial" w:cs="Arial" w:eastAsia="Arial" w:hAnsi="Arial"/>
          <w:b/>
          <w:bCs/>
          <w:color w:val="FFFFFF"/>
          <w:sz w:val="32"/>
          <w:szCs w:val="32"/>
        </w:rPr>
        <w:t xml:space="preserve">Part VII: Testing Strategy</w:t>
      </w:r>
    </w:p>
    <w:p>
      <w:pPr>
        <w:pStyle w:val="Heading2"/>
        <w:pBdr>
          <w:bottom w:val="single" w:color="2E75B6" w:sz="2"/>
        </w:pBdr>
        <w:spacing w:after="100" w:before="280"/>
      </w:pPr>
      <w:r>
        <w:rPr>
          <w:rFonts w:ascii="Arial" w:cs="Arial" w:eastAsia="Arial" w:hAnsi="Arial"/>
          <w:b/>
          <w:bCs/>
          <w:color w:val="1F3864"/>
          <w:sz w:val="26"/>
          <w:szCs w:val="26"/>
        </w:rPr>
        <w:t xml:space="preserve">7.1 Test Type Overview</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260"/>
      </w:tblGrid>
      <w:tr>
        <w:tc>
          <w:tcPr>
            <w:tcW w:type="dxa" w:w="22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Test Type</w:t>
            </w:r>
          </w:p>
        </w:tc>
        <w:tc>
          <w:tcPr>
            <w:tcW w:type="dxa" w:w="28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Scope</w:t>
            </w:r>
          </w:p>
        </w:tc>
        <w:tc>
          <w:tcPr>
            <w:tcW w:type="dxa" w:w="20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c>
          <w:tcPr>
            <w:tcW w:type="dxa" w:w="226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Tool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Unit Tests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Individual classes — each pattern in isolation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Each student for their modules</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JUnit 5 / Jest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Integration Tests</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Service + DB + Message Bus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Rotating pair each week</w:t>
            </w:r>
          </w:p>
        </w:tc>
        <w:tc>
          <w:tcPr>
            <w:tcW w:type="dxa" w:w="2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Testcontainers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Contract Tests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request/response shapes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Provider service owner</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Pact / REST Assured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End-to-End Tests</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 docker-compose stack</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3 together (M4)</w:t>
            </w:r>
          </w:p>
        </w:tc>
        <w:tc>
          <w:tcPr>
            <w:tcW w:type="dxa" w:w="2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Docker + custom scripts</w:t>
            </w:r>
          </w:p>
        </w:tc>
      </w:tr>
    </w:tbl>
    <w:p>
      <w:pPr>
        <w:spacing w:after="0" w:before="160"/>
      </w:pPr>
    </w:p>
    <w:p>
      <w:pPr>
        <w:pStyle w:val="Heading2"/>
        <w:pBdr>
          <w:bottom w:val="single" w:color="2E75B6" w:sz="2"/>
        </w:pBdr>
        <w:spacing w:after="100" w:before="280"/>
      </w:pPr>
      <w:r>
        <w:rPr>
          <w:rFonts w:ascii="Arial" w:cs="Arial" w:eastAsia="Arial" w:hAnsi="Arial"/>
          <w:b/>
          <w:bCs/>
          <w:color w:val="1F3864"/>
          <w:sz w:val="26"/>
          <w:szCs w:val="26"/>
        </w:rPr>
        <w:t xml:space="preserve">7.2 Key Unit Test Scenarios</w:t>
      </w:r>
    </w:p>
    <w:p>
      <w:pPr>
        <w:pStyle w:val="Heading3"/>
        <w:spacing w:after="80" w:before="200"/>
      </w:pPr>
      <w:r>
        <w:rPr>
          <w:rFonts w:ascii="Arial" w:cs="Arial" w:eastAsia="Arial" w:hAnsi="Arial"/>
          <w:b/>
          <w:bCs/>
          <w:color w:val="2E75B6"/>
          <w:sz w:val="22"/>
          <w:szCs w:val="22"/>
        </w:rPr>
        <w:t xml:space="preserve">Student A — Sudais Malik</w:t>
      </w:r>
    </w:p>
    <w:p>
      <w:pPr>
        <w:pStyle w:val="ListParagraph"/>
        <w:numPr>
          <w:ilvl w:val="0"/>
          <w:numId w:val="2"/>
        </w:numPr>
        <w:spacing w:after="40" w:before="40"/>
      </w:pPr>
      <w:r>
        <w:rPr>
          <w:rFonts w:ascii="Arial" w:cs="Arial" w:eastAsia="Arial" w:hAnsi="Arial"/>
          <w:color w:val="1A1A1A"/>
          <w:sz w:val="20"/>
          <w:szCs w:val="20"/>
        </w:rPr>
        <w:t xml:space="preserve">AlertNormalizerFactory returns SplunkNormalizer for SPLUNK source type</w:t>
      </w:r>
    </w:p>
    <w:p>
      <w:pPr>
        <w:pStyle w:val="ListParagraph"/>
        <w:numPr>
          <w:ilvl w:val="0"/>
          <w:numId w:val="2"/>
        </w:numPr>
        <w:spacing w:after="40" w:before="40"/>
      </w:pPr>
      <w:r>
        <w:rPr>
          <w:rFonts w:ascii="Arial" w:cs="Arial" w:eastAsia="Arial" w:hAnsi="Arial"/>
          <w:color w:val="1A1A1A"/>
          <w:sz w:val="20"/>
          <w:szCs w:val="20"/>
        </w:rPr>
        <w:t xml:space="preserve">AlertNormalizerFactory returns CrowdStrikeNormalizer for CROWDSTRIKE source type</w:t>
      </w:r>
    </w:p>
    <w:p>
      <w:pPr>
        <w:pStyle w:val="ListParagraph"/>
        <w:numPr>
          <w:ilvl w:val="0"/>
          <w:numId w:val="2"/>
        </w:numPr>
        <w:spacing w:after="40" w:before="40"/>
      </w:pPr>
      <w:r>
        <w:rPr>
          <w:rFonts w:ascii="Arial" w:cs="Arial" w:eastAsia="Arial" w:hAnsi="Arial"/>
          <w:color w:val="1A1A1A"/>
          <w:sz w:val="20"/>
          <w:szCs w:val="20"/>
        </w:rPr>
        <w:t xml:space="preserve">AlertCampaign.getMaxSeverity() returns CRITICAL when any child alert is CRITICAL</w:t>
      </w:r>
    </w:p>
    <w:p>
      <w:pPr>
        <w:pStyle w:val="ListParagraph"/>
        <w:numPr>
          <w:ilvl w:val="0"/>
          <w:numId w:val="2"/>
        </w:numPr>
        <w:spacing w:after="40" w:before="40"/>
      </w:pPr>
      <w:r>
        <w:rPr>
          <w:rFonts w:ascii="Arial" w:cs="Arial" w:eastAsia="Arial" w:hAnsi="Arial"/>
          <w:color w:val="1A1A1A"/>
          <w:sz w:val="20"/>
          <w:szCs w:val="20"/>
        </w:rPr>
        <w:t xml:space="preserve">Incident.beginTriage() succeeds from NewState, throws from ClosedState</w:t>
      </w:r>
    </w:p>
    <w:p>
      <w:pPr>
        <w:pStyle w:val="ListParagraph"/>
        <w:numPr>
          <w:ilvl w:val="0"/>
          <w:numId w:val="2"/>
        </w:numPr>
        <w:spacing w:after="40" w:before="40"/>
      </w:pPr>
      <w:r>
        <w:rPr>
          <w:rFonts w:ascii="Arial" w:cs="Arial" w:eastAsia="Arial" w:hAnsi="Arial"/>
          <w:color w:val="1A1A1A"/>
          <w:sz w:val="20"/>
          <w:szCs w:val="20"/>
        </w:rPr>
        <w:t xml:space="preserve">ContainmentState.evaluateAutoTransition() triggers EradicationState when all actions succeed</w:t>
      </w:r>
    </w:p>
    <w:p>
      <w:pPr>
        <w:pStyle w:val="ListParagraph"/>
        <w:numPr>
          <w:ilvl w:val="0"/>
          <w:numId w:val="2"/>
        </w:numPr>
        <w:spacing w:after="40" w:before="40"/>
      </w:pPr>
      <w:r>
        <w:rPr>
          <w:rFonts w:ascii="Arial" w:cs="Arial" w:eastAsia="Arial" w:hAnsi="Arial"/>
          <w:color w:val="1A1A1A"/>
          <w:sz w:val="20"/>
          <w:szCs w:val="20"/>
        </w:rPr>
        <w:t xml:space="preserve">DeduplicationHandler drops duplicate alert within 60-second window</w:t>
      </w:r>
    </w:p>
    <w:p>
      <w:pPr>
        <w:pStyle w:val="Heading3"/>
        <w:spacing w:after="80" w:before="200"/>
      </w:pPr>
      <w:r>
        <w:rPr>
          <w:rFonts w:ascii="Arial" w:cs="Arial" w:eastAsia="Arial" w:hAnsi="Arial"/>
          <w:b/>
          <w:bCs/>
          <w:color w:val="2E75B6"/>
          <w:sz w:val="22"/>
          <w:szCs w:val="22"/>
        </w:rPr>
        <w:t xml:space="preserve">Student B — Muhammad Salman Akbar</w:t>
      </w:r>
    </w:p>
    <w:p>
      <w:pPr>
        <w:pStyle w:val="ListParagraph"/>
        <w:numPr>
          <w:ilvl w:val="0"/>
          <w:numId w:val="2"/>
        </w:numPr>
        <w:spacing w:after="40" w:before="40"/>
      </w:pPr>
      <w:r>
        <w:rPr>
          <w:rFonts w:ascii="Arial" w:cs="Arial" w:eastAsia="Arial" w:hAnsi="Arial"/>
          <w:color w:val="1A1A1A"/>
          <w:sz w:val="20"/>
          <w:szCs w:val="20"/>
        </w:rPr>
        <w:t xml:space="preserve">IncidentResponseFacade.assessAndRespond() selects AggressiveContainmentStrategy for CRITICAL+HIGH</w:t>
      </w:r>
    </w:p>
    <w:p>
      <w:pPr>
        <w:pStyle w:val="ListParagraph"/>
        <w:numPr>
          <w:ilvl w:val="0"/>
          <w:numId w:val="2"/>
        </w:numPr>
        <w:spacing w:after="40" w:before="40"/>
      </w:pPr>
      <w:r>
        <w:rPr>
          <w:rFonts w:ascii="Arial" w:cs="Arial" w:eastAsia="Arial" w:hAnsi="Arial"/>
          <w:color w:val="1A1A1A"/>
          <w:sz w:val="20"/>
          <w:szCs w:val="20"/>
        </w:rPr>
        <w:t xml:space="preserve">AuditLogDecorator.execute() calls preActionAuditLog() before and postActionAuditLog() after delegate</w:t>
      </w:r>
    </w:p>
    <w:p>
      <w:pPr>
        <w:pStyle w:val="ListParagraph"/>
        <w:numPr>
          <w:ilvl w:val="0"/>
          <w:numId w:val="2"/>
        </w:numPr>
        <w:spacing w:after="40" w:before="40"/>
      </w:pPr>
      <w:r>
        <w:rPr>
          <w:rFonts w:ascii="Arial" w:cs="Arial" w:eastAsia="Arial" w:hAnsi="Arial"/>
          <w:color w:val="1A1A1A"/>
          <w:sz w:val="20"/>
          <w:szCs w:val="20"/>
        </w:rPr>
        <w:t xml:space="preserve">ApprovalGateDecorator.execute() blocks execution when approvalGranted = false</w:t>
      </w:r>
    </w:p>
    <w:p>
      <w:pPr>
        <w:pStyle w:val="ListParagraph"/>
        <w:numPr>
          <w:ilvl w:val="0"/>
          <w:numId w:val="2"/>
        </w:numPr>
        <w:spacing w:after="40" w:before="40"/>
      </w:pPr>
      <w:r>
        <w:rPr>
          <w:rFonts w:ascii="Arial" w:cs="Arial" w:eastAsia="Arial" w:hAnsi="Arial"/>
          <w:color w:val="1A1A1A"/>
          <w:sz w:val="20"/>
          <w:szCs w:val="20"/>
        </w:rPr>
        <w:t xml:space="preserve">CachingProxy returns cached result on cache hit without delegating to real provider</w:t>
      </w:r>
    </w:p>
    <w:p>
      <w:pPr>
        <w:pStyle w:val="ListParagraph"/>
        <w:numPr>
          <w:ilvl w:val="0"/>
          <w:numId w:val="2"/>
        </w:numPr>
        <w:spacing w:after="40" w:before="40"/>
      </w:pPr>
      <w:r>
        <w:rPr>
          <w:rFonts w:ascii="Arial" w:cs="Arial" w:eastAsia="Arial" w:hAnsi="Arial"/>
          <w:color w:val="1A1A1A"/>
          <w:sz w:val="20"/>
          <w:szCs w:val="20"/>
        </w:rPr>
        <w:t xml:space="preserve">RateLimitProxy throws RateLimitExceededException when request count exceeds window limit</w:t>
      </w:r>
    </w:p>
    <w:p>
      <w:pPr>
        <w:pStyle w:val="ListParagraph"/>
        <w:numPr>
          <w:ilvl w:val="0"/>
          <w:numId w:val="2"/>
        </w:numPr>
        <w:spacing w:after="40" w:before="40"/>
      </w:pPr>
      <w:r>
        <w:rPr>
          <w:rFonts w:ascii="Arial" w:cs="Arial" w:eastAsia="Arial" w:hAnsi="Arial"/>
          <w:color w:val="1A1A1A"/>
          <w:sz w:val="20"/>
          <w:szCs w:val="20"/>
        </w:rPr>
        <w:t xml:space="preserve">VirusTotalAdapter.checkReputation() maps VirusTotal JSON schema to ReputationResult</w:t>
      </w:r>
    </w:p>
    <w:p>
      <w:pPr>
        <w:pStyle w:val="Heading3"/>
        <w:spacing w:after="80" w:before="200"/>
      </w:pPr>
      <w:r>
        <w:rPr>
          <w:rFonts w:ascii="Arial" w:cs="Arial" w:eastAsia="Arial" w:hAnsi="Arial"/>
          <w:b/>
          <w:bCs/>
          <w:color w:val="2E75B6"/>
          <w:sz w:val="22"/>
          <w:szCs w:val="22"/>
        </w:rPr>
        <w:t xml:space="preserve">Student C — Muhammad Farhan Ijaz</w:t>
      </w:r>
    </w:p>
    <w:p>
      <w:pPr>
        <w:pStyle w:val="ListParagraph"/>
        <w:numPr>
          <w:ilvl w:val="0"/>
          <w:numId w:val="2"/>
        </w:numPr>
        <w:spacing w:after="40" w:before="40"/>
      </w:pPr>
      <w:r>
        <w:rPr>
          <w:rFonts w:ascii="Arial" w:cs="Arial" w:eastAsia="Arial" w:hAnsi="Arial"/>
          <w:color w:val="1A1A1A"/>
          <w:sz w:val="20"/>
          <w:szCs w:val="20"/>
        </w:rPr>
        <w:t xml:space="preserve">EventBusPublisher.getInstance() always returns same instance (Singleton)</w:t>
      </w:r>
    </w:p>
    <w:p>
      <w:pPr>
        <w:pStyle w:val="ListParagraph"/>
        <w:numPr>
          <w:ilvl w:val="0"/>
          <w:numId w:val="2"/>
        </w:numPr>
        <w:spacing w:after="40" w:before="40"/>
      </w:pPr>
      <w:r>
        <w:rPr>
          <w:rFonts w:ascii="Arial" w:cs="Arial" w:eastAsia="Arial" w:hAnsi="Arial"/>
          <w:color w:val="1A1A1A"/>
          <w:sz w:val="20"/>
          <w:szCs w:val="20"/>
        </w:rPr>
        <w:t xml:space="preserve">EventBusPublisher.notify() calls update() on all registered observers for event type</w:t>
      </w:r>
    </w:p>
    <w:p>
      <w:pPr>
        <w:pStyle w:val="ListParagraph"/>
        <w:numPr>
          <w:ilvl w:val="0"/>
          <w:numId w:val="2"/>
        </w:numPr>
        <w:spacing w:after="40" w:before="40"/>
      </w:pPr>
      <w:r>
        <w:rPr>
          <w:rFonts w:ascii="Arial" w:cs="Arial" w:eastAsia="Arial" w:hAnsi="Arial"/>
          <w:color w:val="1A1A1A"/>
          <w:sz w:val="20"/>
          <w:szCs w:val="20"/>
        </w:rPr>
        <w:t xml:space="preserve">DashboardUpdater.update() sends WebSocket message to connected analyst sessions</w:t>
      </w:r>
    </w:p>
    <w:p>
      <w:pPr>
        <w:pStyle w:val="ListParagraph"/>
        <w:numPr>
          <w:ilvl w:val="0"/>
          <w:numId w:val="2"/>
        </w:numPr>
        <w:spacing w:after="40" w:before="40"/>
      </w:pPr>
      <w:r>
        <w:rPr>
          <w:rFonts w:ascii="Arial" w:cs="Arial" w:eastAsia="Arial" w:hAnsi="Arial"/>
          <w:color w:val="1A1A1A"/>
          <w:sz w:val="20"/>
          <w:szCs w:val="20"/>
        </w:rPr>
        <w:t xml:space="preserve">AuditEventLogger.update() persists audit record with correct event metadata</w:t>
      </w:r>
    </w:p>
    <w:p>
      <w:pPr>
        <w:spacing w:after="0" w:before="160"/>
      </w:pPr>
    </w:p>
    <w:p>
      <w:pPr>
        <w:pStyle w:val="Heading2"/>
        <w:pBdr>
          <w:bottom w:val="single" w:color="2E75B6" w:sz="2"/>
        </w:pBdr>
        <w:spacing w:after="100" w:before="280"/>
      </w:pPr>
      <w:r>
        <w:rPr>
          <w:rFonts w:ascii="Arial" w:cs="Arial" w:eastAsia="Arial" w:hAnsi="Arial"/>
          <w:b/>
          <w:bCs/>
          <w:color w:val="1F3864"/>
          <w:sz w:val="26"/>
          <w:szCs w:val="26"/>
        </w:rPr>
        <w:t xml:space="preserve">7.3 End-to-End Test Scenario</w:t>
      </w:r>
    </w:p>
    <w:p>
      <w:pPr>
        <w:spacing w:after="60" w:before="60"/>
      </w:pPr>
      <w:r>
        <w:rPr>
          <w:rFonts w:ascii="Arial" w:cs="Arial" w:eastAsia="Arial" w:hAnsi="Arial"/>
          <w:color w:val="1A1A1A"/>
          <w:sz w:val="20"/>
          <w:szCs w:val="20"/>
        </w:rPr>
        <w:t xml:space="preserve">The M4 integration test validates the complete happy-path flow:</w:t>
      </w:r>
    </w:p>
    <w:p>
      <w:pPr>
        <w:pStyle w:val="ListParagraph"/>
        <w:numPr>
          <w:ilvl w:val="0"/>
          <w:numId w:val="2"/>
        </w:numPr>
        <w:spacing w:after="40" w:before="40"/>
      </w:pPr>
      <w:r>
        <w:rPr>
          <w:rFonts w:ascii="Arial" w:cs="Arial" w:eastAsia="Arial" w:hAnsi="Arial"/>
          <w:color w:val="1A1A1A"/>
          <w:sz w:val="20"/>
          <w:szCs w:val="20"/>
        </w:rPr>
        <w:t xml:space="preserve">POST /ingest/splunk with sample CrowdStrike EDR alert payload</w:t>
      </w:r>
    </w:p>
    <w:p>
      <w:pPr>
        <w:pStyle w:val="ListParagraph"/>
        <w:numPr>
          <w:ilvl w:val="0"/>
          <w:numId w:val="2"/>
        </w:numPr>
        <w:spacing w:after="40" w:before="40"/>
      </w:pPr>
      <w:r>
        <w:rPr>
          <w:rFonts w:ascii="Arial" w:cs="Arial" w:eastAsia="Arial" w:hAnsi="Arial"/>
          <w:color w:val="1A1A1A"/>
          <w:sz w:val="20"/>
          <w:szCs w:val="20"/>
        </w:rPr>
        <w:t xml:space="preserve">Assert alert appears in enriched state with GeoIP + reputation context within 3 seconds</w:t>
      </w:r>
    </w:p>
    <w:p>
      <w:pPr>
        <w:pStyle w:val="ListParagraph"/>
        <w:numPr>
          <w:ilvl w:val="0"/>
          <w:numId w:val="2"/>
        </w:numPr>
        <w:spacing w:after="40" w:before="40"/>
      </w:pPr>
      <w:r>
        <w:rPr>
          <w:rFonts w:ascii="Arial" w:cs="Arial" w:eastAsia="Arial" w:hAnsi="Arial"/>
          <w:color w:val="1A1A1A"/>
          <w:sz w:val="20"/>
          <w:szCs w:val="20"/>
        </w:rPr>
        <w:t xml:space="preserve">Assert Incident created in NewState and published to event bus</w:t>
      </w:r>
    </w:p>
    <w:p>
      <w:pPr>
        <w:pStyle w:val="ListParagraph"/>
        <w:numPr>
          <w:ilvl w:val="0"/>
          <w:numId w:val="2"/>
        </w:numPr>
        <w:spacing w:after="40" w:before="40"/>
      </w:pPr>
      <w:r>
        <w:rPr>
          <w:rFonts w:ascii="Arial" w:cs="Arial" w:eastAsia="Arial" w:hAnsi="Arial"/>
          <w:color w:val="1A1A1A"/>
          <w:sz w:val="20"/>
          <w:szCs w:val="20"/>
        </w:rPr>
        <w:t xml:space="preserve">Assert DashboardUpdater broadcasts IncidentCreated to connected WebSocket clients</w:t>
      </w:r>
    </w:p>
    <w:p>
      <w:pPr>
        <w:pStyle w:val="ListParagraph"/>
        <w:numPr>
          <w:ilvl w:val="0"/>
          <w:numId w:val="2"/>
        </w:numPr>
        <w:spacing w:after="40" w:before="40"/>
      </w:pPr>
      <w:r>
        <w:rPr>
          <w:rFonts w:ascii="Arial" w:cs="Arial" w:eastAsia="Arial" w:hAnsi="Arial"/>
          <w:color w:val="1A1A1A"/>
          <w:sz w:val="20"/>
          <w:szCs w:val="20"/>
        </w:rPr>
        <w:t xml:space="preserve">POST /incidents/{id}/respond → assert AggressiveContainmentStrategy selected for CRITICAL incident</w:t>
      </w:r>
    </w:p>
    <w:p>
      <w:pPr>
        <w:pStyle w:val="ListParagraph"/>
        <w:numPr>
          <w:ilvl w:val="0"/>
          <w:numId w:val="2"/>
        </w:numPr>
        <w:spacing w:after="40" w:before="40"/>
      </w:pPr>
      <w:r>
        <w:rPr>
          <w:rFonts w:ascii="Arial" w:cs="Arial" w:eastAsia="Arial" w:hAnsi="Arial"/>
          <w:color w:val="1A1A1A"/>
          <w:sz w:val="20"/>
          <w:szCs w:val="20"/>
        </w:rPr>
        <w:t xml:space="preserve">Assert BlockIPAction executed via PaloAlto adapter mock (verified via mock assertion)</w:t>
      </w:r>
    </w:p>
    <w:p>
      <w:pPr>
        <w:pStyle w:val="ListParagraph"/>
        <w:numPr>
          <w:ilvl w:val="0"/>
          <w:numId w:val="2"/>
        </w:numPr>
        <w:spacing w:after="40" w:before="40"/>
      </w:pPr>
      <w:r>
        <w:rPr>
          <w:rFonts w:ascii="Arial" w:cs="Arial" w:eastAsia="Arial" w:hAnsi="Arial"/>
          <w:color w:val="1A1A1A"/>
          <w:sz w:val="20"/>
          <w:szCs w:val="20"/>
        </w:rPr>
        <w:t xml:space="preserve">Assert Incident auto-transitions to EradicationState after successful containment</w:t>
      </w:r>
    </w:p>
    <w:p>
      <w:pPr>
        <w:pStyle w:val="ListParagraph"/>
        <w:numPr>
          <w:ilvl w:val="0"/>
          <w:numId w:val="2"/>
        </w:numPr>
        <w:spacing w:after="40" w:before="40"/>
      </w:pPr>
      <w:r>
        <w:rPr>
          <w:rFonts w:ascii="Arial" w:cs="Arial" w:eastAsia="Arial" w:hAnsi="Arial"/>
          <w:color w:val="1A1A1A"/>
          <w:sz w:val="20"/>
          <w:szCs w:val="20"/>
        </w:rPr>
        <w:t xml:space="preserve">Assert audit trail contains all 6 action records with timestamps and outcomes</w:t>
      </w:r>
    </w:p>
    <w:p>
      <w:pPr>
        <w:spacing w:after="0" w:before="80"/>
      </w:pPr>
    </w:p>
    <w:p>
      <w:pPr>
        <w:pStyle w:val="Heading3"/>
        <w:spacing w:after="80" w:before="200"/>
      </w:pPr>
      <w:r>
        <w:rPr>
          <w:rFonts w:ascii="Arial" w:cs="Arial" w:eastAsia="Arial" w:hAnsi="Arial"/>
          <w:b/>
          <w:bCs/>
          <w:color w:val="2E75B6"/>
          <w:sz w:val="22"/>
          <w:szCs w:val="22"/>
        </w:rPr>
        <w:t xml:space="preserve">Screenshot Placeholder — Test Results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4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Test run output — unit test suite passing for all 3 students' modules</w:t>
            </w:r>
          </w:p>
        </w:tc>
      </w:tr>
    </w:tbl>
    <w:p>
      <w:r>
        <w:br w:type="page"/>
      </w:r>
    </w:p>
    <w:p>
      <w:pPr>
        <w:pStyle w:val="Heading1"/>
        <w:pBdr>
          <w:bottom w:val="single" w:color="2E75B6" w:sz="4"/>
        </w:pBdr>
        <w:shd w:fill="1F3864" w:val="clear"/>
        <w:spacing w:after="180" w:before="360"/>
        <w:ind w:left="200" w:right="200"/>
      </w:pPr>
      <w:r>
        <w:rPr>
          <w:rFonts w:ascii="Arial" w:cs="Arial" w:eastAsia="Arial" w:hAnsi="Arial"/>
          <w:b/>
          <w:bCs/>
          <w:color w:val="FFFFFF"/>
          <w:sz w:val="32"/>
          <w:szCs w:val="32"/>
        </w:rPr>
        <w:t xml:space="preserve">Part VIII: Architecture Decision Records (ADRs)</w:t>
      </w:r>
    </w:p>
    <w:p>
      <w:pPr>
        <w:pStyle w:val="Heading2"/>
        <w:pBdr>
          <w:bottom w:val="single" w:color="2E75B6" w:sz="2"/>
        </w:pBdr>
        <w:spacing w:after="100" w:before="280"/>
      </w:pPr>
      <w:r>
        <w:rPr>
          <w:rFonts w:ascii="Arial" w:cs="Arial" w:eastAsia="Arial" w:hAnsi="Arial"/>
          <w:b/>
          <w:bCs/>
          <w:color w:val="1F3864"/>
          <w:sz w:val="26"/>
          <w:szCs w:val="26"/>
        </w:rPr>
        <w:t xml:space="preserve">ADR-001: SOA vs. Microservices vs. Modular Monolith</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6260"/>
      </w:tblGrid>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62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1A1A1A"/>
                <w:sz w:val="20"/>
                <w:szCs w:val="20"/>
              </w:rPr>
              <w:t xml:space="preserve">Accepted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Decision Makers</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3 students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Context</w:t>
            </w:r>
          </w:p>
        </w:tc>
        <w:tc>
          <w:tcPr>
            <w:tcW w:type="dxa" w:w="62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1A1A1A"/>
                <w:sz w:val="20"/>
                <w:szCs w:val="20"/>
              </w:rPr>
              <w:t xml:space="preserve">We needed to decide the service boundary strategy for a team project with 2-week delivery timeline</w:t>
            </w:r>
          </w:p>
        </w:tc>
      </w:tr>
    </w:tbl>
    <w:p>
      <w:pPr>
        <w:spacing w:after="0" w:before="80"/>
      </w:pPr>
    </w:p>
    <w:p>
      <w:pPr>
        <w:pStyle w:val="Heading3"/>
        <w:spacing w:after="80" w:before="200"/>
      </w:pPr>
      <w:r>
        <w:rPr>
          <w:rFonts w:ascii="Arial" w:cs="Arial" w:eastAsia="Arial" w:hAnsi="Arial"/>
          <w:b/>
          <w:bCs/>
          <w:color w:val="2E75B6"/>
          <w:sz w:val="22"/>
          <w:szCs w:val="22"/>
        </w:rPr>
        <w:t xml:space="preserve">Options Considered</w:t>
      </w:r>
    </w:p>
    <w:p>
      <w:pPr>
        <w:pStyle w:val="ListParagraph"/>
        <w:numPr>
          <w:ilvl w:val="0"/>
          <w:numId w:val="2"/>
        </w:numPr>
        <w:spacing w:after="40" w:before="40"/>
      </w:pPr>
      <w:r>
        <w:rPr>
          <w:rFonts w:ascii="Arial" w:cs="Arial" w:eastAsia="Arial" w:hAnsi="Arial"/>
          <w:color w:val="1A1A1A"/>
          <w:sz w:val="20"/>
          <w:szCs w:val="20"/>
        </w:rPr>
        <w:t xml:space="preserve">Option A: Microservices — maximum autonomy, independent deployment, but high operational overhead</w:t>
      </w:r>
    </w:p>
    <w:p>
      <w:pPr>
        <w:pStyle w:val="ListParagraph"/>
        <w:numPr>
          <w:ilvl w:val="0"/>
          <w:numId w:val="2"/>
        </w:numPr>
        <w:spacing w:after="40" w:before="40"/>
      </w:pPr>
      <w:r>
        <w:rPr>
          <w:rFonts w:ascii="Arial" w:cs="Arial" w:eastAsia="Arial" w:hAnsi="Arial"/>
          <w:color w:val="1A1A1A"/>
          <w:sz w:val="20"/>
          <w:szCs w:val="20"/>
        </w:rPr>
        <w:t xml:space="preserve">Option B: Modular Monolith — easiest to develop, but violates SOA requirement and limits pattern isolation</w:t>
      </w:r>
    </w:p>
    <w:p>
      <w:pPr>
        <w:pStyle w:val="ListParagraph"/>
        <w:numPr>
          <w:ilvl w:val="0"/>
          <w:numId w:val="2"/>
        </w:numPr>
        <w:spacing w:after="40" w:before="40"/>
      </w:pPr>
      <w:r>
        <w:rPr>
          <w:rFonts w:ascii="Arial" w:cs="Arial" w:eastAsia="Arial" w:hAnsi="Arial"/>
          <w:color w:val="1A1A1A"/>
          <w:sz w:val="20"/>
          <w:szCs w:val="20"/>
        </w:rPr>
        <w:t xml:space="preserve">Option C: SOA (Service-Oriented Architecture) — bounded services with defined contracts, shared message bus; balances isolation with manageability</w:t>
      </w:r>
    </w:p>
    <w:p>
      <w:pPr>
        <w:pStyle w:val="Heading3"/>
        <w:spacing w:after="80" w:before="200"/>
      </w:pPr>
      <w:r>
        <w:rPr>
          <w:rFonts w:ascii="Arial" w:cs="Arial" w:eastAsia="Arial" w:hAnsi="Arial"/>
          <w:b/>
          <w:bCs/>
          <w:color w:val="2E75B6"/>
          <w:sz w:val="22"/>
          <w:szCs w:val="22"/>
        </w:rPr>
        <w:t xml:space="preserve">Decision</w:t>
      </w:r>
    </w:p>
    <w:p>
      <w:pPr>
        <w:spacing w:after="60" w:before="60"/>
      </w:pPr>
      <w:r>
        <w:rPr>
          <w:rFonts w:ascii="Arial" w:cs="Arial" w:eastAsia="Arial" w:hAnsi="Arial"/>
          <w:color w:val="1A1A1A"/>
          <w:sz w:val="20"/>
          <w:szCs w:val="20"/>
        </w:rPr>
        <w:t xml:space="preserve">SOA with 8 services was chosen. Services are bounded by domain capability (ingestion, enrichment, incident management, response orchestration, threat intel, notification, audit, identity). Each service runs in its own Docker container. Services communicate via REST/gRPC (synchronous) and RabbitMQ (asynchronous). This satisfies the SOA architecture requirement while remaining achievable in the project timeline.</w:t>
      </w:r>
    </w:p>
    <w:p>
      <w:pPr>
        <w:spacing w:after="0" w:before="160"/>
      </w:pPr>
    </w:p>
    <w:p>
      <w:pPr>
        <w:pStyle w:val="Heading2"/>
        <w:pBdr>
          <w:bottom w:val="single" w:color="2E75B6" w:sz="2"/>
        </w:pBdr>
        <w:spacing w:after="100" w:before="280"/>
      </w:pPr>
      <w:r>
        <w:rPr>
          <w:rFonts w:ascii="Arial" w:cs="Arial" w:eastAsia="Arial" w:hAnsi="Arial"/>
          <w:b/>
          <w:bCs/>
          <w:color w:val="1F3864"/>
          <w:sz w:val="26"/>
          <w:szCs w:val="26"/>
        </w:rPr>
        <w:t xml:space="preserve">ADR-002: Synchronous vs. Asynchronous Inter-Service Communication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6260"/>
      </w:tblGrid>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62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1A1A1A"/>
                <w:sz w:val="20"/>
                <w:szCs w:val="20"/>
              </w:rPr>
              <w:t xml:space="preserve">Accepted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Decision</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Hybrid approach — synchronous for query/command paths, asynchronous for event propagation</w:t>
            </w:r>
          </w:p>
        </w:tc>
      </w:tr>
    </w:tbl>
    <w:p>
      <w:pPr>
        <w:spacing w:after="0" w:before="80"/>
      </w:pPr>
    </w:p>
    <w:p>
      <w:pPr>
        <w:pStyle w:val="Heading3"/>
        <w:spacing w:after="80" w:before="200"/>
      </w:pPr>
      <w:r>
        <w:rPr>
          <w:rFonts w:ascii="Arial" w:cs="Arial" w:eastAsia="Arial" w:hAnsi="Arial"/>
          <w:b/>
          <w:bCs/>
          <w:color w:val="2E75B6"/>
          <w:sz w:val="22"/>
          <w:szCs w:val="22"/>
        </w:rPr>
        <w:t xml:space="preserve">Decision</w:t>
      </w:r>
    </w:p>
    <w:p>
      <w:pPr>
        <w:spacing w:after="60" w:before="60"/>
      </w:pPr>
      <w:r>
        <w:rPr>
          <w:rFonts w:ascii="Arial" w:cs="Arial" w:eastAsia="Arial" w:hAnsi="Arial"/>
          <w:color w:val="1A1A1A"/>
          <w:sz w:val="20"/>
          <w:szCs w:val="20"/>
        </w:rPr>
        <w:t xml:space="preserve">Synchronous (gRPC/REST) is used when the caller needs an immediate result: Dashboard querying incident state, Response Orchestration requesting a threat intel reputation score. Asynchronous (RabbitMQ events) is used for propagation: AlertIngested, IncidentCreated, ResponseActionExecuted. This avoids tight temporal coupling between publishers and subscribers, enabling the Observer pattern to function correctly across service boundaries.</w:t>
      </w:r>
    </w:p>
    <w:p>
      <w:pPr>
        <w:spacing w:after="0" w:before="160"/>
      </w:pPr>
    </w:p>
    <w:p>
      <w:pPr>
        <w:pStyle w:val="Heading2"/>
        <w:pBdr>
          <w:bottom w:val="single" w:color="2E75B6" w:sz="2"/>
        </w:pBdr>
        <w:spacing w:after="100" w:before="280"/>
      </w:pPr>
      <w:r>
        <w:rPr>
          <w:rFonts w:ascii="Arial" w:cs="Arial" w:eastAsia="Arial" w:hAnsi="Arial"/>
          <w:b/>
          <w:bCs/>
          <w:color w:val="1F3864"/>
          <w:sz w:val="26"/>
          <w:szCs w:val="26"/>
        </w:rPr>
        <w:t xml:space="preserve">ADR-003: Database Strategy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6260"/>
      </w:tblGrid>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62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1A1A1A"/>
                <w:sz w:val="20"/>
                <w:szCs w:val="20"/>
              </w:rPr>
              <w:t xml:space="preserve">Accepted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Decision</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 for structured/relational data; Redis for caching and sessions</w:t>
            </w:r>
          </w:p>
        </w:tc>
      </w:tr>
    </w:tbl>
    <w:p>
      <w:pPr>
        <w:spacing w:after="0" w:before="80"/>
      </w:pPr>
    </w:p>
    <w:p>
      <w:pPr>
        <w:pStyle w:val="Heading3"/>
        <w:spacing w:after="80" w:before="200"/>
      </w:pPr>
      <w:r>
        <w:rPr>
          <w:rFonts w:ascii="Arial" w:cs="Arial" w:eastAsia="Arial" w:hAnsi="Arial"/>
          <w:b/>
          <w:bCs/>
          <w:color w:val="2E75B6"/>
          <w:sz w:val="22"/>
          <w:szCs w:val="22"/>
        </w:rPr>
        <w:t xml:space="preserve">Decision</w:t>
      </w:r>
    </w:p>
    <w:p>
      <w:pPr>
        <w:spacing w:after="60" w:before="60"/>
      </w:pPr>
      <w:r>
        <w:rPr>
          <w:rFonts w:ascii="Arial" w:cs="Arial" w:eastAsia="Arial" w:hAnsi="Arial"/>
          <w:color w:val="1A1A1A"/>
          <w:sz w:val="20"/>
          <w:szCs w:val="20"/>
        </w:rPr>
        <w:t xml:space="preserve">PostgreSQL stores incident records, alert archives, and audit logs because incidents have complex relational structures (alerts → incidents → response actions → outcomes) that benefit from ACID guarantees and referential integrity. Redis stores threat intel cache (TTL-based), session tokens (with expiry), and rate limit counters (atomic increments). A document store was considered for raw alert payloads but PostgreSQL's JSONB column type provides equivalent flexibility without an additional service.</w:t>
      </w:r>
    </w:p>
    <w:p>
      <w:pPr>
        <w:spacing w:after="0" w:before="160"/>
      </w:pPr>
    </w:p>
    <w:p>
      <w:pPr>
        <w:pStyle w:val="Heading2"/>
        <w:pBdr>
          <w:bottom w:val="single" w:color="2E75B6" w:sz="2"/>
        </w:pBdr>
        <w:spacing w:after="100" w:before="280"/>
      </w:pPr>
      <w:r>
        <w:rPr>
          <w:rFonts w:ascii="Arial" w:cs="Arial" w:eastAsia="Arial" w:hAnsi="Arial"/>
          <w:b/>
          <w:bCs/>
          <w:color w:val="1F3864"/>
          <w:sz w:val="26"/>
          <w:szCs w:val="26"/>
        </w:rPr>
        <w:t xml:space="preserve">ADR-004: Threat Intel Caching Strategy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6260"/>
      </w:tblGrid>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62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1A1A1A"/>
                <w:sz w:val="20"/>
                <w:szCs w:val="20"/>
              </w:rPr>
              <w:t xml:space="preserve">Accepted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Decision</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Redis-based distributed cache managed by CachingProxy with configurable TTL per indicator type</w:t>
            </w:r>
          </w:p>
        </w:tc>
      </w:tr>
    </w:tbl>
    <w:p>
      <w:pPr>
        <w:spacing w:after="0" w:before="80"/>
      </w:pPr>
    </w:p>
    <w:p>
      <w:pPr>
        <w:pStyle w:val="Heading3"/>
        <w:spacing w:after="80" w:before="200"/>
      </w:pPr>
      <w:r>
        <w:rPr>
          <w:rFonts w:ascii="Arial" w:cs="Arial" w:eastAsia="Arial" w:hAnsi="Arial"/>
          <w:b/>
          <w:bCs/>
          <w:color w:val="2E75B6"/>
          <w:sz w:val="22"/>
          <w:szCs w:val="22"/>
        </w:rPr>
        <w:t xml:space="preserve">Decision</w:t>
      </w:r>
    </w:p>
    <w:p>
      <w:pPr>
        <w:spacing w:after="60" w:before="60"/>
      </w:pPr>
      <w:r>
        <w:rPr>
          <w:rFonts w:ascii="Arial" w:cs="Arial" w:eastAsia="Arial" w:hAnsi="Arial"/>
          <w:color w:val="1A1A1A"/>
          <w:sz w:val="20"/>
          <w:szCs w:val="20"/>
        </w:rPr>
        <w:t xml:space="preserve">In-memory (JVM heap) cache was rejected because it is not shared across multiple enrichment service instances. A dedicated Redis cache is used. The CachingProxy (Proxy pattern) manages all cache interactions, with TTLs: IP reputation cached for 1 hour, file hash reputation for 24 hours, domain reputation for 6 hours. Cache invalidation is triggered by ThreatIntelUpdated events from the threat intel service via the event bus.</w:t>
      </w:r>
    </w:p>
    <w:p>
      <w:pPr>
        <w:spacing w:after="0" w:before="160"/>
      </w:pPr>
    </w:p>
    <w:p>
      <w:pPr>
        <w:pStyle w:val="Heading2"/>
        <w:pBdr>
          <w:bottom w:val="single" w:color="2E75B6" w:sz="2"/>
        </w:pBdr>
        <w:spacing w:after="100" w:before="280"/>
      </w:pPr>
      <w:r>
        <w:rPr>
          <w:rFonts w:ascii="Arial" w:cs="Arial" w:eastAsia="Arial" w:hAnsi="Arial"/>
          <w:b/>
          <w:bCs/>
          <w:color w:val="1F3864"/>
          <w:sz w:val="26"/>
          <w:szCs w:val="26"/>
        </w:rPr>
        <w:t xml:space="preserve">ADR-005: Real-Time Push Strategy — WebSockets vs. SSE vs. Polling</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6260"/>
      </w:tblGrid>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6260"/>
            <w:tcBorders>
              <w:top w:val="single" w:color="AAAAAA" w:sz="1"/>
              <w:left w:val="single" w:color="AAAAAA" w:sz="1"/>
              <w:bottom w:val="single" w:color="AAAAAA" w:sz="1"/>
              <w:right w:val="single" w:color="AAAAAA" w:sz="1"/>
            </w:tcBorders>
            <w:shd w:fill="FAFAFA" w:val="clear"/>
            <w:tcMar>
              <w:top w:type="dxa" w:w="80"/>
              <w:left w:type="dxa" w:w="120"/>
              <w:bottom w:type="dxa" w:w="80"/>
              <w:right w:type="dxa" w:w="120"/>
            </w:tcMar>
          </w:tcPr>
          <w:p>
            <w:r>
              <w:rPr>
                <w:rFonts w:ascii="Arial" w:cs="Arial" w:eastAsia="Arial" w:hAnsi="Arial"/>
                <w:color w:val="1A1A1A"/>
                <w:sz w:val="20"/>
                <w:szCs w:val="20"/>
              </w:rPr>
              <w:t xml:space="preserve">Accepted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Decision</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Server-Sent Events (SSE) for alert stream; WebSocket for incident state and response action updates</w:t>
            </w:r>
          </w:p>
        </w:tc>
      </w:tr>
    </w:tbl>
    <w:p>
      <w:pPr>
        <w:spacing w:after="0" w:before="80"/>
      </w:pPr>
    </w:p>
    <w:p>
      <w:pPr>
        <w:pStyle w:val="Heading3"/>
        <w:spacing w:after="80" w:before="200"/>
      </w:pPr>
      <w:r>
        <w:rPr>
          <w:rFonts w:ascii="Arial" w:cs="Arial" w:eastAsia="Arial" w:hAnsi="Arial"/>
          <w:b/>
          <w:bCs/>
          <w:color w:val="2E75B6"/>
          <w:sz w:val="22"/>
          <w:szCs w:val="22"/>
        </w:rPr>
        <w:t xml:space="preserve">Decision</w:t>
      </w:r>
    </w:p>
    <w:p>
      <w:pPr>
        <w:spacing w:after="60" w:before="60"/>
      </w:pPr>
      <w:r>
        <w:rPr>
          <w:rFonts w:ascii="Arial" w:cs="Arial" w:eastAsia="Arial" w:hAnsi="Arial"/>
          <w:color w:val="1A1A1A"/>
          <w:sz w:val="20"/>
          <w:szCs w:val="20"/>
        </w:rPr>
        <w:t xml:space="preserve">Pure polling was rejected (latency &gt; 2 second SLA). Full WebSocket bidirectional connection was considered but adds complexity for unidirectional push use cases. The hybrid approach: SSE for the alert stream (high-volume, server-to-client only), WebSocket for the incident panel and response console (bidirectional: analyst can trigger actions while receiving updates). The DashboardUpdater Observer implementation pushes to both SSE emitters and WebSocket sessions depending on the event type.</w:t>
      </w:r>
    </w:p>
    <w:p>
      <w:r>
        <w:br w:type="page"/>
      </w:r>
    </w:p>
    <w:p>
      <w:pPr>
        <w:pStyle w:val="Heading1"/>
        <w:pBdr>
          <w:bottom w:val="single" w:color="2E75B6" w:sz="4"/>
        </w:pBdr>
        <w:shd w:fill="1F3864" w:val="clear"/>
        <w:spacing w:after="180" w:before="360"/>
        <w:ind w:left="200" w:right="200"/>
      </w:pPr>
      <w:r>
        <w:rPr>
          <w:rFonts w:ascii="Arial" w:cs="Arial" w:eastAsia="Arial" w:hAnsi="Arial"/>
          <w:b/>
          <w:bCs/>
          <w:color w:val="FFFFFF"/>
          <w:sz w:val="32"/>
          <w:szCs w:val="32"/>
        </w:rPr>
        <w:t xml:space="preserve">Part IX: Git Repository &amp; Branching Strategy</w:t>
      </w:r>
    </w:p>
    <w:p>
      <w:pPr>
        <w:pStyle w:val="Heading2"/>
        <w:pBdr>
          <w:bottom w:val="single" w:color="2E75B6" w:sz="2"/>
        </w:pBdr>
        <w:spacing w:after="100" w:before="280"/>
      </w:pPr>
      <w:r>
        <w:rPr>
          <w:rFonts w:ascii="Arial" w:cs="Arial" w:eastAsia="Arial" w:hAnsi="Arial"/>
          <w:b/>
          <w:bCs/>
          <w:color w:val="1F3864"/>
          <w:sz w:val="26"/>
          <w:szCs w:val="26"/>
        </w:rPr>
        <w:t xml:space="preserve">9.1 GitFlow Branching Strategy</w:t>
      </w:r>
    </w:p>
    <w:p>
      <w:pPr>
        <w:spacing w:after="60" w:before="60"/>
      </w:pPr>
      <w:r>
        <w:rPr>
          <w:rFonts w:ascii="Arial" w:cs="Arial" w:eastAsia="Arial" w:hAnsi="Arial"/>
          <w:color w:val="1A1A1A"/>
          <w:sz w:val="20"/>
          <w:szCs w:val="20"/>
        </w:rPr>
        <w:t xml:space="preserve">The project follows GitFlow. The main branch holds production-stable releases (tagged v0.1.0, v0.2.0, etc.). The develop branch is the integration branch with nightly builds. Each student works on feature branches prefixed with their student letter.</w:t>
      </w:r>
    </w:p>
    <w:p>
      <w:pPr>
        <w:spacing w:after="0" w:before="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75B6" w:sz="1"/>
              <w:left w:val="single" w:color="2E75B6" w:sz="8"/>
              <w:bottom w:val="single" w:color="2E75B6" w:sz="1"/>
              <w:right w:val="single" w:color="2E75B6" w:sz="1"/>
            </w:tcBorders>
            <w:shd w:fill="EEF4FB" w:val="clear"/>
            <w:tcMar>
              <w:top w:type="dxa" w:w="80"/>
              <w:left w:type="dxa" w:w="200"/>
              <w:bottom w:type="dxa" w:w="80"/>
              <w:right w:type="dxa" w:w="120"/>
            </w:tcMar>
          </w:tcPr>
          <w:p>
            <w:pPr>
              <w:spacing w:after="60" w:before="60"/>
            </w:pPr>
            <w:r>
              <w:rPr>
                <w:rFonts w:ascii="Arial" w:cs="Arial" w:eastAsia="Arial" w:hAnsi="Arial"/>
                <w:b/>
                <w:bCs/>
                <w:color w:val="1F3864"/>
                <w:sz w:val="20"/>
                <w:szCs w:val="20"/>
              </w:rPr>
              <w:t xml:space="preserve">Branch Naming Convention</w:t>
            </w:r>
          </w:p>
          <w:p>
            <w:pPr>
              <w:pStyle w:val="ListParagraph"/>
              <w:numPr>
                <w:ilvl w:val="0"/>
                <w:numId w:val="2"/>
              </w:numPr>
              <w:spacing w:after="30" w:before="30"/>
            </w:pPr>
            <w:r>
              <w:rPr>
                <w:rFonts w:ascii="Arial" w:cs="Arial" w:eastAsia="Arial" w:hAnsi="Arial"/>
                <w:color w:val="404040"/>
                <w:sz w:val="19"/>
                <w:szCs w:val="19"/>
              </w:rPr>
              <w:t xml:space="preserve">main — production-stable releases (tagged: v0.1.0, v0.2.0)</w:t>
            </w:r>
          </w:p>
          <w:p>
            <w:pPr>
              <w:pStyle w:val="ListParagraph"/>
              <w:numPr>
                <w:ilvl w:val="0"/>
                <w:numId w:val="2"/>
              </w:numPr>
              <w:spacing w:after="30" w:before="30"/>
            </w:pPr>
            <w:r>
              <w:rPr>
                <w:rFonts w:ascii="Arial" w:cs="Arial" w:eastAsia="Arial" w:hAnsi="Arial"/>
                <w:color w:val="404040"/>
                <w:sz w:val="19"/>
                <w:szCs w:val="19"/>
              </w:rPr>
              <w:t xml:space="preserve">develop — integration branch; nightly builds from all feature branches</w:t>
            </w:r>
          </w:p>
          <w:p>
            <w:pPr>
              <w:pStyle w:val="ListParagraph"/>
              <w:numPr>
                <w:ilvl w:val="0"/>
                <w:numId w:val="2"/>
              </w:numPr>
              <w:spacing w:after="30" w:before="30"/>
            </w:pPr>
            <w:r>
              <w:rPr>
                <w:rFonts w:ascii="Arial" w:cs="Arial" w:eastAsia="Arial" w:hAnsi="Arial"/>
                <w:color w:val="404040"/>
                <w:sz w:val="19"/>
                <w:szCs w:val="19"/>
              </w:rPr>
              <w:t xml:space="preserve">feature/A-* — Student A (Sudais Malik) feature branches</w:t>
            </w:r>
          </w:p>
          <w:p>
            <w:pPr>
              <w:pStyle w:val="ListParagraph"/>
              <w:numPr>
                <w:ilvl w:val="0"/>
                <w:numId w:val="2"/>
              </w:numPr>
              <w:spacing w:after="30" w:before="30"/>
            </w:pPr>
            <w:r>
              <w:rPr>
                <w:rFonts w:ascii="Arial" w:cs="Arial" w:eastAsia="Arial" w:hAnsi="Arial"/>
                <w:color w:val="404040"/>
                <w:sz w:val="19"/>
                <w:szCs w:val="19"/>
              </w:rPr>
              <w:t xml:space="preserve">feature/B-* — Student B (Muhammad Salman Akbar) feature branches</w:t>
            </w:r>
          </w:p>
          <w:p>
            <w:pPr>
              <w:pStyle w:val="ListParagraph"/>
              <w:numPr>
                <w:ilvl w:val="0"/>
                <w:numId w:val="2"/>
              </w:numPr>
              <w:spacing w:after="30" w:before="30"/>
            </w:pPr>
            <w:r>
              <w:rPr>
                <w:rFonts w:ascii="Arial" w:cs="Arial" w:eastAsia="Arial" w:hAnsi="Arial"/>
                <w:color w:val="404040"/>
                <w:sz w:val="19"/>
                <w:szCs w:val="19"/>
              </w:rPr>
              <w:t xml:space="preserve">feature/C-* — Student C (Muhammad Farhan Ijaz) feature branches</w:t>
            </w:r>
          </w:p>
          <w:p>
            <w:pPr>
              <w:pStyle w:val="ListParagraph"/>
              <w:numPr>
                <w:ilvl w:val="0"/>
                <w:numId w:val="2"/>
              </w:numPr>
              <w:spacing w:after="30" w:before="30"/>
            </w:pPr>
            <w:r>
              <w:rPr>
                <w:rFonts w:ascii="Arial" w:cs="Arial" w:eastAsia="Arial" w:hAnsi="Arial"/>
                <w:color w:val="404040"/>
                <w:sz w:val="19"/>
                <w:szCs w:val="19"/>
              </w:rPr>
              <w:t xml:space="preserve">feature/shared-* — collaborative branches for shared/ directory and event schemas</w:t>
            </w:r>
          </w:p>
          <w:p>
            <w:pPr>
              <w:pStyle w:val="ListParagraph"/>
              <w:numPr>
                <w:ilvl w:val="0"/>
                <w:numId w:val="2"/>
              </w:numPr>
              <w:spacing w:after="30" w:before="30"/>
            </w:pPr>
            <w:r>
              <w:rPr>
                <w:rFonts w:ascii="Arial" w:cs="Arial" w:eastAsia="Arial" w:hAnsi="Arial"/>
                <w:color w:val="404040"/>
                <w:sz w:val="19"/>
                <w:szCs w:val="19"/>
              </w:rPr>
              <w:t xml:space="preserve">hotfix/* — critical bug fixes merged directly to main and develop</w:t>
            </w:r>
          </w:p>
        </w:tc>
      </w:tr>
    </w:tbl>
    <w:p>
      <w:pPr>
        <w:spacing w:after="0" w:before="120"/>
      </w:pPr>
    </w:p>
    <w:p>
      <w:pPr>
        <w:pStyle w:val="Heading3"/>
        <w:spacing w:after="80" w:before="200"/>
      </w:pPr>
      <w:r>
        <w:rPr>
          <w:rFonts w:ascii="Arial" w:cs="Arial" w:eastAsia="Arial" w:hAnsi="Arial"/>
          <w:b/>
          <w:bCs/>
          <w:color w:val="2E75B6"/>
          <w:sz w:val="22"/>
          <w:szCs w:val="22"/>
        </w:rPr>
        <w:t xml:space="preserve">Screenshot Placeholder — Git Branch Graph</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6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git log --oneline --graph --all — showing main, develop, and all feature branches with commit history</w:t>
            </w:r>
          </w:p>
        </w:tc>
      </w:tr>
    </w:tbl>
    <w:p>
      <w:pPr>
        <w:spacing w:after="0" w:before="160"/>
      </w:pPr>
    </w:p>
    <w:p>
      <w:pPr>
        <w:pStyle w:val="Heading2"/>
        <w:pBdr>
          <w:bottom w:val="single" w:color="2E75B6" w:sz="2"/>
        </w:pBdr>
        <w:spacing w:after="100" w:before="280"/>
      </w:pPr>
      <w:r>
        <w:rPr>
          <w:rFonts w:ascii="Arial" w:cs="Arial" w:eastAsia="Arial" w:hAnsi="Arial"/>
          <w:b/>
          <w:bCs/>
          <w:color w:val="1F3864"/>
          <w:sz w:val="26"/>
          <w:szCs w:val="26"/>
        </w:rPr>
        <w:t xml:space="preserve">9.2 Module-to-Student Git Ownership</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760"/>
      </w:tblGrid>
      <w:tr>
        <w:tc>
          <w:tcPr>
            <w:tcW w:type="dxa" w:w="35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Directory</w:t>
            </w:r>
          </w:p>
        </w:tc>
        <w:tc>
          <w:tcPr>
            <w:tcW w:type="dxa" w:w="15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Primary Owner</w:t>
            </w:r>
          </w:p>
        </w:tc>
        <w:tc>
          <w:tcPr>
            <w:tcW w:type="dxa" w:w="15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Supporting</w:t>
            </w:r>
          </w:p>
        </w:tc>
        <w:tc>
          <w:tcPr>
            <w:tcW w:type="dxa" w:w="276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Patterns Owned</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services/alert-ingestion-service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Sudais (A)</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Singleton, Composite, Factory Method</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services/enrichment-correlation-service</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Sudais (A)</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Chain of Responsibility, Composite, Strategy, Abstract Factory</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services/incident-management-service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Sudais (A)</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services/response-orchestration-service</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Salman (B)</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Facade, Strategy, Decorator</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services/threat-intel-service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Salman (B)</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Adapter, Proxy</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services/notification-service</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Salman (B)</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Farhan (C)</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Abstract Factory</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services/audit-service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Farhan (C)</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Observer (consumer)</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services/identity-service</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Farhan (C)</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Salman (B)</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soc-dashboard/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Farhan (C)</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MVC</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middleware/</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Salman (B)</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Sudais (A)</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Chain of Responsibility</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event-bus/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Farhan (C)</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Salman (B)</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Observer, Singleton</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shared/</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(consensus)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t>
            </w:r>
          </w:p>
        </w:tc>
      </w:tr>
    </w:tbl>
    <w:p>
      <w:pPr>
        <w:spacing w:after="0" w:before="160"/>
      </w:pPr>
    </w:p>
    <w:p>
      <w:pPr>
        <w:pStyle w:val="Heading2"/>
        <w:pBdr>
          <w:bottom w:val="single" w:color="2E75B6" w:sz="2"/>
        </w:pBdr>
        <w:spacing w:after="100" w:before="280"/>
      </w:pPr>
      <w:r>
        <w:rPr>
          <w:rFonts w:ascii="Arial" w:cs="Arial" w:eastAsia="Arial" w:hAnsi="Arial"/>
          <w:b/>
          <w:bCs/>
          <w:color w:val="1F3864"/>
          <w:sz w:val="26"/>
          <w:szCs w:val="26"/>
        </w:rPr>
        <w:t xml:space="preserve">9.3 Commit Convention</w:t>
      </w:r>
    </w:p>
    <w:p>
      <w:pPr>
        <w:spacing w:after="60" w:before="60"/>
      </w:pPr>
      <w:r>
        <w:rPr>
          <w:rFonts w:ascii="Arial" w:cs="Arial" w:eastAsia="Arial" w:hAnsi="Arial"/>
          <w:color w:val="1A1A1A"/>
          <w:sz w:val="20"/>
          <w:szCs w:val="20"/>
        </w:rPr>
        <w:t xml:space="preserve">All commits follow the Conventional Commits specification for traceability in the grading rubric.</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c>
          <w:tcPr>
            <w:tcBorders>
              <w:top w:val="single" w:color="2E75B6" w:sz="1"/>
              <w:left w:val="single" w:color="2E75B6" w:sz="8"/>
              <w:bottom w:val="single" w:color="2E75B6" w:sz="1"/>
              <w:right w:val="single" w:color="2E75B6" w:sz="1"/>
            </w:tcBorders>
            <w:shd w:fill="EEF4FB" w:val="clear"/>
            <w:tcMar>
              <w:top w:type="dxa" w:w="80"/>
              <w:left w:type="dxa" w:w="200"/>
              <w:bottom w:type="dxa" w:w="80"/>
              <w:right w:type="dxa" w:w="120"/>
            </w:tcMar>
          </w:tcPr>
          <w:p>
            <w:pPr>
              <w:spacing w:after="60" w:before="60"/>
            </w:pPr>
            <w:r>
              <w:rPr>
                <w:rFonts w:ascii="Arial" w:cs="Arial" w:eastAsia="Arial" w:hAnsi="Arial"/>
                <w:b/>
                <w:bCs/>
                <w:color w:val="1F3864"/>
                <w:sz w:val="20"/>
                <w:szCs w:val="20"/>
              </w:rPr>
              <w:t xml:space="preserve">Commit Message Format</w:t>
            </w:r>
          </w:p>
          <w:p>
            <w:pPr>
              <w:pStyle w:val="ListParagraph"/>
              <w:numPr>
                <w:ilvl w:val="0"/>
                <w:numId w:val="2"/>
              </w:numPr>
              <w:spacing w:after="30" w:before="30"/>
            </w:pPr>
            <w:r>
              <w:rPr>
                <w:rFonts w:ascii="Arial" w:cs="Arial" w:eastAsia="Arial" w:hAnsi="Arial"/>
                <w:color w:val="404040"/>
                <w:sz w:val="19"/>
                <w:szCs w:val="19"/>
              </w:rPr>
              <w:t xml:space="preserve">feat(alert-ingestion): implement Factory Method for AlertNormalizerFactory — Student A</w:t>
            </w:r>
          </w:p>
          <w:p>
            <w:pPr>
              <w:pStyle w:val="ListParagraph"/>
              <w:numPr>
                <w:ilvl w:val="0"/>
                <w:numId w:val="2"/>
              </w:numPr>
              <w:spacing w:after="30" w:before="30"/>
            </w:pPr>
            <w:r>
              <w:rPr>
                <w:rFonts w:ascii="Arial" w:cs="Arial" w:eastAsia="Arial" w:hAnsi="Arial"/>
                <w:color w:val="404040"/>
                <w:sz w:val="19"/>
                <w:szCs w:val="19"/>
              </w:rPr>
              <w:t xml:space="preserve">feat(response-orchestration): add Decorator chain for response actions — Student B</w:t>
            </w:r>
          </w:p>
          <w:p>
            <w:pPr>
              <w:pStyle w:val="ListParagraph"/>
              <w:numPr>
                <w:ilvl w:val="0"/>
                <w:numId w:val="2"/>
              </w:numPr>
              <w:spacing w:after="30" w:before="30"/>
            </w:pPr>
            <w:r>
              <w:rPr>
                <w:rFonts w:ascii="Arial" w:cs="Arial" w:eastAsia="Arial" w:hAnsi="Arial"/>
                <w:color w:val="404040"/>
                <w:sz w:val="19"/>
                <w:szCs w:val="19"/>
              </w:rPr>
              <w:t xml:space="preserve">feat(soc-dashboard): implement Observer-driven WebSocket push updates — Student C</w:t>
            </w:r>
          </w:p>
          <w:p>
            <w:pPr>
              <w:pStyle w:val="ListParagraph"/>
              <w:numPr>
                <w:ilvl w:val="0"/>
                <w:numId w:val="2"/>
              </w:numPr>
              <w:spacing w:after="30" w:before="30"/>
            </w:pPr>
            <w:r>
              <w:rPr>
                <w:rFonts w:ascii="Arial" w:cs="Arial" w:eastAsia="Arial" w:hAnsi="Arial"/>
                <w:color w:val="404040"/>
                <w:sz w:val="19"/>
                <w:szCs w:val="19"/>
              </w:rPr>
              <w:t xml:space="preserve">test(incident-management): add State pattern transition unit tests — Student A</w:t>
            </w:r>
          </w:p>
          <w:p>
            <w:pPr>
              <w:pStyle w:val="ListParagraph"/>
              <w:numPr>
                <w:ilvl w:val="0"/>
                <w:numId w:val="2"/>
              </w:numPr>
              <w:spacing w:after="30" w:before="30"/>
            </w:pPr>
            <w:r>
              <w:rPr>
                <w:rFonts w:ascii="Arial" w:cs="Arial" w:eastAsia="Arial" w:hAnsi="Arial"/>
                <w:color w:val="404040"/>
                <w:sz w:val="19"/>
                <w:szCs w:val="19"/>
              </w:rPr>
              <w:t xml:space="preserve">docs(adr): add ADR-003 database strategy decision — All</w:t>
            </w:r>
          </w:p>
          <w:p>
            <w:pPr>
              <w:pStyle w:val="ListParagraph"/>
              <w:numPr>
                <w:ilvl w:val="0"/>
                <w:numId w:val="2"/>
              </w:numPr>
              <w:spacing w:after="30" w:before="30"/>
            </w:pPr>
            <w:r>
              <w:rPr>
                <w:rFonts w:ascii="Arial" w:cs="Arial" w:eastAsia="Arial" w:hAnsi="Arial"/>
                <w:color w:val="404040"/>
                <w:sz w:val="19"/>
                <w:szCs w:val="19"/>
              </w:rPr>
              <w:t xml:space="preserve">fix(threat-intel): fix RateLimitProxy counter reset on window expiry — Student B</w:t>
            </w:r>
          </w:p>
        </w:tc>
      </w:tr>
    </w:tbl>
    <w:p>
      <w:pPr>
        <w:spacing w:after="0" w:before="120"/>
      </w:pPr>
    </w:p>
    <w:p>
      <w:pPr>
        <w:pStyle w:val="Heading3"/>
        <w:spacing w:after="80" w:before="200"/>
      </w:pPr>
      <w:r>
        <w:rPr>
          <w:rFonts w:ascii="Arial" w:cs="Arial" w:eastAsia="Arial" w:hAnsi="Arial"/>
          <w:b/>
          <w:bCs/>
          <w:color w:val="2E75B6"/>
          <w:sz w:val="22"/>
          <w:szCs w:val="22"/>
        </w:rPr>
        <w:t xml:space="preserve">Screenshot Placeholder — GitHub Repository Overview</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4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GitHub repository main page — README visible, commit history, contributors (all 3 students), open/closed PRs</w:t>
            </w:r>
          </w:p>
        </w:tc>
      </w:tr>
    </w:tbl>
    <w:p>
      <w:pPr>
        <w:spacing w:after="0" w:before="120"/>
      </w:pPr>
    </w:p>
    <w:p>
      <w:pPr>
        <w:pStyle w:val="Heading3"/>
        <w:spacing w:after="80" w:before="200"/>
      </w:pPr>
      <w:r>
        <w:rPr>
          <w:rFonts w:ascii="Arial" w:cs="Arial" w:eastAsia="Arial" w:hAnsi="Arial"/>
          <w:b/>
          <w:bCs/>
          <w:color w:val="2E75B6"/>
          <w:sz w:val="22"/>
          <w:szCs w:val="22"/>
        </w:rPr>
        <w:t xml:space="preserve">Screenshot Placeholder — GitHub Pull Request with Code Review</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260"/>
      </w:tblGrid>
      <w:tr>
        <w:trPr>
          <w:trHeight w:val="1200" w:hRule="exact"/>
        </w:trPr>
        <w:tc>
          <w:tcPr>
            <w:tcBorders>
              <w:top w:val="dashed" w:color="888888" w:sz="2"/>
              <w:left w:val="dashed" w:color="888888" w:sz="2"/>
              <w:bottom w:val="dashed" w:color="888888" w:sz="2"/>
              <w:right w:val="dashed" w:color="888888" w:sz="2"/>
            </w:tcBorders>
            <w:shd w:fill="F8F8F8" w:val="clear"/>
            <w:tcMar>
              <w:top w:type="dxa" w:w="80"/>
              <w:left w:type="dxa" w:w="200"/>
              <w:bottom w:type="dxa" w:w="80"/>
              <w:right w:type="dxa" w:w="200"/>
            </w:tcMar>
            <w:vAlign w:val="center"/>
          </w:tcPr>
          <w:p>
            <w:pPr>
              <w:jc w:val="center"/>
            </w:pPr>
            <w:r>
              <w:rPr>
                <w:rFonts w:ascii="Arial" w:cs="Arial" w:eastAsia="Arial" w:hAnsi="Arial"/>
                <w:i/>
                <w:iCs/>
                <w:color w:val="888888"/>
                <w:sz w:val="20"/>
                <w:szCs w:val="20"/>
              </w:rPr>
              <w:t xml:space="preserve">📷  Screenshot: A sample Pull Request showing code review comments, pattern annotation review, and merge into develop branch</w:t>
            </w:r>
          </w:p>
        </w:tc>
      </w:tr>
    </w:tbl>
    <w:p>
      <w:r>
        <w:br w:type="page"/>
      </w:r>
    </w:p>
    <w:p>
      <w:pPr>
        <w:pStyle w:val="Heading1"/>
        <w:pBdr>
          <w:bottom w:val="single" w:color="2E75B6" w:sz="4"/>
        </w:pBdr>
        <w:shd w:fill="1F3864" w:val="clear"/>
        <w:spacing w:after="180" w:before="360"/>
        <w:ind w:left="200" w:right="200"/>
      </w:pPr>
      <w:r>
        <w:rPr>
          <w:rFonts w:ascii="Arial" w:cs="Arial" w:eastAsia="Arial" w:hAnsi="Arial"/>
          <w:b/>
          <w:bCs/>
          <w:color w:val="FFFFFF"/>
          <w:sz w:val="32"/>
          <w:szCs w:val="32"/>
        </w:rPr>
        <w:t xml:space="preserve">Part X: Acceptance Criteria &amp; Grading Rubric</w:t>
      </w:r>
    </w:p>
    <w:p>
      <w:pPr>
        <w:pStyle w:val="Heading2"/>
        <w:pBdr>
          <w:bottom w:val="single" w:color="2E75B6" w:sz="2"/>
        </w:pBdr>
        <w:spacing w:after="100" w:before="280"/>
      </w:pPr>
      <w:r>
        <w:rPr>
          <w:rFonts w:ascii="Arial" w:cs="Arial" w:eastAsia="Arial" w:hAnsi="Arial"/>
          <w:b/>
          <w:bCs/>
          <w:color w:val="1F3864"/>
          <w:sz w:val="26"/>
          <w:szCs w:val="26"/>
        </w:rPr>
        <w:t xml:space="preserve">10.1 Acceptance Criteria Checklist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00"/>
        <w:gridCol w:w="5500"/>
        <w:gridCol w:w="1580"/>
        <w:gridCol w:w="1580"/>
      </w:tblGrid>
      <w:tr>
        <w:tc>
          <w:tcPr>
            <w:tcW w:type="dxa" w:w="6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55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Criterion</w:t>
            </w:r>
          </w:p>
        </w:tc>
        <w:tc>
          <w:tcPr>
            <w:tcW w:type="dxa" w:w="158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158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Alerts from 2+ sources (Webhook + API poll) are ingested and normalized</w:t>
            </w:r>
          </w:p>
        </w:tc>
        <w:tc>
          <w:tcPr>
            <w:tcW w:type="dxa" w:w="1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Sudais (A)</w:t>
            </w:r>
          </w:p>
        </w:tc>
        <w:tc>
          <w:tcPr>
            <w:tcW w:type="dxa" w:w="1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5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Alerts enriched through Chain of Responsibility pipeline (min. 3 handlers)</w:t>
            </w:r>
          </w:p>
        </w:tc>
        <w:tc>
          <w:tcPr>
            <w:tcW w:type="dxa" w:w="1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Sudais (A)</w:t>
            </w:r>
          </w:p>
        </w:tc>
        <w:tc>
          <w:tcPr>
            <w:tcW w:type="dxa" w:w="1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Composite grouping: Alerts grouped into Campaigns and treated uniformly</w:t>
            </w:r>
          </w:p>
        </w:tc>
        <w:tc>
          <w:tcPr>
            <w:tcW w:type="dxa" w:w="1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Sudais (A)</w:t>
            </w:r>
          </w:p>
        </w:tc>
        <w:tc>
          <w:tcPr>
            <w:tcW w:type="dxa" w:w="1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5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Incidents transition through all 6 states with state-specific behavior</w:t>
            </w:r>
          </w:p>
        </w:tc>
        <w:tc>
          <w:tcPr>
            <w:tcW w:type="dxa" w:w="1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Sudais (A)</w:t>
            </w:r>
          </w:p>
        </w:tc>
        <w:tc>
          <w:tcPr>
            <w:tcW w:type="dxa" w:w="1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 least 2 response strategies are selectable and executable</w:t>
            </w:r>
          </w:p>
        </w:tc>
        <w:tc>
          <w:tcPr>
            <w:tcW w:type="dxa" w:w="1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Salman (B)</w:t>
            </w:r>
          </w:p>
        </w:tc>
        <w:tc>
          <w:tcPr>
            <w:tcW w:type="dxa" w:w="1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5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At least 2 external threat intel adapters integrated via Proxy + Adapter</w:t>
            </w:r>
          </w:p>
        </w:tc>
        <w:tc>
          <w:tcPr>
            <w:tcW w:type="dxa" w:w="1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Salman (B)</w:t>
            </w:r>
          </w:p>
        </w:tc>
        <w:tc>
          <w:tcPr>
            <w:tcW w:type="dxa" w:w="1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 updates in real-time (&lt; 2 seconds) via Observer/Event-Driven pattern</w:t>
            </w:r>
          </w:p>
        </w:tc>
        <w:tc>
          <w:tcPr>
            <w:tcW w:type="dxa" w:w="1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Farhan (C)</w:t>
            </w:r>
          </w:p>
        </w:tc>
        <w:tc>
          <w:tcPr>
            <w:tcW w:type="dxa" w:w="1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5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12 design patterns identified in code with // PATTERN: Name annotations</w:t>
            </w:r>
          </w:p>
        </w:tc>
        <w:tc>
          <w:tcPr>
            <w:tcW w:type="dxa" w:w="1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w:t>
            </w:r>
          </w:p>
        </w:tc>
        <w:tc>
          <w:tcPr>
            <w:tcW w:type="dxa" w:w="1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5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4 architecture styles documented with diagrams and directory evidence</w:t>
            </w:r>
          </w:p>
        </w:tc>
        <w:tc>
          <w:tcPr>
            <w:tcW w:type="dxa" w:w="1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w:t>
            </w:r>
          </w:p>
        </w:tc>
        <w:tc>
          <w:tcPr>
            <w:tcW w:type="dxa" w:w="1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5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System starts with docker-compose up and passes end-to-end integration test</w:t>
            </w:r>
          </w:p>
        </w:tc>
        <w:tc>
          <w:tcPr>
            <w:tcW w:type="dxa" w:w="1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w:t>
            </w:r>
          </w:p>
        </w:tc>
        <w:tc>
          <w:tcPr>
            <w:tcW w:type="dxa" w:w="1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t>
            </w:r>
          </w:p>
        </w:tc>
      </w:tr>
    </w:tbl>
    <w:p>
      <w:pPr>
        <w:spacing w:after="0" w:before="160"/>
      </w:pPr>
    </w:p>
    <w:p>
      <w:pPr>
        <w:pStyle w:val="Heading2"/>
        <w:pBdr>
          <w:bottom w:val="single" w:color="2E75B6" w:sz="2"/>
        </w:pBdr>
        <w:spacing w:after="100" w:before="280"/>
      </w:pPr>
      <w:r>
        <w:rPr>
          <w:rFonts w:ascii="Arial" w:cs="Arial" w:eastAsia="Arial" w:hAnsi="Arial"/>
          <w:b/>
          <w:bCs/>
          <w:color w:val="1F3864"/>
          <w:sz w:val="26"/>
          <w:szCs w:val="26"/>
        </w:rPr>
        <w:t xml:space="preserve">10.2 Grading Rubric</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2120"/>
        <w:gridCol w:w="2120"/>
        <w:gridCol w:w="2120"/>
      </w:tblGrid>
      <w:tr>
        <w:tc>
          <w:tcPr>
            <w:tcW w:type="dxa" w:w="21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Criteria</w:t>
            </w:r>
          </w:p>
        </w:tc>
        <w:tc>
          <w:tcPr>
            <w:tcW w:type="dxa" w:w="8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Weight</w:t>
            </w:r>
          </w:p>
        </w:tc>
        <w:tc>
          <w:tcPr>
            <w:tcW w:type="dxa" w:w="212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Excellent (90–100)</w:t>
            </w:r>
          </w:p>
        </w:tc>
        <w:tc>
          <w:tcPr>
            <w:tcW w:type="dxa" w:w="212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Satisfactory (70–89)</w:t>
            </w:r>
          </w:p>
        </w:tc>
        <w:tc>
          <w:tcPr>
            <w:tcW w:type="dxa" w:w="212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Needs Improvement (&lt;70)</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Architectural Correctness</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w:t>
            </w:r>
          </w:p>
        </w:tc>
        <w:tc>
          <w:tcPr>
            <w:tcW w:type="dxa" w:w="2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Clean SOA boundaries; MVC strictly followed; clear layered separation; event bus properly decouples</w:t>
            </w:r>
          </w:p>
        </w:tc>
        <w:tc>
          <w:tcPr>
            <w:tcW w:type="dxa" w:w="2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Minor boundary violations; MVC mostly correct; some layering leaks</w:t>
            </w:r>
          </w:p>
        </w:tc>
        <w:tc>
          <w:tcPr>
            <w:tcW w:type="dxa" w:w="2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Monolithic tendencies; MVC confusion; tight coupling</w:t>
            </w:r>
          </w:p>
        </w:tc>
      </w:tr>
      <w:tr>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Pattern Sophistication</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25%</w:t>
            </w:r>
          </w:p>
        </w:tc>
        <w:tc>
          <w:tcPr>
            <w:tcW w:type="dxa" w:w="2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Patterns emerge naturally from requirements; strong justifications; elegant implementations</w:t>
            </w:r>
          </w:p>
        </w:tc>
        <w:tc>
          <w:tcPr>
            <w:tcW w:type="dxa" w:w="2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patterns present; some slightly forced but justified</w:t>
            </w:r>
          </w:p>
        </w:tc>
        <w:tc>
          <w:tcPr>
            <w:tcW w:type="dxa" w:w="2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Patterns shoehorned; incorrect implementations; missing patterns</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Integration Quality</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2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Seamless end-to-end flow; robust error handling across services; clean contracts</w:t>
            </w:r>
          </w:p>
        </w:tc>
        <w:tc>
          <w:tcPr>
            <w:tcW w:type="dxa" w:w="2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Works end-to-end with minor edge-case issues</w:t>
            </w:r>
          </w:p>
        </w:tc>
        <w:tc>
          <w:tcPr>
            <w:tcW w:type="dxa" w:w="2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Frequent integration failures; unclear contracts</w:t>
            </w:r>
          </w:p>
        </w:tc>
      </w:tr>
      <w:tr>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Code Quality &amp; Extensibility</w:t>
            </w:r>
          </w:p>
        </w:tc>
        <w:tc>
          <w:tcPr>
            <w:tcW w:type="dxa" w:w="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2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New alert source added without core changes; comprehensive tests</w:t>
            </w:r>
          </w:p>
        </w:tc>
        <w:tc>
          <w:tcPr>
            <w:tcW w:type="dxa" w:w="2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Mostly extensible; reasonable test coverage</w:t>
            </w:r>
          </w:p>
        </w:tc>
        <w:tc>
          <w:tcPr>
            <w:tcW w:type="dxa" w:w="2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Brittle code; core modifications needed for extensions</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Presentation &amp; Documentation</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2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Clear UML; insightful ADRs; confident Q&amp;A; live demo without scripts</w:t>
            </w:r>
          </w:p>
        </w:tc>
        <w:tc>
          <w:tcPr>
            <w:tcW w:type="dxa" w:w="2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Adequate diagrams; basic ADRs; demo with minor issues</w:t>
            </w:r>
          </w:p>
        </w:tc>
        <w:tc>
          <w:tcPr>
            <w:tcW w:type="dxa" w:w="2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Missing diagrams; poor justifications; demo fails</w:t>
            </w:r>
          </w:p>
        </w:tc>
      </w:tr>
    </w:tbl>
    <w:p>
      <w:pPr>
        <w:spacing w:after="0" w:before="160"/>
      </w:pPr>
    </w:p>
    <w:p>
      <w:pPr>
        <w:pStyle w:val="Heading2"/>
        <w:pBdr>
          <w:bottom w:val="single" w:color="2E75B6" w:sz="2"/>
        </w:pBdr>
        <w:spacing w:after="100" w:before="280"/>
      </w:pPr>
      <w:r>
        <w:rPr>
          <w:rFonts w:ascii="Arial" w:cs="Arial" w:eastAsia="Arial" w:hAnsi="Arial"/>
          <w:b/>
          <w:bCs/>
          <w:color w:val="1F3864"/>
          <w:sz w:val="26"/>
          <w:szCs w:val="26"/>
        </w:rPr>
        <w:t xml:space="preserve">10.3 Risk Assessment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00"/>
        <w:gridCol w:w="3360"/>
      </w:tblGrid>
      <w:tr>
        <w:tc>
          <w:tcPr>
            <w:tcW w:type="dxa" w:w="32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4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Probability</w:t>
            </w:r>
          </w:p>
        </w:tc>
        <w:tc>
          <w:tcPr>
            <w:tcW w:type="dxa" w:w="13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336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Integration failure between ingestion and response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Define canonical alert schema in Week 1; use contract tests</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Over-engineering with patterns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Graded on justification — forced patterns penalized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External API rate limiting (VirusTotal, etc.)</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Proxy layer with caching; mock adapters for testing</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Uneven workload distribution</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Weekly stand-ups; peer evaluation component in grading</w:t>
            </w:r>
          </w:p>
        </w:tc>
      </w:tr>
    </w:tbl>
    <w:p>
      <w:pPr>
        <w:spacing w:after="0" w:before="160"/>
      </w:pPr>
    </w:p>
    <w:p>
      <w:pPr>
        <w:pStyle w:val="Heading2"/>
        <w:pBdr>
          <w:bottom w:val="single" w:color="2E75B6" w:sz="2"/>
        </w:pBdr>
        <w:spacing w:after="100" w:before="280"/>
      </w:pPr>
      <w:r>
        <w:rPr>
          <w:rFonts w:ascii="Arial" w:cs="Arial" w:eastAsia="Arial" w:hAnsi="Arial"/>
          <w:b/>
          <w:bCs/>
          <w:color w:val="1F3864"/>
          <w:sz w:val="26"/>
          <w:szCs w:val="26"/>
        </w:rPr>
        <w:t xml:space="preserve">10.4 Milestones Overview</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4800"/>
        <w:gridCol w:w="1760"/>
      </w:tblGrid>
      <w:tr>
        <w:tc>
          <w:tcPr>
            <w:tcW w:type="dxa" w:w="18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c>
          <w:tcPr>
            <w:tcW w:type="dxa" w:w="9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480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 Deliverables</w:t>
            </w:r>
          </w:p>
        </w:tc>
        <w:tc>
          <w:tcPr>
            <w:tcW w:type="dxa" w:w="1760"/>
            <w:tcBorders>
              <w:top w:val="single" w:color="2E75B6" w:sz="2"/>
              <w:left w:val="single" w:color="2E75B6" w:sz="2"/>
              <w:bottom w:val="single" w:color="2E75B6" w:sz="2"/>
              <w:right w:val="single" w:color="2E75B6" w:sz="2"/>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Weight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M1: Threat Domain Design</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UML diagrams, ADRs, API contracts, Composite + State prototypes</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M2: Pipeline &amp; Engine</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4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Working alert ingestion (2 adapters), Enrichment pipeline, Incident state machine</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20%</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M3: Integration &amp; Intelligence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Threat intel integration, Response orchestration, Event bus with 3+ subscribers, Dashboard MVC scaffold</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M4: System Integration</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13</w:t>
            </w:r>
          </w:p>
        </w:tc>
        <w:tc>
          <w:tcPr>
            <w:tcW w:type="dxa" w:w="4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End-to-end demo, Docker Compose deployment, integration tests</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25%</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M5: Final Delivery</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Final codebase, 20-min presentation, updated UML, ADRs, individual reflection reports</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pBdr>
      <w:tabs>
        <w:tab w:val="center" w:pos="4680"/>
        <w:tab w:val="right" w:pos="9260"/>
      </w:tabs>
      <w:spacing w:before="80"/>
    </w:pPr>
    <w:r>
      <w:rPr>
        <w:rFonts w:ascii="Arial" w:cs="Arial" w:eastAsia="Arial" w:hAnsi="Arial"/>
        <w:color w:val="404040"/>
        <w:sz w:val="16"/>
        <w:szCs w:val="16"/>
      </w:rPr>
      <w:t xml:space="preserve">Sudais Malik (53006) | Muhammad Salman Akbar (53002) | Muhammad Farhan Ijaz (52999)</w:t>
    </w:r>
    <w:r>
      <w:rPr>
        <w:rFonts w:ascii="Arial" w:cs="Arial" w:eastAsia="Arial" w:hAnsi="Arial"/>
        <w:color w:val="404040"/>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pBdr>
      <w:spacing w:after="100"/>
    </w:pPr>
    <w:r>
      <w:rPr>
        <w:rFonts w:ascii="Arial" w:cs="Arial" w:eastAsia="Arial" w:hAnsi="Arial"/>
        <w:color w:val="404040"/>
        <w:sz w:val="16"/>
        <w:szCs w:val="16"/>
      </w:rPr>
      <w:t xml:space="preserve">SDA-Pro — Security Incident Response &amp; Threat Mitigation Platform</w:t>
    </w:r>
    <w:r>
      <w:rPr>
        <w:rFonts w:ascii="Arial" w:cs="Arial" w:eastAsia="Arial" w:hAnsi="Arial"/>
        <w:color w:val="888888"/>
        <w:sz w:val="16"/>
        <w:szCs w:val="16"/>
      </w:rPr>
      <w:t xml:space="preserve">     |     Software Design &amp; Architecture — Semester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2026-06-02T05:29:20.897Z</dcterms:created>
  <dcterms:modified xsi:type="dcterms:W3CDTF">2026-06-02T05:29:20.913Z</dcterms:modified>
</cp:coreProperties>
</file>

<file path=docProps/custom.xml><?xml version="1.0" encoding="utf-8"?>
<Properties xmlns="http://schemas.openxmlformats.org/officeDocument/2006/custom-properties" xmlns:vt="http://schemas.openxmlformats.org/officeDocument/2006/docPropsVTypes"/>
</file>