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drawing>
          <wp:inline xmlns:a="http://schemas.openxmlformats.org/drawingml/2006/main" xmlns:pic="http://schemas.openxmlformats.org/drawingml/2006/picture">
            <wp:extent cx="2926080" cy="4060347"/>
            <wp:docPr id="1" name="Picture 1"/>
            <wp:cNvGraphicFramePr>
              <a:graphicFrameLocks noChangeAspect="1"/>
            </wp:cNvGraphicFramePr>
            <a:graphic>
              <a:graphicData uri="http://schemas.openxmlformats.org/drawingml/2006/picture">
                <pic:pic>
                  <pic:nvPicPr>
                    <pic:cNvPr id="0" name="ophron-navy-full-transparent.png"/>
                    <pic:cNvPicPr/>
                  </pic:nvPicPr>
                  <pic:blipFill>
                    <a:blip r:embed="rId9"/>
                    <a:stretch>
                      <a:fillRect/>
                    </a:stretch>
                  </pic:blipFill>
                  <pic:spPr>
                    <a:xfrm>
                      <a:off x="0" y="0"/>
                      <a:ext cx="2926080" cy="4060347"/>
                    </a:xfrm>
                    <a:prstGeom prst="rect"/>
                  </pic:spPr>
                </pic:pic>
              </a:graphicData>
            </a:graphic>
          </wp:inline>
        </w:drawing>
      </w:r>
    </w:p>
    <w:p>
      <w:pPr>
        <w:spacing w:after="240"/>
        <w:jc w:val="center"/>
      </w:pPr>
      <w:r>
        <w:rPr>
          <w:rFonts w:ascii="Arial" w:hAnsi="Arial"/>
          <w:b/>
          <w:color w:val="B7A38B"/>
          <w:sz w:val="19"/>
        </w:rPr>
        <w:t>✦ ENTERPRISE HOSPITALITY OPERATIONAL INFRASTRUCTURE PLATFORM</w:t>
      </w:r>
    </w:p>
    <w:p>
      <w:pPr>
        <w:spacing w:after="160"/>
        <w:jc w:val="center"/>
      </w:pPr>
      <w:r>
        <w:rPr>
          <w:rFonts w:ascii="Arial" w:hAnsi="Arial"/>
          <w:b/>
          <w:color w:val="032147"/>
          <w:sz w:val="44"/>
        </w:rPr>
        <w:t>OPHRON SYSTEMS</w:t>
        <w:br/>
        <w:t>COMPLETE WEBSITE &amp; FUNCTIONAL</w:t>
        <w:br/>
        <w:t>DOCUMENTATION</w:t>
      </w:r>
    </w:p>
    <w:p>
      <w:pPr>
        <w:spacing w:after="720"/>
        <w:jc w:val="center"/>
      </w:pPr>
      <w:r>
        <w:rPr>
          <w:rFonts w:ascii="Arial" w:hAnsi="Arial"/>
          <w:color w:val="718096"/>
          <w:sz w:val="22"/>
        </w:rPr>
        <w:t>Comprehensive Systems Architecture, Page-by-Page Content Audit, Service Catalog, and Operational Workflows</w:t>
      </w:r>
    </w:p>
    <w:tbl>
      <w:tblPr>
        <w:tblW w:type="auto" w:w="0"/>
        <w:jc w:val="center"/>
        <w:tblLook w:firstColumn="1" w:firstRow="1" w:lastColumn="0" w:lastRow="0" w:noHBand="0" w:noVBand="1" w:val="04A0"/>
      </w:tblPr>
      <w:tblGrid>
        <w:gridCol w:w="4514"/>
        <w:gridCol w:w="4514"/>
      </w:tblGrid>
      <w:tr>
        <w:tc>
          <w:tcPr>
            <w:tcW w:type="dxa" w:w="3168"/>
            <w:shd w:fill="F1F5F9"/>
            <w:tcMar>
              <w:top w:w="70" w:type="dxa"/>
              <w:bottom w:w="70" w:type="dxa"/>
              <w:left w:w="100" w:type="dxa"/>
              <w:right w:w="100" w:type="dxa"/>
            </w:tcMar>
          </w:tcPr>
          <w:p>
            <w:r>
              <w:rPr>
                <w:b/>
                <w:color w:val="032147"/>
                <w:sz w:val="17"/>
              </w:rPr>
              <w:t>Entity Name</w:t>
            </w:r>
          </w:p>
        </w:tc>
        <w:tc>
          <w:tcPr>
            <w:tcW w:type="dxa" w:w="6192"/>
            <w:shd w:fill="FFFFFF"/>
            <w:tcMar>
              <w:top w:w="70" w:type="dxa"/>
              <w:bottom w:w="70" w:type="dxa"/>
              <w:left w:w="100" w:type="dxa"/>
              <w:right w:w="100" w:type="dxa"/>
            </w:tcMar>
          </w:tcPr>
          <w:p>
            <w:r>
              <w:rPr>
                <w:color w:val="2D3748"/>
                <w:sz w:val="17"/>
              </w:rPr>
              <w:t>OPHRON Systems Pte. Ltd. (Singapore)</w:t>
            </w:r>
          </w:p>
        </w:tc>
      </w:tr>
      <w:tr>
        <w:tc>
          <w:tcPr>
            <w:tcW w:type="dxa" w:w="3168"/>
            <w:shd w:fill="F1F5F9"/>
            <w:tcMar>
              <w:top w:w="70" w:type="dxa"/>
              <w:bottom w:w="70" w:type="dxa"/>
              <w:left w:w="100" w:type="dxa"/>
              <w:right w:w="100" w:type="dxa"/>
            </w:tcMar>
          </w:tcPr>
          <w:p>
            <w:r>
              <w:rPr>
                <w:b/>
                <w:color w:val="032147"/>
                <w:sz w:val="17"/>
              </w:rPr>
              <w:t>Document Classification</w:t>
            </w:r>
          </w:p>
        </w:tc>
        <w:tc>
          <w:tcPr>
            <w:tcW w:type="dxa" w:w="6192"/>
            <w:shd w:fill="FFFFFF"/>
            <w:tcMar>
              <w:top w:w="70" w:type="dxa"/>
              <w:bottom w:w="70" w:type="dxa"/>
              <w:left w:w="100" w:type="dxa"/>
              <w:right w:w="100" w:type="dxa"/>
            </w:tcMar>
          </w:tcPr>
          <w:p>
            <w:r>
              <w:rPr>
                <w:color w:val="2D3748"/>
                <w:sz w:val="17"/>
              </w:rPr>
              <w:t>Confidential / Internal Technical &amp; Executive Review</w:t>
            </w:r>
          </w:p>
        </w:tc>
      </w:tr>
      <w:tr>
        <w:tc>
          <w:tcPr>
            <w:tcW w:type="dxa" w:w="3168"/>
            <w:shd w:fill="F1F5F9"/>
            <w:tcMar>
              <w:top w:w="70" w:type="dxa"/>
              <w:bottom w:w="70" w:type="dxa"/>
              <w:left w:w="100" w:type="dxa"/>
              <w:right w:w="100" w:type="dxa"/>
            </w:tcMar>
          </w:tcPr>
          <w:p>
            <w:r>
              <w:rPr>
                <w:b/>
                <w:color w:val="032147"/>
                <w:sz w:val="17"/>
              </w:rPr>
              <w:t>Prepared For</w:t>
            </w:r>
          </w:p>
        </w:tc>
        <w:tc>
          <w:tcPr>
            <w:tcW w:type="dxa" w:w="6192"/>
            <w:shd w:fill="FFFFFF"/>
            <w:tcMar>
              <w:top w:w="70" w:type="dxa"/>
              <w:bottom w:w="70" w:type="dxa"/>
              <w:left w:w="100" w:type="dxa"/>
              <w:right w:w="100" w:type="dxa"/>
            </w:tcMar>
          </w:tcPr>
          <w:p>
            <w:r>
              <w:rPr>
                <w:color w:val="2D3748"/>
                <w:sz w:val="17"/>
              </w:rPr>
              <w:t>Team Lead (TL), Engineering Leadership &amp; Product Management</w:t>
            </w:r>
          </w:p>
        </w:tc>
      </w:tr>
      <w:tr>
        <w:tc>
          <w:tcPr>
            <w:tcW w:type="dxa" w:w="3168"/>
            <w:shd w:fill="F1F5F9"/>
            <w:tcMar>
              <w:top w:w="70" w:type="dxa"/>
              <w:bottom w:w="70" w:type="dxa"/>
              <w:left w:w="100" w:type="dxa"/>
              <w:right w:w="100" w:type="dxa"/>
            </w:tcMar>
          </w:tcPr>
          <w:p>
            <w:r>
              <w:rPr>
                <w:b/>
                <w:color w:val="032147"/>
                <w:sz w:val="17"/>
              </w:rPr>
              <w:t>Document Version</w:t>
            </w:r>
          </w:p>
        </w:tc>
        <w:tc>
          <w:tcPr>
            <w:tcW w:type="dxa" w:w="6192"/>
            <w:shd w:fill="FFFFFF"/>
            <w:tcMar>
              <w:top w:w="70" w:type="dxa"/>
              <w:bottom w:w="70" w:type="dxa"/>
              <w:left w:w="100" w:type="dxa"/>
              <w:right w:w="100" w:type="dxa"/>
            </w:tcMar>
          </w:tcPr>
          <w:p>
            <w:r>
              <w:rPr>
                <w:color w:val="2D3748"/>
                <w:sz w:val="17"/>
              </w:rPr>
              <w:t>Version 2.4 — Complete Production Baseline</w:t>
            </w:r>
          </w:p>
        </w:tc>
      </w:tr>
      <w:tr>
        <w:tc>
          <w:tcPr>
            <w:tcW w:type="dxa" w:w="3168"/>
            <w:shd w:fill="F1F5F9"/>
            <w:tcMar>
              <w:top w:w="70" w:type="dxa"/>
              <w:bottom w:w="70" w:type="dxa"/>
              <w:left w:w="100" w:type="dxa"/>
              <w:right w:w="100" w:type="dxa"/>
            </w:tcMar>
          </w:tcPr>
          <w:p>
            <w:r>
              <w:rPr>
                <w:b/>
                <w:color w:val="032147"/>
                <w:sz w:val="17"/>
              </w:rPr>
              <w:t>Publication Date</w:t>
            </w:r>
          </w:p>
        </w:tc>
        <w:tc>
          <w:tcPr>
            <w:tcW w:type="dxa" w:w="6192"/>
            <w:shd w:fill="FFFFFF"/>
            <w:tcMar>
              <w:top w:w="70" w:type="dxa"/>
              <w:bottom w:w="70" w:type="dxa"/>
              <w:left w:w="100" w:type="dxa"/>
              <w:right w:w="100" w:type="dxa"/>
            </w:tcMar>
          </w:tcPr>
          <w:p>
            <w:r>
              <w:rPr>
                <w:color w:val="2D3748"/>
                <w:sz w:val="17"/>
              </w:rPr>
              <w:t>October 2026</w:t>
            </w:r>
          </w:p>
        </w:tc>
      </w:tr>
      <w:tr>
        <w:tc>
          <w:tcPr>
            <w:tcW w:type="dxa" w:w="3168"/>
            <w:shd w:fill="F1F5F9"/>
            <w:tcMar>
              <w:top w:w="70" w:type="dxa"/>
              <w:bottom w:w="70" w:type="dxa"/>
              <w:left w:w="100" w:type="dxa"/>
              <w:right w:w="100" w:type="dxa"/>
            </w:tcMar>
          </w:tcPr>
          <w:p>
            <w:r>
              <w:rPr>
                <w:b/>
                <w:color w:val="032147"/>
                <w:sz w:val="17"/>
              </w:rPr>
              <w:t>Operating Headquarters</w:t>
            </w:r>
          </w:p>
        </w:tc>
        <w:tc>
          <w:tcPr>
            <w:tcW w:type="dxa" w:w="6192"/>
            <w:shd w:fill="FFFFFF"/>
            <w:tcMar>
              <w:top w:w="70" w:type="dxa"/>
              <w:bottom w:w="70" w:type="dxa"/>
              <w:left w:w="100" w:type="dxa"/>
              <w:right w:w="100" w:type="dxa"/>
            </w:tcMar>
          </w:tcPr>
          <w:p>
            <w:r>
              <w:rPr>
                <w:color w:val="2D3748"/>
                <w:sz w:val="17"/>
              </w:rPr>
              <w:t>Midview City, 26 Sin Ming Lane #05-124, Singapore 573971</w:t>
            </w:r>
          </w:p>
        </w:tc>
      </w:tr>
    </w:tbl>
    <w:p>
      <w:r>
        <w:br w:type="page"/>
      </w:r>
    </w:p>
    <w:p>
      <w:pPr>
        <w:keepNext/>
        <w:spacing w:before="360" w:after="120"/>
      </w:pPr>
      <w:r>
        <w:rPr>
          <w:rFonts w:ascii="Arial" w:hAnsi="Arial"/>
          <w:b/>
          <w:color w:val="032147"/>
          <w:sz w:val="32"/>
        </w:rPr>
        <w:t>Document Control &amp; Revision History</w:t>
      </w:r>
    </w:p>
    <w:p>
      <w:pPr>
        <w:spacing w:line="276" w:lineRule="auto" w:after="100"/>
      </w:pPr>
      <w:r>
        <w:rPr>
          <w:rFonts w:ascii="Arial" w:hAnsi="Arial"/>
          <w:color w:val="2D3748"/>
        </w:rPr>
        <w:t>This document represents the definitive technical, operational, and visual audit for the OPHRON website and digital infrastructure platform. Any modifications to site architecture or service offerings must be logged in the revision history below.</w:t>
      </w:r>
    </w:p>
    <w:tbl>
      <w:tblPr>
        <w:tblW w:type="auto" w:w="0"/>
        <w:jc w:val="center"/>
        <w:tblLook w:firstColumn="1" w:firstRow="1" w:lastColumn="0" w:lastRow="0" w:noHBand="0" w:noVBand="1" w:val="04A0"/>
      </w:tblPr>
      <w:tblGrid>
        <w:gridCol w:w="2257"/>
        <w:gridCol w:w="2257"/>
        <w:gridCol w:w="2257"/>
        <w:gridCol w:w="2257"/>
      </w:tblGrid>
      <w:tr>
        <w:trPr>
          <w:tblHeader/>
        </w:trPr>
        <w:tc>
          <w:tcPr>
            <w:tcW w:type="dxa" w:w="1152"/>
            <w:shd w:fill="032147"/>
            <w:tcMar>
              <w:top w:w="120" w:type="dxa"/>
              <w:bottom w:w="120" w:type="dxa"/>
              <w:left w:w="140" w:type="dxa"/>
              <w:right w:w="140" w:type="dxa"/>
            </w:tcMar>
          </w:tcPr>
          <w:p>
            <w:r>
              <w:rPr>
                <w:rFonts w:ascii="Arial" w:hAnsi="Arial"/>
                <w:b/>
                <w:color w:val="FFFFFF"/>
                <w:sz w:val="19"/>
              </w:rPr>
              <w:t>Version</w:t>
            </w:r>
          </w:p>
        </w:tc>
        <w:tc>
          <w:tcPr>
            <w:tcW w:type="dxa" w:w="1584"/>
            <w:shd w:fill="032147"/>
            <w:tcMar>
              <w:top w:w="120" w:type="dxa"/>
              <w:bottom w:w="120" w:type="dxa"/>
              <w:left w:w="140" w:type="dxa"/>
              <w:right w:w="140" w:type="dxa"/>
            </w:tcMar>
          </w:tcPr>
          <w:p>
            <w:r>
              <w:rPr>
                <w:rFonts w:ascii="Arial" w:hAnsi="Arial"/>
                <w:b/>
                <w:color w:val="FFFFFF"/>
                <w:sz w:val="19"/>
              </w:rPr>
              <w:t>Release Date</w:t>
            </w:r>
          </w:p>
        </w:tc>
        <w:tc>
          <w:tcPr>
            <w:tcW w:type="dxa" w:w="2304"/>
            <w:shd w:fill="032147"/>
            <w:tcMar>
              <w:top w:w="120" w:type="dxa"/>
              <w:bottom w:w="120" w:type="dxa"/>
              <w:left w:w="140" w:type="dxa"/>
              <w:right w:w="140" w:type="dxa"/>
            </w:tcMar>
          </w:tcPr>
          <w:p>
            <w:r>
              <w:rPr>
                <w:rFonts w:ascii="Arial" w:hAnsi="Arial"/>
                <w:b/>
                <w:color w:val="FFFFFF"/>
                <w:sz w:val="19"/>
              </w:rPr>
              <w:t>Author / Role</w:t>
            </w:r>
          </w:p>
        </w:tc>
        <w:tc>
          <w:tcPr>
            <w:tcW w:type="dxa" w:w="4320"/>
            <w:shd w:fill="032147"/>
            <w:tcMar>
              <w:top w:w="120" w:type="dxa"/>
              <w:bottom w:w="120" w:type="dxa"/>
              <w:left w:w="140" w:type="dxa"/>
              <w:right w:w="140" w:type="dxa"/>
            </w:tcMar>
          </w:tcPr>
          <w:p>
            <w:r>
              <w:rPr>
                <w:rFonts w:ascii="Arial" w:hAnsi="Arial"/>
                <w:b/>
                <w:color w:val="FFFFFF"/>
                <w:sz w:val="19"/>
              </w:rPr>
              <w:t>Summary of Revisions &amp; Enhancements</w:t>
            </w:r>
          </w:p>
        </w:tc>
      </w:tr>
      <w:tr>
        <w:tc>
          <w:tcPr>
            <w:tcW w:type="dxa" w:w="1152"/>
            <w:shd w:fill="FFFFFF"/>
            <w:tcMar>
              <w:top w:w="100" w:type="dxa"/>
              <w:bottom w:w="100" w:type="dxa"/>
              <w:left w:w="140" w:type="dxa"/>
              <w:right w:w="140" w:type="dxa"/>
            </w:tcMar>
          </w:tcPr>
          <w:p>
            <w:r>
              <w:rPr>
                <w:rFonts w:ascii="Arial" w:hAnsi="Arial"/>
                <w:color w:val="2D3748"/>
                <w:sz w:val="18"/>
              </w:rPr>
              <w:t>v1.0</w:t>
            </w:r>
          </w:p>
        </w:tc>
        <w:tc>
          <w:tcPr>
            <w:tcW w:type="dxa" w:w="1584"/>
            <w:shd w:fill="FFFFFF"/>
            <w:tcMar>
              <w:top w:w="100" w:type="dxa"/>
              <w:bottom w:w="100" w:type="dxa"/>
              <w:left w:w="140" w:type="dxa"/>
              <w:right w:w="140" w:type="dxa"/>
            </w:tcMar>
          </w:tcPr>
          <w:p>
            <w:r>
              <w:rPr>
                <w:rFonts w:ascii="Arial" w:hAnsi="Arial"/>
                <w:color w:val="2D3748"/>
                <w:sz w:val="18"/>
              </w:rPr>
              <w:t>15-Aug-2026</w:t>
            </w:r>
          </w:p>
        </w:tc>
        <w:tc>
          <w:tcPr>
            <w:tcW w:type="dxa" w:w="2304"/>
            <w:shd w:fill="FFFFFF"/>
            <w:tcMar>
              <w:top w:w="100" w:type="dxa"/>
              <w:bottom w:w="100" w:type="dxa"/>
              <w:left w:w="140" w:type="dxa"/>
              <w:right w:w="140" w:type="dxa"/>
            </w:tcMar>
          </w:tcPr>
          <w:p>
            <w:r>
              <w:rPr>
                <w:rFonts w:ascii="Arial" w:hAnsi="Arial"/>
                <w:color w:val="2D3748"/>
                <w:sz w:val="18"/>
              </w:rPr>
              <w:t>Documentation Team</w:t>
            </w:r>
          </w:p>
        </w:tc>
        <w:tc>
          <w:tcPr>
            <w:tcW w:type="dxa" w:w="4320"/>
            <w:shd w:fill="FFFFFF"/>
            <w:tcMar>
              <w:top w:w="100" w:type="dxa"/>
              <w:bottom w:w="100" w:type="dxa"/>
              <w:left w:w="140" w:type="dxa"/>
              <w:right w:w="140" w:type="dxa"/>
            </w:tcMar>
          </w:tcPr>
          <w:p>
            <w:r>
              <w:rPr>
                <w:rFonts w:ascii="Arial" w:hAnsi="Arial"/>
                <w:color w:val="2D3748"/>
                <w:sz w:val="18"/>
              </w:rPr>
              <w:t>Initial draft of core commercial cleaning service pages and navigation structure.</w:t>
            </w:r>
          </w:p>
        </w:tc>
      </w:tr>
      <w:tr>
        <w:tc>
          <w:tcPr>
            <w:tcW w:type="dxa" w:w="1152"/>
            <w:shd w:fill="F8FAFC"/>
            <w:tcMar>
              <w:top w:w="100" w:type="dxa"/>
              <w:bottom w:w="100" w:type="dxa"/>
              <w:left w:w="140" w:type="dxa"/>
              <w:right w:w="140" w:type="dxa"/>
            </w:tcMar>
          </w:tcPr>
          <w:p>
            <w:r>
              <w:rPr>
                <w:rFonts w:ascii="Arial" w:hAnsi="Arial"/>
                <w:color w:val="2D3748"/>
                <w:sz w:val="18"/>
              </w:rPr>
              <w:t>v1.5</w:t>
            </w:r>
          </w:p>
        </w:tc>
        <w:tc>
          <w:tcPr>
            <w:tcW w:type="dxa" w:w="1584"/>
            <w:shd w:fill="F8FAFC"/>
            <w:tcMar>
              <w:top w:w="100" w:type="dxa"/>
              <w:bottom w:w="100" w:type="dxa"/>
              <w:left w:w="140" w:type="dxa"/>
              <w:right w:w="140" w:type="dxa"/>
            </w:tcMar>
          </w:tcPr>
          <w:p>
            <w:r>
              <w:rPr>
                <w:rFonts w:ascii="Arial" w:hAnsi="Arial"/>
                <w:color w:val="2D3748"/>
                <w:sz w:val="18"/>
              </w:rPr>
              <w:t>10-Sep-2026</w:t>
            </w:r>
          </w:p>
        </w:tc>
        <w:tc>
          <w:tcPr>
            <w:tcW w:type="dxa" w:w="2304"/>
            <w:shd w:fill="F8FAFC"/>
            <w:tcMar>
              <w:top w:w="100" w:type="dxa"/>
              <w:bottom w:w="100" w:type="dxa"/>
              <w:left w:w="140" w:type="dxa"/>
              <w:right w:w="140" w:type="dxa"/>
            </w:tcMar>
          </w:tcPr>
          <w:p>
            <w:r>
              <w:rPr>
                <w:rFonts w:ascii="Arial" w:hAnsi="Arial"/>
                <w:color w:val="2D3748"/>
                <w:sz w:val="18"/>
              </w:rPr>
              <w:t>Solutions Architect</w:t>
            </w:r>
          </w:p>
        </w:tc>
        <w:tc>
          <w:tcPr>
            <w:tcW w:type="dxa" w:w="4320"/>
            <w:shd w:fill="F8FAFC"/>
            <w:tcMar>
              <w:top w:w="100" w:type="dxa"/>
              <w:bottom w:w="100" w:type="dxa"/>
              <w:left w:w="140" w:type="dxa"/>
              <w:right w:w="140" w:type="dxa"/>
            </w:tcMar>
          </w:tcPr>
          <w:p>
            <w:r>
              <w:rPr>
                <w:rFonts w:ascii="Arial" w:hAnsi="Arial"/>
                <w:color w:val="2D3748"/>
                <w:sz w:val="18"/>
              </w:rPr>
              <w:t>Expanded hospitality manpower suite, WSQ compliance models, and IFM Lite catalog.</w:t>
            </w:r>
          </w:p>
        </w:tc>
      </w:tr>
      <w:tr>
        <w:tc>
          <w:tcPr>
            <w:tcW w:type="dxa" w:w="1152"/>
            <w:shd w:fill="FFFFFF"/>
            <w:tcMar>
              <w:top w:w="100" w:type="dxa"/>
              <w:bottom w:w="100" w:type="dxa"/>
              <w:left w:w="140" w:type="dxa"/>
              <w:right w:w="140" w:type="dxa"/>
            </w:tcMar>
          </w:tcPr>
          <w:p>
            <w:r>
              <w:rPr>
                <w:rFonts w:ascii="Arial" w:hAnsi="Arial"/>
                <w:color w:val="2D3748"/>
                <w:sz w:val="18"/>
              </w:rPr>
              <w:t>v2.0</w:t>
            </w:r>
          </w:p>
        </w:tc>
        <w:tc>
          <w:tcPr>
            <w:tcW w:type="dxa" w:w="1584"/>
            <w:shd w:fill="FFFFFF"/>
            <w:tcMar>
              <w:top w:w="100" w:type="dxa"/>
              <w:bottom w:w="100" w:type="dxa"/>
              <w:left w:w="140" w:type="dxa"/>
              <w:right w:w="140" w:type="dxa"/>
            </w:tcMar>
          </w:tcPr>
          <w:p>
            <w:r>
              <w:rPr>
                <w:rFonts w:ascii="Arial" w:hAnsi="Arial"/>
                <w:color w:val="2D3748"/>
                <w:sz w:val="18"/>
              </w:rPr>
              <w:t>28-Sep-2026</w:t>
            </w:r>
          </w:p>
        </w:tc>
        <w:tc>
          <w:tcPr>
            <w:tcW w:type="dxa" w:w="2304"/>
            <w:shd w:fill="FFFFFF"/>
            <w:tcMar>
              <w:top w:w="100" w:type="dxa"/>
              <w:bottom w:w="100" w:type="dxa"/>
              <w:left w:w="140" w:type="dxa"/>
              <w:right w:w="140" w:type="dxa"/>
            </w:tcMar>
          </w:tcPr>
          <w:p>
            <w:r>
              <w:rPr>
                <w:rFonts w:ascii="Arial" w:hAnsi="Arial"/>
                <w:color w:val="2D3748"/>
                <w:sz w:val="18"/>
              </w:rPr>
              <w:t>Lead UI/UX Auditor</w:t>
            </w:r>
          </w:p>
        </w:tc>
        <w:tc>
          <w:tcPr>
            <w:tcW w:type="dxa" w:w="4320"/>
            <w:shd w:fill="FFFFFF"/>
            <w:tcMar>
              <w:top w:w="100" w:type="dxa"/>
              <w:bottom w:w="100" w:type="dxa"/>
              <w:left w:w="140" w:type="dxa"/>
              <w:right w:w="140" w:type="dxa"/>
            </w:tcMar>
          </w:tcPr>
          <w:p>
            <w:r>
              <w:rPr>
                <w:rFonts w:ascii="Arial" w:hAnsi="Arial"/>
                <w:color w:val="2D3748"/>
                <w:sz w:val="18"/>
              </w:rPr>
              <w:t>Incorporated OphronOS 5-pillar architecture, interactive 16:10 MacBook Pro mockup, and Lenis scroll engine.</w:t>
            </w:r>
          </w:p>
        </w:tc>
      </w:tr>
      <w:tr>
        <w:tc>
          <w:tcPr>
            <w:tcW w:type="dxa" w:w="1152"/>
            <w:shd w:fill="F8FAFC"/>
            <w:tcMar>
              <w:top w:w="100" w:type="dxa"/>
              <w:bottom w:w="100" w:type="dxa"/>
              <w:left w:w="140" w:type="dxa"/>
              <w:right w:w="140" w:type="dxa"/>
            </w:tcMar>
          </w:tcPr>
          <w:p>
            <w:r>
              <w:rPr>
                <w:rFonts w:ascii="Arial" w:hAnsi="Arial"/>
                <w:color w:val="2D3748"/>
                <w:sz w:val="18"/>
              </w:rPr>
              <w:t>v2.3</w:t>
            </w:r>
          </w:p>
        </w:tc>
        <w:tc>
          <w:tcPr>
            <w:tcW w:type="dxa" w:w="1584"/>
            <w:shd w:fill="F8FAFC"/>
            <w:tcMar>
              <w:top w:w="100" w:type="dxa"/>
              <w:bottom w:w="100" w:type="dxa"/>
              <w:left w:w="140" w:type="dxa"/>
              <w:right w:w="140" w:type="dxa"/>
            </w:tcMar>
          </w:tcPr>
          <w:p>
            <w:r>
              <w:rPr>
                <w:rFonts w:ascii="Arial" w:hAnsi="Arial"/>
                <w:color w:val="2D3748"/>
                <w:sz w:val="18"/>
              </w:rPr>
              <w:t>06-Oct-2026</w:t>
            </w:r>
          </w:p>
        </w:tc>
        <w:tc>
          <w:tcPr>
            <w:tcW w:type="dxa" w:w="2304"/>
            <w:shd w:fill="F8FAFC"/>
            <w:tcMar>
              <w:top w:w="100" w:type="dxa"/>
              <w:bottom w:w="100" w:type="dxa"/>
              <w:left w:w="140" w:type="dxa"/>
              <w:right w:w="140" w:type="dxa"/>
            </w:tcMar>
          </w:tcPr>
          <w:p>
            <w:r>
              <w:rPr>
                <w:rFonts w:ascii="Arial" w:hAnsi="Arial"/>
                <w:color w:val="2D3748"/>
                <w:sz w:val="18"/>
              </w:rPr>
              <w:t>Technical Lead</w:t>
            </w:r>
          </w:p>
        </w:tc>
        <w:tc>
          <w:tcPr>
            <w:tcW w:type="dxa" w:w="4320"/>
            <w:shd w:fill="F8FAFC"/>
            <w:tcMar>
              <w:top w:w="100" w:type="dxa"/>
              <w:bottom w:w="100" w:type="dxa"/>
              <w:left w:w="140" w:type="dxa"/>
              <w:right w:w="140" w:type="dxa"/>
            </w:tcMar>
          </w:tcPr>
          <w:p>
            <w:r>
              <w:rPr>
                <w:rFonts w:ascii="Arial" w:hAnsi="Arial"/>
                <w:color w:val="2D3748"/>
                <w:sz w:val="18"/>
              </w:rPr>
              <w:t>Added 50% Singapore Skyline ambient video stage, removed auto-cycling carousels, and verified SEO metadata.</w:t>
            </w:r>
          </w:p>
        </w:tc>
      </w:tr>
      <w:tr>
        <w:tc>
          <w:tcPr>
            <w:tcW w:type="dxa" w:w="1152"/>
            <w:shd w:fill="FFFFFF"/>
            <w:tcMar>
              <w:top w:w="100" w:type="dxa"/>
              <w:bottom w:w="100" w:type="dxa"/>
              <w:left w:w="140" w:type="dxa"/>
              <w:right w:w="140" w:type="dxa"/>
            </w:tcMar>
          </w:tcPr>
          <w:p>
            <w:r>
              <w:rPr>
                <w:rFonts w:ascii="Arial" w:hAnsi="Arial"/>
                <w:color w:val="2D3748"/>
                <w:sz w:val="18"/>
              </w:rPr>
              <w:t>v2.4</w:t>
            </w:r>
          </w:p>
        </w:tc>
        <w:tc>
          <w:tcPr>
            <w:tcW w:type="dxa" w:w="1584"/>
            <w:shd w:fill="FFFFFF"/>
            <w:tcMar>
              <w:top w:w="100" w:type="dxa"/>
              <w:bottom w:w="100" w:type="dxa"/>
              <w:left w:w="140" w:type="dxa"/>
              <w:right w:w="140" w:type="dxa"/>
            </w:tcMar>
          </w:tcPr>
          <w:p>
            <w:r>
              <w:rPr>
                <w:rFonts w:ascii="Arial" w:hAnsi="Arial"/>
                <w:color w:val="2D3748"/>
                <w:sz w:val="18"/>
              </w:rPr>
              <w:t>10-Oct-2026</w:t>
            </w:r>
          </w:p>
        </w:tc>
        <w:tc>
          <w:tcPr>
            <w:tcW w:type="dxa" w:w="2304"/>
            <w:shd w:fill="FFFFFF"/>
            <w:tcMar>
              <w:top w:w="100" w:type="dxa"/>
              <w:bottom w:w="100" w:type="dxa"/>
              <w:left w:w="140" w:type="dxa"/>
              <w:right w:w="140" w:type="dxa"/>
            </w:tcMar>
          </w:tcPr>
          <w:p>
            <w:r>
              <w:rPr>
                <w:rFonts w:ascii="Arial" w:hAnsi="Arial"/>
                <w:color w:val="2D3748"/>
                <w:sz w:val="18"/>
              </w:rPr>
              <w:t>Senior Documentation Eng.</w:t>
            </w:r>
          </w:p>
        </w:tc>
        <w:tc>
          <w:tcPr>
            <w:tcW w:type="dxa" w:w="4320"/>
            <w:shd w:fill="FFFFFF"/>
            <w:tcMar>
              <w:top w:w="100" w:type="dxa"/>
              <w:bottom w:w="100" w:type="dxa"/>
              <w:left w:w="140" w:type="dxa"/>
              <w:right w:w="140" w:type="dxa"/>
            </w:tcMar>
          </w:tcPr>
          <w:p>
            <w:r>
              <w:rPr>
                <w:rFonts w:ascii="Arial" w:hAnsi="Arial"/>
                <w:color w:val="2D3748"/>
                <w:sz w:val="18"/>
              </w:rPr>
              <w:t>Complete end-to-end audit, 18-route page inventory, code traceability matrix, and TL handover delivery.</w:t>
            </w:r>
          </w:p>
        </w:tc>
      </w:tr>
    </w:tbl>
    <w:p>
      <w:pPr>
        <w:spacing w:after="240"/>
      </w:pPr>
    </w:p>
    <w:p>
      <w:pPr>
        <w:keepNext/>
        <w:spacing w:before="360" w:after="120"/>
      </w:pPr>
      <w:r>
        <w:rPr>
          <w:rFonts w:ascii="Arial" w:hAnsi="Arial"/>
          <w:b/>
          <w:color w:val="032147"/>
          <w:sz w:val="32"/>
        </w:rPr>
        <w:t>Table of Contents</w:t>
      </w:r>
    </w:p>
    <w:tbl>
      <w:tblPr>
        <w:tblW w:type="auto" w:w="0"/>
        <w:jc w:val="center"/>
        <w:tblLook w:firstColumn="1" w:firstRow="1" w:lastColumn="0" w:lastRow="0" w:noHBand="0" w:noVBand="1" w:val="04A0"/>
      </w:tblPr>
      <w:tblGrid>
        <w:gridCol w:w="3010"/>
        <w:gridCol w:w="3010"/>
        <w:gridCol w:w="3010"/>
      </w:tblGrid>
      <w:tr>
        <w:trPr>
          <w:tblHeader/>
        </w:trPr>
        <w:tc>
          <w:tcPr>
            <w:tcW w:type="dxa" w:w="1152"/>
            <w:shd w:fill="032147"/>
            <w:tcMar>
              <w:top w:w="120" w:type="dxa"/>
              <w:bottom w:w="120" w:type="dxa"/>
              <w:left w:w="140" w:type="dxa"/>
              <w:right w:w="140" w:type="dxa"/>
            </w:tcMar>
          </w:tcPr>
          <w:p>
            <w:r>
              <w:rPr>
                <w:rFonts w:ascii="Arial" w:hAnsi="Arial"/>
                <w:b/>
                <w:color w:val="FFFFFF"/>
                <w:sz w:val="19"/>
              </w:rPr>
              <w:t>Section</w:t>
            </w:r>
          </w:p>
        </w:tc>
        <w:tc>
          <w:tcPr>
            <w:tcW w:type="dxa" w:w="6768"/>
            <w:shd w:fill="032147"/>
            <w:tcMar>
              <w:top w:w="120" w:type="dxa"/>
              <w:bottom w:w="120" w:type="dxa"/>
              <w:left w:w="140" w:type="dxa"/>
              <w:right w:w="140" w:type="dxa"/>
            </w:tcMar>
          </w:tcPr>
          <w:p>
            <w:r>
              <w:rPr>
                <w:rFonts w:ascii="Arial" w:hAnsi="Arial"/>
                <w:b/>
                <w:color w:val="FFFFFF"/>
                <w:sz w:val="19"/>
              </w:rPr>
              <w:t>Chapter Title</w:t>
            </w:r>
          </w:p>
        </w:tc>
        <w:tc>
          <w:tcPr>
            <w:tcW w:type="dxa" w:w="1440"/>
            <w:shd w:fill="032147"/>
            <w:tcMar>
              <w:top w:w="120" w:type="dxa"/>
              <w:bottom w:w="120" w:type="dxa"/>
              <w:left w:w="140" w:type="dxa"/>
              <w:right w:w="140" w:type="dxa"/>
            </w:tcMar>
          </w:tcPr>
          <w:p>
            <w:pPr>
              <w:jc w:val="right"/>
            </w:pPr>
            <w:r>
              <w:rPr>
                <w:rFonts w:ascii="Arial" w:hAnsi="Arial"/>
                <w:b/>
                <w:color w:val="FFFFFF"/>
                <w:sz w:val="19"/>
              </w:rPr>
              <w:t>Location</w:t>
            </w:r>
          </w:p>
        </w:tc>
      </w:tr>
      <w:tr>
        <w:tc>
          <w:tcPr>
            <w:tcW w:type="dxa" w:w="1152"/>
            <w:shd w:fill="FFFFFF"/>
            <w:tcMar>
              <w:top w:w="100" w:type="dxa"/>
              <w:bottom w:w="100" w:type="dxa"/>
              <w:left w:w="140" w:type="dxa"/>
              <w:right w:w="140" w:type="dxa"/>
            </w:tcMar>
          </w:tcPr>
          <w:p>
            <w:r>
              <w:rPr>
                <w:rFonts w:ascii="Arial" w:hAnsi="Arial"/>
                <w:color w:val="2D3748"/>
                <w:sz w:val="18"/>
              </w:rPr>
              <w:t>1.0</w:t>
            </w:r>
          </w:p>
        </w:tc>
        <w:tc>
          <w:tcPr>
            <w:tcW w:type="dxa" w:w="6768"/>
            <w:shd w:fill="FFFFFF"/>
            <w:tcMar>
              <w:top w:w="100" w:type="dxa"/>
              <w:bottom w:w="100" w:type="dxa"/>
              <w:left w:w="140" w:type="dxa"/>
              <w:right w:w="140" w:type="dxa"/>
            </w:tcMar>
          </w:tcPr>
          <w:p>
            <w:r>
              <w:rPr>
                <w:rFonts w:ascii="Arial" w:hAnsi="Arial"/>
                <w:color w:val="2D3748"/>
                <w:sz w:val="18"/>
              </w:rPr>
              <w:t>Executive Summary &amp; Core Proposition</w:t>
            </w:r>
          </w:p>
        </w:tc>
        <w:tc>
          <w:tcPr>
            <w:tcW w:type="dxa" w:w="1440"/>
            <w:shd w:fill="FFFFFF"/>
            <w:tcMar>
              <w:top w:w="100" w:type="dxa"/>
              <w:bottom w:w="100" w:type="dxa"/>
              <w:left w:w="140" w:type="dxa"/>
              <w:right w:w="140" w:type="dxa"/>
            </w:tcMar>
          </w:tcPr>
          <w:p>
            <w:pPr>
              <w:jc w:val="right"/>
            </w:pPr>
            <w:r>
              <w:rPr>
                <w:rFonts w:ascii="Arial" w:hAnsi="Arial"/>
                <w:color w:val="2D3748"/>
                <w:sz w:val="18"/>
              </w:rPr>
              <w:t>Page 3</w:t>
            </w:r>
          </w:p>
        </w:tc>
      </w:tr>
      <w:tr>
        <w:tc>
          <w:tcPr>
            <w:tcW w:type="dxa" w:w="1152"/>
            <w:shd w:fill="F8FAFC"/>
            <w:tcMar>
              <w:top w:w="100" w:type="dxa"/>
              <w:bottom w:w="100" w:type="dxa"/>
              <w:left w:w="140" w:type="dxa"/>
              <w:right w:w="140" w:type="dxa"/>
            </w:tcMar>
          </w:tcPr>
          <w:p>
            <w:r>
              <w:rPr>
                <w:rFonts w:ascii="Arial" w:hAnsi="Arial"/>
                <w:color w:val="2D3748"/>
                <w:sz w:val="18"/>
              </w:rPr>
              <w:t>2.0</w:t>
            </w:r>
          </w:p>
        </w:tc>
        <w:tc>
          <w:tcPr>
            <w:tcW w:type="dxa" w:w="6768"/>
            <w:shd w:fill="F8FAFC"/>
            <w:tcMar>
              <w:top w:w="100" w:type="dxa"/>
              <w:bottom w:w="100" w:type="dxa"/>
              <w:left w:w="140" w:type="dxa"/>
              <w:right w:w="140" w:type="dxa"/>
            </w:tcMar>
          </w:tcPr>
          <w:p>
            <w:r>
              <w:rPr>
                <w:rFonts w:ascii="Arial" w:hAnsi="Arial"/>
                <w:color w:val="2D3748"/>
                <w:sz w:val="18"/>
              </w:rPr>
              <w:t>Company Overview &amp; Corporate Brand Identity</w:t>
            </w:r>
          </w:p>
        </w:tc>
        <w:tc>
          <w:tcPr>
            <w:tcW w:type="dxa" w:w="1440"/>
            <w:shd w:fill="F8FAFC"/>
            <w:tcMar>
              <w:top w:w="100" w:type="dxa"/>
              <w:bottom w:w="100" w:type="dxa"/>
              <w:left w:w="140" w:type="dxa"/>
              <w:right w:w="140" w:type="dxa"/>
            </w:tcMar>
          </w:tcPr>
          <w:p>
            <w:pPr>
              <w:jc w:val="right"/>
            </w:pPr>
            <w:r>
              <w:rPr>
                <w:rFonts w:ascii="Arial" w:hAnsi="Arial"/>
                <w:color w:val="2D3748"/>
                <w:sz w:val="18"/>
              </w:rPr>
              <w:t>Page 4</w:t>
            </w:r>
          </w:p>
        </w:tc>
      </w:tr>
      <w:tr>
        <w:tc>
          <w:tcPr>
            <w:tcW w:type="dxa" w:w="1152"/>
            <w:shd w:fill="FFFFFF"/>
            <w:tcMar>
              <w:top w:w="100" w:type="dxa"/>
              <w:bottom w:w="100" w:type="dxa"/>
              <w:left w:w="140" w:type="dxa"/>
              <w:right w:w="140" w:type="dxa"/>
            </w:tcMar>
          </w:tcPr>
          <w:p>
            <w:r>
              <w:rPr>
                <w:rFonts w:ascii="Arial" w:hAnsi="Arial"/>
                <w:color w:val="2D3748"/>
                <w:sz w:val="18"/>
              </w:rPr>
              <w:t>3.0</w:t>
            </w:r>
          </w:p>
        </w:tc>
        <w:tc>
          <w:tcPr>
            <w:tcW w:type="dxa" w:w="6768"/>
            <w:shd w:fill="FFFFFF"/>
            <w:tcMar>
              <w:top w:w="100" w:type="dxa"/>
              <w:bottom w:w="100" w:type="dxa"/>
              <w:left w:w="140" w:type="dxa"/>
              <w:right w:w="140" w:type="dxa"/>
            </w:tcMar>
          </w:tcPr>
          <w:p>
            <w:r>
              <w:rPr>
                <w:rFonts w:ascii="Arial" w:hAnsi="Arial"/>
                <w:color w:val="2D3748"/>
                <w:sz w:val="18"/>
              </w:rPr>
              <w:t>Website Architecture &amp; Complete Route Map</w:t>
            </w:r>
          </w:p>
        </w:tc>
        <w:tc>
          <w:tcPr>
            <w:tcW w:type="dxa" w:w="1440"/>
            <w:shd w:fill="FFFFFF"/>
            <w:tcMar>
              <w:top w:w="100" w:type="dxa"/>
              <w:bottom w:w="100" w:type="dxa"/>
              <w:left w:w="140" w:type="dxa"/>
              <w:right w:w="140" w:type="dxa"/>
            </w:tcMar>
          </w:tcPr>
          <w:p>
            <w:pPr>
              <w:jc w:val="right"/>
            </w:pPr>
            <w:r>
              <w:rPr>
                <w:rFonts w:ascii="Arial" w:hAnsi="Arial"/>
                <w:color w:val="2D3748"/>
                <w:sz w:val="18"/>
              </w:rPr>
              <w:t>Page 6</w:t>
            </w:r>
          </w:p>
        </w:tc>
      </w:tr>
      <w:tr>
        <w:tc>
          <w:tcPr>
            <w:tcW w:type="dxa" w:w="1152"/>
            <w:shd w:fill="F8FAFC"/>
            <w:tcMar>
              <w:top w:w="100" w:type="dxa"/>
              <w:bottom w:w="100" w:type="dxa"/>
              <w:left w:w="140" w:type="dxa"/>
              <w:right w:w="140" w:type="dxa"/>
            </w:tcMar>
          </w:tcPr>
          <w:p>
            <w:r>
              <w:rPr>
                <w:rFonts w:ascii="Arial" w:hAnsi="Arial"/>
                <w:color w:val="2D3748"/>
                <w:sz w:val="18"/>
              </w:rPr>
              <w:t>4.0</w:t>
            </w:r>
          </w:p>
        </w:tc>
        <w:tc>
          <w:tcPr>
            <w:tcW w:type="dxa" w:w="6768"/>
            <w:shd w:fill="F8FAFC"/>
            <w:tcMar>
              <w:top w:w="100" w:type="dxa"/>
              <w:bottom w:w="100" w:type="dxa"/>
              <w:left w:w="140" w:type="dxa"/>
              <w:right w:w="140" w:type="dxa"/>
            </w:tcMar>
          </w:tcPr>
          <w:p>
            <w:r>
              <w:rPr>
                <w:rFonts w:ascii="Arial" w:hAnsi="Arial"/>
                <w:color w:val="2D3748"/>
                <w:sz w:val="18"/>
              </w:rPr>
              <w:t>Page-by-Page Content &amp; UI/UX Audit</w:t>
            </w:r>
          </w:p>
        </w:tc>
        <w:tc>
          <w:tcPr>
            <w:tcW w:type="dxa" w:w="1440"/>
            <w:shd w:fill="F8FAFC"/>
            <w:tcMar>
              <w:top w:w="100" w:type="dxa"/>
              <w:bottom w:w="100" w:type="dxa"/>
              <w:left w:w="140" w:type="dxa"/>
              <w:right w:w="140" w:type="dxa"/>
            </w:tcMar>
          </w:tcPr>
          <w:p>
            <w:pPr>
              <w:jc w:val="right"/>
            </w:pPr>
            <w:r>
              <w:rPr>
                <w:rFonts w:ascii="Arial" w:hAnsi="Arial"/>
                <w:color w:val="2D3748"/>
                <w:sz w:val="18"/>
              </w:rPr>
              <w:t>Page 8</w:t>
            </w:r>
          </w:p>
        </w:tc>
      </w:tr>
      <w:tr>
        <w:tc>
          <w:tcPr>
            <w:tcW w:type="dxa" w:w="1152"/>
            <w:shd w:fill="FFFFFF"/>
            <w:tcMar>
              <w:top w:w="100" w:type="dxa"/>
              <w:bottom w:w="100" w:type="dxa"/>
              <w:left w:w="140" w:type="dxa"/>
              <w:right w:w="140" w:type="dxa"/>
            </w:tcMar>
          </w:tcPr>
          <w:p>
            <w:r>
              <w:rPr>
                <w:rFonts w:ascii="Arial" w:hAnsi="Arial"/>
                <w:color w:val="2D3748"/>
                <w:sz w:val="18"/>
              </w:rPr>
              <w:t xml:space="preserve">    4.1</w:t>
            </w:r>
          </w:p>
        </w:tc>
        <w:tc>
          <w:tcPr>
            <w:tcW w:type="dxa" w:w="6768"/>
            <w:shd w:fill="FFFFFF"/>
            <w:tcMar>
              <w:top w:w="100" w:type="dxa"/>
              <w:bottom w:w="100" w:type="dxa"/>
              <w:left w:w="140" w:type="dxa"/>
              <w:right w:w="140" w:type="dxa"/>
            </w:tcMar>
          </w:tcPr>
          <w:p>
            <w:r>
              <w:rPr>
                <w:rFonts w:ascii="Arial" w:hAnsi="Arial"/>
                <w:color w:val="2D3748"/>
                <w:sz w:val="18"/>
              </w:rPr>
              <w:t>§001 Global Header &amp; Navigation Command</w:t>
            </w:r>
          </w:p>
        </w:tc>
        <w:tc>
          <w:tcPr>
            <w:tcW w:type="dxa" w:w="1440"/>
            <w:shd w:fill="FFFFFF"/>
            <w:tcMar>
              <w:top w:w="100" w:type="dxa"/>
              <w:bottom w:w="100" w:type="dxa"/>
              <w:left w:w="140" w:type="dxa"/>
              <w:right w:w="140" w:type="dxa"/>
            </w:tcMar>
          </w:tcPr>
          <w:p>
            <w:pPr>
              <w:jc w:val="right"/>
            </w:pPr>
            <w:r>
              <w:rPr>
                <w:rFonts w:ascii="Arial" w:hAnsi="Arial"/>
                <w:color w:val="2D3748"/>
                <w:sz w:val="18"/>
              </w:rPr>
              <w:t>Page 8</w:t>
            </w:r>
          </w:p>
        </w:tc>
      </w:tr>
      <w:tr>
        <w:tc>
          <w:tcPr>
            <w:tcW w:type="dxa" w:w="1152"/>
            <w:shd w:fill="F8FAFC"/>
            <w:tcMar>
              <w:top w:w="100" w:type="dxa"/>
              <w:bottom w:w="100" w:type="dxa"/>
              <w:left w:w="140" w:type="dxa"/>
              <w:right w:w="140" w:type="dxa"/>
            </w:tcMar>
          </w:tcPr>
          <w:p>
            <w:r>
              <w:rPr>
                <w:rFonts w:ascii="Arial" w:hAnsi="Arial"/>
                <w:color w:val="2D3748"/>
                <w:sz w:val="18"/>
              </w:rPr>
              <w:t xml:space="preserve">    4.2</w:t>
            </w:r>
          </w:p>
        </w:tc>
        <w:tc>
          <w:tcPr>
            <w:tcW w:type="dxa" w:w="6768"/>
            <w:shd w:fill="F8FAFC"/>
            <w:tcMar>
              <w:top w:w="100" w:type="dxa"/>
              <w:bottom w:w="100" w:type="dxa"/>
              <w:left w:w="140" w:type="dxa"/>
              <w:right w:w="140" w:type="dxa"/>
            </w:tcMar>
          </w:tcPr>
          <w:p>
            <w:r>
              <w:rPr>
                <w:rFonts w:ascii="Arial" w:hAnsi="Arial"/>
                <w:color w:val="2D3748"/>
                <w:sz w:val="18"/>
              </w:rPr>
              <w:t>§002 Hero Section &amp; 50% Skyline Ambient Reel</w:t>
            </w:r>
          </w:p>
        </w:tc>
        <w:tc>
          <w:tcPr>
            <w:tcW w:type="dxa" w:w="1440"/>
            <w:shd w:fill="F8FAFC"/>
            <w:tcMar>
              <w:top w:w="100" w:type="dxa"/>
              <w:bottom w:w="100" w:type="dxa"/>
              <w:left w:w="140" w:type="dxa"/>
              <w:right w:w="140" w:type="dxa"/>
            </w:tcMar>
          </w:tcPr>
          <w:p>
            <w:pPr>
              <w:jc w:val="right"/>
            </w:pPr>
            <w:r>
              <w:rPr>
                <w:rFonts w:ascii="Arial" w:hAnsi="Arial"/>
                <w:color w:val="2D3748"/>
                <w:sz w:val="18"/>
              </w:rPr>
              <w:t>Page 9</w:t>
            </w:r>
          </w:p>
        </w:tc>
      </w:tr>
      <w:tr>
        <w:tc>
          <w:tcPr>
            <w:tcW w:type="dxa" w:w="1152"/>
            <w:shd w:fill="FFFFFF"/>
            <w:tcMar>
              <w:top w:w="100" w:type="dxa"/>
              <w:bottom w:w="100" w:type="dxa"/>
              <w:left w:w="140" w:type="dxa"/>
              <w:right w:w="140" w:type="dxa"/>
            </w:tcMar>
          </w:tcPr>
          <w:p>
            <w:r>
              <w:rPr>
                <w:rFonts w:ascii="Arial" w:hAnsi="Arial"/>
                <w:color w:val="2D3748"/>
                <w:sz w:val="18"/>
              </w:rPr>
              <w:t xml:space="preserve">    4.3</w:t>
            </w:r>
          </w:p>
        </w:tc>
        <w:tc>
          <w:tcPr>
            <w:tcW w:type="dxa" w:w="6768"/>
            <w:shd w:fill="FFFFFF"/>
            <w:tcMar>
              <w:top w:w="100" w:type="dxa"/>
              <w:bottom w:w="100" w:type="dxa"/>
              <w:left w:w="140" w:type="dxa"/>
              <w:right w:w="140" w:type="dxa"/>
            </w:tcMar>
          </w:tcPr>
          <w:p>
            <w:r>
              <w:rPr>
                <w:rFonts w:ascii="Arial" w:hAnsi="Arial"/>
                <w:color w:val="2D3748"/>
                <w:sz w:val="18"/>
              </w:rPr>
              <w:t>§003 Client Logos &amp; Verified Hospitality Partners</w:t>
            </w:r>
          </w:p>
        </w:tc>
        <w:tc>
          <w:tcPr>
            <w:tcW w:type="dxa" w:w="1440"/>
            <w:shd w:fill="FFFFFF"/>
            <w:tcMar>
              <w:top w:w="100" w:type="dxa"/>
              <w:bottom w:w="100" w:type="dxa"/>
              <w:left w:w="140" w:type="dxa"/>
              <w:right w:w="140" w:type="dxa"/>
            </w:tcMar>
          </w:tcPr>
          <w:p>
            <w:pPr>
              <w:jc w:val="right"/>
            </w:pPr>
            <w:r>
              <w:rPr>
                <w:rFonts w:ascii="Arial" w:hAnsi="Arial"/>
                <w:color w:val="2D3748"/>
                <w:sz w:val="18"/>
              </w:rPr>
              <w:t>Page 11</w:t>
            </w:r>
          </w:p>
        </w:tc>
      </w:tr>
      <w:tr>
        <w:tc>
          <w:tcPr>
            <w:tcW w:type="dxa" w:w="1152"/>
            <w:shd w:fill="F8FAFC"/>
            <w:tcMar>
              <w:top w:w="100" w:type="dxa"/>
              <w:bottom w:w="100" w:type="dxa"/>
              <w:left w:w="140" w:type="dxa"/>
              <w:right w:w="140" w:type="dxa"/>
            </w:tcMar>
          </w:tcPr>
          <w:p>
            <w:r>
              <w:rPr>
                <w:rFonts w:ascii="Arial" w:hAnsi="Arial"/>
                <w:color w:val="2D3748"/>
                <w:sz w:val="18"/>
              </w:rPr>
              <w:t xml:space="preserve">    4.4</w:t>
            </w:r>
          </w:p>
        </w:tc>
        <w:tc>
          <w:tcPr>
            <w:tcW w:type="dxa" w:w="6768"/>
            <w:shd w:fill="F8FAFC"/>
            <w:tcMar>
              <w:top w:w="100" w:type="dxa"/>
              <w:bottom w:w="100" w:type="dxa"/>
              <w:left w:w="140" w:type="dxa"/>
              <w:right w:w="140" w:type="dxa"/>
            </w:tcMar>
          </w:tcPr>
          <w:p>
            <w:r>
              <w:rPr>
                <w:rFonts w:ascii="Arial" w:hAnsi="Arial"/>
                <w:color w:val="2D3748"/>
                <w:sz w:val="18"/>
              </w:rPr>
              <w:t>§004 The Strategic Advantage (OphronOS 5 Pillars)</w:t>
            </w:r>
          </w:p>
        </w:tc>
        <w:tc>
          <w:tcPr>
            <w:tcW w:type="dxa" w:w="1440"/>
            <w:shd w:fill="F8FAFC"/>
            <w:tcMar>
              <w:top w:w="100" w:type="dxa"/>
              <w:bottom w:w="100" w:type="dxa"/>
              <w:left w:w="140" w:type="dxa"/>
              <w:right w:w="140" w:type="dxa"/>
            </w:tcMar>
          </w:tcPr>
          <w:p>
            <w:pPr>
              <w:jc w:val="right"/>
            </w:pPr>
            <w:r>
              <w:rPr>
                <w:rFonts w:ascii="Arial" w:hAnsi="Arial"/>
                <w:color w:val="2D3748"/>
                <w:sz w:val="18"/>
              </w:rPr>
              <w:t>Page 12</w:t>
            </w:r>
          </w:p>
        </w:tc>
      </w:tr>
      <w:tr>
        <w:tc>
          <w:tcPr>
            <w:tcW w:type="dxa" w:w="1152"/>
            <w:shd w:fill="FFFFFF"/>
            <w:tcMar>
              <w:top w:w="100" w:type="dxa"/>
              <w:bottom w:w="100" w:type="dxa"/>
              <w:left w:w="140" w:type="dxa"/>
              <w:right w:w="140" w:type="dxa"/>
            </w:tcMar>
          </w:tcPr>
          <w:p>
            <w:r>
              <w:rPr>
                <w:rFonts w:ascii="Arial" w:hAnsi="Arial"/>
                <w:color w:val="2D3748"/>
                <w:sz w:val="18"/>
              </w:rPr>
              <w:t xml:space="preserve">    4.5</w:t>
            </w:r>
          </w:p>
        </w:tc>
        <w:tc>
          <w:tcPr>
            <w:tcW w:type="dxa" w:w="6768"/>
            <w:shd w:fill="FFFFFF"/>
            <w:tcMar>
              <w:top w:w="100" w:type="dxa"/>
              <w:bottom w:w="100" w:type="dxa"/>
              <w:left w:w="140" w:type="dxa"/>
              <w:right w:w="140" w:type="dxa"/>
            </w:tcMar>
          </w:tcPr>
          <w:p>
            <w:r>
              <w:rPr>
                <w:rFonts w:ascii="Arial" w:hAnsi="Arial"/>
                <w:color w:val="2D3748"/>
                <w:sz w:val="18"/>
              </w:rPr>
              <w:t>§005 The Fragmented Problem (Vendor Coordination Chaos)</w:t>
            </w:r>
          </w:p>
        </w:tc>
        <w:tc>
          <w:tcPr>
            <w:tcW w:type="dxa" w:w="1440"/>
            <w:shd w:fill="FFFFFF"/>
            <w:tcMar>
              <w:top w:w="100" w:type="dxa"/>
              <w:bottom w:w="100" w:type="dxa"/>
              <w:left w:w="140" w:type="dxa"/>
              <w:right w:w="140" w:type="dxa"/>
            </w:tcMar>
          </w:tcPr>
          <w:p>
            <w:pPr>
              <w:jc w:val="right"/>
            </w:pPr>
            <w:r>
              <w:rPr>
                <w:rFonts w:ascii="Arial" w:hAnsi="Arial"/>
                <w:color w:val="2D3748"/>
                <w:sz w:val="18"/>
              </w:rPr>
              <w:t>Page 14</w:t>
            </w:r>
          </w:p>
        </w:tc>
      </w:tr>
      <w:tr>
        <w:tc>
          <w:tcPr>
            <w:tcW w:type="dxa" w:w="1152"/>
            <w:shd w:fill="F8FAFC"/>
            <w:tcMar>
              <w:top w:w="100" w:type="dxa"/>
              <w:bottom w:w="100" w:type="dxa"/>
              <w:left w:w="140" w:type="dxa"/>
              <w:right w:w="140" w:type="dxa"/>
            </w:tcMar>
          </w:tcPr>
          <w:p>
            <w:r>
              <w:rPr>
                <w:rFonts w:ascii="Arial" w:hAnsi="Arial"/>
                <w:color w:val="2D3748"/>
                <w:sz w:val="18"/>
              </w:rPr>
              <w:t xml:space="preserve">    4.6</w:t>
            </w:r>
          </w:p>
        </w:tc>
        <w:tc>
          <w:tcPr>
            <w:tcW w:type="dxa" w:w="6768"/>
            <w:shd w:fill="F8FAFC"/>
            <w:tcMar>
              <w:top w:w="100" w:type="dxa"/>
              <w:bottom w:w="100" w:type="dxa"/>
              <w:left w:w="140" w:type="dxa"/>
              <w:right w:w="140" w:type="dxa"/>
            </w:tcMar>
          </w:tcPr>
          <w:p>
            <w:r>
              <w:rPr>
                <w:rFonts w:ascii="Arial" w:hAnsi="Arial"/>
                <w:color w:val="2D3748"/>
                <w:sz w:val="18"/>
              </w:rPr>
              <w:t>§006 Integrated Solutions &amp; Service Suite</w:t>
            </w:r>
          </w:p>
        </w:tc>
        <w:tc>
          <w:tcPr>
            <w:tcW w:type="dxa" w:w="1440"/>
            <w:shd w:fill="F8FAFC"/>
            <w:tcMar>
              <w:top w:w="100" w:type="dxa"/>
              <w:bottom w:w="100" w:type="dxa"/>
              <w:left w:w="140" w:type="dxa"/>
              <w:right w:w="140" w:type="dxa"/>
            </w:tcMar>
          </w:tcPr>
          <w:p>
            <w:pPr>
              <w:jc w:val="right"/>
            </w:pPr>
            <w:r>
              <w:rPr>
                <w:rFonts w:ascii="Arial" w:hAnsi="Arial"/>
                <w:color w:val="2D3748"/>
                <w:sz w:val="18"/>
              </w:rPr>
              <w:t>Page 15</w:t>
            </w:r>
          </w:p>
        </w:tc>
      </w:tr>
      <w:tr>
        <w:tc>
          <w:tcPr>
            <w:tcW w:type="dxa" w:w="1152"/>
            <w:shd w:fill="FFFFFF"/>
            <w:tcMar>
              <w:top w:w="100" w:type="dxa"/>
              <w:bottom w:w="100" w:type="dxa"/>
              <w:left w:w="140" w:type="dxa"/>
              <w:right w:w="140" w:type="dxa"/>
            </w:tcMar>
          </w:tcPr>
          <w:p>
            <w:r>
              <w:rPr>
                <w:rFonts w:ascii="Arial" w:hAnsi="Arial"/>
                <w:color w:val="2D3748"/>
                <w:sz w:val="18"/>
              </w:rPr>
              <w:t xml:space="preserve">    4.7</w:t>
            </w:r>
          </w:p>
        </w:tc>
        <w:tc>
          <w:tcPr>
            <w:tcW w:type="dxa" w:w="6768"/>
            <w:shd w:fill="FFFFFF"/>
            <w:tcMar>
              <w:top w:w="100" w:type="dxa"/>
              <w:bottom w:w="100" w:type="dxa"/>
              <w:left w:w="140" w:type="dxa"/>
              <w:right w:w="140" w:type="dxa"/>
            </w:tcMar>
          </w:tcPr>
          <w:p>
            <w:r>
              <w:rPr>
                <w:rFonts w:ascii="Arial" w:hAnsi="Arial"/>
                <w:color w:val="2D3748"/>
                <w:sz w:val="18"/>
              </w:rPr>
              <w:t>§007 High-Resolution Visual Showcase &amp; Before/After</w:t>
            </w:r>
          </w:p>
        </w:tc>
        <w:tc>
          <w:tcPr>
            <w:tcW w:type="dxa" w:w="1440"/>
            <w:shd w:fill="FFFFFF"/>
            <w:tcMar>
              <w:top w:w="100" w:type="dxa"/>
              <w:bottom w:w="100" w:type="dxa"/>
              <w:left w:w="140" w:type="dxa"/>
              <w:right w:w="140" w:type="dxa"/>
            </w:tcMar>
          </w:tcPr>
          <w:p>
            <w:pPr>
              <w:jc w:val="right"/>
            </w:pPr>
            <w:r>
              <w:rPr>
                <w:rFonts w:ascii="Arial" w:hAnsi="Arial"/>
                <w:color w:val="2D3748"/>
                <w:sz w:val="18"/>
              </w:rPr>
              <w:t>Page 17</w:t>
            </w:r>
          </w:p>
        </w:tc>
      </w:tr>
      <w:tr>
        <w:tc>
          <w:tcPr>
            <w:tcW w:type="dxa" w:w="1152"/>
            <w:shd w:fill="F8FAFC"/>
            <w:tcMar>
              <w:top w:w="100" w:type="dxa"/>
              <w:bottom w:w="100" w:type="dxa"/>
              <w:left w:w="140" w:type="dxa"/>
              <w:right w:w="140" w:type="dxa"/>
            </w:tcMar>
          </w:tcPr>
          <w:p>
            <w:r>
              <w:rPr>
                <w:rFonts w:ascii="Arial" w:hAnsi="Arial"/>
                <w:color w:val="2D3748"/>
                <w:sz w:val="18"/>
              </w:rPr>
              <w:t xml:space="preserve">    4.8</w:t>
            </w:r>
          </w:p>
        </w:tc>
        <w:tc>
          <w:tcPr>
            <w:tcW w:type="dxa" w:w="6768"/>
            <w:shd w:fill="F8FAFC"/>
            <w:tcMar>
              <w:top w:w="100" w:type="dxa"/>
              <w:bottom w:w="100" w:type="dxa"/>
              <w:left w:w="140" w:type="dxa"/>
              <w:right w:w="140" w:type="dxa"/>
            </w:tcMar>
          </w:tcPr>
          <w:p>
            <w:r>
              <w:rPr>
                <w:rFonts w:ascii="Arial" w:hAnsi="Arial"/>
                <w:color w:val="2D3748"/>
                <w:sz w:val="18"/>
              </w:rPr>
              <w:t>§008 Why Choose OPHRON (SLA &amp; Compliance Guarantee)</w:t>
            </w:r>
          </w:p>
        </w:tc>
        <w:tc>
          <w:tcPr>
            <w:tcW w:type="dxa" w:w="1440"/>
            <w:shd w:fill="F8FAFC"/>
            <w:tcMar>
              <w:top w:w="100" w:type="dxa"/>
              <w:bottom w:w="100" w:type="dxa"/>
              <w:left w:w="140" w:type="dxa"/>
              <w:right w:w="140" w:type="dxa"/>
            </w:tcMar>
          </w:tcPr>
          <w:p>
            <w:pPr>
              <w:jc w:val="right"/>
            </w:pPr>
            <w:r>
              <w:rPr>
                <w:rFonts w:ascii="Arial" w:hAnsi="Arial"/>
                <w:color w:val="2D3748"/>
                <w:sz w:val="18"/>
              </w:rPr>
              <w:t>Page 18</w:t>
            </w:r>
          </w:p>
        </w:tc>
      </w:tr>
      <w:tr>
        <w:tc>
          <w:tcPr>
            <w:tcW w:type="dxa" w:w="1152"/>
            <w:shd w:fill="FFFFFF"/>
            <w:tcMar>
              <w:top w:w="100" w:type="dxa"/>
              <w:bottom w:w="100" w:type="dxa"/>
              <w:left w:w="140" w:type="dxa"/>
              <w:right w:w="140" w:type="dxa"/>
            </w:tcMar>
          </w:tcPr>
          <w:p>
            <w:r>
              <w:rPr>
                <w:rFonts w:ascii="Arial" w:hAnsi="Arial"/>
                <w:color w:val="2D3748"/>
                <w:sz w:val="18"/>
              </w:rPr>
              <w:t xml:space="preserve">    4.9</w:t>
            </w:r>
          </w:p>
        </w:tc>
        <w:tc>
          <w:tcPr>
            <w:tcW w:type="dxa" w:w="6768"/>
            <w:shd w:fill="FFFFFF"/>
            <w:tcMar>
              <w:top w:w="100" w:type="dxa"/>
              <w:bottom w:w="100" w:type="dxa"/>
              <w:left w:w="140" w:type="dxa"/>
              <w:right w:w="140" w:type="dxa"/>
            </w:tcMar>
          </w:tcPr>
          <w:p>
            <w:r>
              <w:rPr>
                <w:rFonts w:ascii="Arial" w:hAnsi="Arial"/>
                <w:color w:val="2D3748"/>
                <w:sz w:val="18"/>
              </w:rPr>
              <w:t>§009 Social Proof &amp; Executive Testimonials</w:t>
            </w:r>
          </w:p>
        </w:tc>
        <w:tc>
          <w:tcPr>
            <w:tcW w:type="dxa" w:w="1440"/>
            <w:shd w:fill="FFFFFF"/>
            <w:tcMar>
              <w:top w:w="100" w:type="dxa"/>
              <w:bottom w:w="100" w:type="dxa"/>
              <w:left w:w="140" w:type="dxa"/>
              <w:right w:w="140" w:type="dxa"/>
            </w:tcMar>
          </w:tcPr>
          <w:p>
            <w:pPr>
              <w:jc w:val="right"/>
            </w:pPr>
            <w:r>
              <w:rPr>
                <w:rFonts w:ascii="Arial" w:hAnsi="Arial"/>
                <w:color w:val="2D3748"/>
                <w:sz w:val="18"/>
              </w:rPr>
              <w:t>Page 19</w:t>
            </w:r>
          </w:p>
        </w:tc>
      </w:tr>
      <w:tr>
        <w:tc>
          <w:tcPr>
            <w:tcW w:type="dxa" w:w="1152"/>
            <w:shd w:fill="F8FAFC"/>
            <w:tcMar>
              <w:top w:w="100" w:type="dxa"/>
              <w:bottom w:w="100" w:type="dxa"/>
              <w:left w:w="140" w:type="dxa"/>
              <w:right w:w="140" w:type="dxa"/>
            </w:tcMar>
          </w:tcPr>
          <w:p>
            <w:r>
              <w:rPr>
                <w:rFonts w:ascii="Arial" w:hAnsi="Arial"/>
                <w:color w:val="2D3748"/>
                <w:sz w:val="18"/>
              </w:rPr>
              <w:t xml:space="preserve">    4.10</w:t>
            </w:r>
          </w:p>
        </w:tc>
        <w:tc>
          <w:tcPr>
            <w:tcW w:type="dxa" w:w="6768"/>
            <w:shd w:fill="F8FAFC"/>
            <w:tcMar>
              <w:top w:w="100" w:type="dxa"/>
              <w:bottom w:w="100" w:type="dxa"/>
              <w:left w:w="140" w:type="dxa"/>
              <w:right w:w="140" w:type="dxa"/>
            </w:tcMar>
          </w:tcPr>
          <w:p>
            <w:r>
              <w:rPr>
                <w:rFonts w:ascii="Arial" w:hAnsi="Arial"/>
                <w:color w:val="2D3748"/>
                <w:sz w:val="18"/>
              </w:rPr>
              <w:t>§010 Leadership Profile &amp; Founder Philosophy</w:t>
            </w:r>
          </w:p>
        </w:tc>
        <w:tc>
          <w:tcPr>
            <w:tcW w:type="dxa" w:w="1440"/>
            <w:shd w:fill="F8FAFC"/>
            <w:tcMar>
              <w:top w:w="100" w:type="dxa"/>
              <w:bottom w:w="100" w:type="dxa"/>
              <w:left w:w="140" w:type="dxa"/>
              <w:right w:w="140" w:type="dxa"/>
            </w:tcMar>
          </w:tcPr>
          <w:p>
            <w:pPr>
              <w:jc w:val="right"/>
            </w:pPr>
            <w:r>
              <w:rPr>
                <w:rFonts w:ascii="Arial" w:hAnsi="Arial"/>
                <w:color w:val="2D3748"/>
                <w:sz w:val="18"/>
              </w:rPr>
              <w:t>Page 20</w:t>
            </w:r>
          </w:p>
        </w:tc>
      </w:tr>
      <w:tr>
        <w:tc>
          <w:tcPr>
            <w:tcW w:type="dxa" w:w="1152"/>
            <w:shd w:fill="FFFFFF"/>
            <w:tcMar>
              <w:top w:w="100" w:type="dxa"/>
              <w:bottom w:w="100" w:type="dxa"/>
              <w:left w:w="140" w:type="dxa"/>
              <w:right w:w="140" w:type="dxa"/>
            </w:tcMar>
          </w:tcPr>
          <w:p>
            <w:r>
              <w:rPr>
                <w:rFonts w:ascii="Arial" w:hAnsi="Arial"/>
                <w:color w:val="2D3748"/>
                <w:sz w:val="18"/>
              </w:rPr>
              <w:t xml:space="preserve">    4.11</w:t>
            </w:r>
          </w:p>
        </w:tc>
        <w:tc>
          <w:tcPr>
            <w:tcW w:type="dxa" w:w="6768"/>
            <w:shd w:fill="FFFFFF"/>
            <w:tcMar>
              <w:top w:w="100" w:type="dxa"/>
              <w:bottom w:w="100" w:type="dxa"/>
              <w:left w:w="140" w:type="dxa"/>
              <w:right w:w="140" w:type="dxa"/>
            </w:tcMar>
          </w:tcPr>
          <w:p>
            <w:r>
              <w:rPr>
                <w:rFonts w:ascii="Arial" w:hAnsi="Arial"/>
                <w:color w:val="2D3748"/>
                <w:sz w:val="18"/>
              </w:rPr>
              <w:t>§011 Operational Knowledge Base &amp; Regulatory Articles</w:t>
            </w:r>
          </w:p>
        </w:tc>
        <w:tc>
          <w:tcPr>
            <w:tcW w:type="dxa" w:w="1440"/>
            <w:shd w:fill="FFFFFF"/>
            <w:tcMar>
              <w:top w:w="100" w:type="dxa"/>
              <w:bottom w:w="100" w:type="dxa"/>
              <w:left w:w="140" w:type="dxa"/>
              <w:right w:w="140" w:type="dxa"/>
            </w:tcMar>
          </w:tcPr>
          <w:p>
            <w:pPr>
              <w:jc w:val="right"/>
            </w:pPr>
            <w:r>
              <w:rPr>
                <w:rFonts w:ascii="Arial" w:hAnsi="Arial"/>
                <w:color w:val="2D3748"/>
                <w:sz w:val="18"/>
              </w:rPr>
              <w:t>Page 21</w:t>
            </w:r>
          </w:p>
        </w:tc>
      </w:tr>
      <w:tr>
        <w:tc>
          <w:tcPr>
            <w:tcW w:type="dxa" w:w="1152"/>
            <w:shd w:fill="F8FAFC"/>
            <w:tcMar>
              <w:top w:w="100" w:type="dxa"/>
              <w:bottom w:w="100" w:type="dxa"/>
              <w:left w:w="140" w:type="dxa"/>
              <w:right w:w="140" w:type="dxa"/>
            </w:tcMar>
          </w:tcPr>
          <w:p>
            <w:r>
              <w:rPr>
                <w:rFonts w:ascii="Arial" w:hAnsi="Arial"/>
                <w:color w:val="2D3748"/>
                <w:sz w:val="18"/>
              </w:rPr>
              <w:t xml:space="preserve">    4.12</w:t>
            </w:r>
          </w:p>
        </w:tc>
        <w:tc>
          <w:tcPr>
            <w:tcW w:type="dxa" w:w="6768"/>
            <w:shd w:fill="F8FAFC"/>
            <w:tcMar>
              <w:top w:w="100" w:type="dxa"/>
              <w:bottom w:w="100" w:type="dxa"/>
              <w:left w:w="140" w:type="dxa"/>
              <w:right w:w="140" w:type="dxa"/>
            </w:tcMar>
          </w:tcPr>
          <w:p>
            <w:r>
              <w:rPr>
                <w:rFonts w:ascii="Arial" w:hAnsi="Arial"/>
                <w:color w:val="2D3748"/>
                <w:sz w:val="18"/>
              </w:rPr>
              <w:t>§012 Platform Audit Request &amp; 24/7 Operations Intake</w:t>
            </w:r>
          </w:p>
        </w:tc>
        <w:tc>
          <w:tcPr>
            <w:tcW w:type="dxa" w:w="1440"/>
            <w:shd w:fill="F8FAFC"/>
            <w:tcMar>
              <w:top w:w="100" w:type="dxa"/>
              <w:bottom w:w="100" w:type="dxa"/>
              <w:left w:w="140" w:type="dxa"/>
              <w:right w:w="140" w:type="dxa"/>
            </w:tcMar>
          </w:tcPr>
          <w:p>
            <w:pPr>
              <w:jc w:val="right"/>
            </w:pPr>
            <w:r>
              <w:rPr>
                <w:rFonts w:ascii="Arial" w:hAnsi="Arial"/>
                <w:color w:val="2D3748"/>
                <w:sz w:val="18"/>
              </w:rPr>
              <w:t>Page 22</w:t>
            </w:r>
          </w:p>
        </w:tc>
      </w:tr>
      <w:tr>
        <w:tc>
          <w:tcPr>
            <w:tcW w:type="dxa" w:w="1152"/>
            <w:shd w:fill="FFFFFF"/>
            <w:tcMar>
              <w:top w:w="100" w:type="dxa"/>
              <w:bottom w:w="100" w:type="dxa"/>
              <w:left w:w="140" w:type="dxa"/>
              <w:right w:w="140" w:type="dxa"/>
            </w:tcMar>
          </w:tcPr>
          <w:p>
            <w:r>
              <w:rPr>
                <w:rFonts w:ascii="Arial" w:hAnsi="Arial"/>
                <w:color w:val="2D3748"/>
                <w:sz w:val="18"/>
              </w:rPr>
              <w:t xml:space="preserve">    4.13</w:t>
            </w:r>
          </w:p>
        </w:tc>
        <w:tc>
          <w:tcPr>
            <w:tcW w:type="dxa" w:w="6768"/>
            <w:shd w:fill="FFFFFF"/>
            <w:tcMar>
              <w:top w:w="100" w:type="dxa"/>
              <w:bottom w:w="100" w:type="dxa"/>
              <w:left w:w="140" w:type="dxa"/>
              <w:right w:w="140" w:type="dxa"/>
            </w:tcMar>
          </w:tcPr>
          <w:p>
            <w:r>
              <w:rPr>
                <w:rFonts w:ascii="Arial" w:hAnsi="Arial"/>
                <w:color w:val="2D3748"/>
                <w:sz w:val="18"/>
              </w:rPr>
              <w:t>§013 Corporate Footer &amp; Legal Regulatory Disclaimers</w:t>
            </w:r>
          </w:p>
        </w:tc>
        <w:tc>
          <w:tcPr>
            <w:tcW w:type="dxa" w:w="1440"/>
            <w:shd w:fill="FFFFFF"/>
            <w:tcMar>
              <w:top w:w="100" w:type="dxa"/>
              <w:bottom w:w="100" w:type="dxa"/>
              <w:left w:w="140" w:type="dxa"/>
              <w:right w:w="140" w:type="dxa"/>
            </w:tcMar>
          </w:tcPr>
          <w:p>
            <w:pPr>
              <w:jc w:val="right"/>
            </w:pPr>
            <w:r>
              <w:rPr>
                <w:rFonts w:ascii="Arial" w:hAnsi="Arial"/>
                <w:color w:val="2D3748"/>
                <w:sz w:val="18"/>
              </w:rPr>
              <w:t>Page 23</w:t>
            </w:r>
          </w:p>
        </w:tc>
      </w:tr>
      <w:tr>
        <w:tc>
          <w:tcPr>
            <w:tcW w:type="dxa" w:w="1152"/>
            <w:shd w:fill="F8FAFC"/>
            <w:tcMar>
              <w:top w:w="100" w:type="dxa"/>
              <w:bottom w:w="100" w:type="dxa"/>
              <w:left w:w="140" w:type="dxa"/>
              <w:right w:w="140" w:type="dxa"/>
            </w:tcMar>
          </w:tcPr>
          <w:p>
            <w:r>
              <w:rPr>
                <w:rFonts w:ascii="Arial" w:hAnsi="Arial"/>
                <w:color w:val="2D3748"/>
                <w:sz w:val="18"/>
              </w:rPr>
              <w:t xml:space="preserve">    4.14</w:t>
            </w:r>
          </w:p>
        </w:tc>
        <w:tc>
          <w:tcPr>
            <w:tcW w:type="dxa" w:w="6768"/>
            <w:shd w:fill="F8FAFC"/>
            <w:tcMar>
              <w:top w:w="100" w:type="dxa"/>
              <w:bottom w:w="100" w:type="dxa"/>
              <w:left w:w="140" w:type="dxa"/>
              <w:right w:w="140" w:type="dxa"/>
            </w:tcMar>
          </w:tcPr>
          <w:p>
            <w:r>
              <w:rPr>
                <w:rFonts w:ascii="Arial" w:hAnsi="Arial"/>
                <w:color w:val="2D3748"/>
                <w:sz w:val="18"/>
              </w:rPr>
              <w:t>§014 Mainframe Labs &amp; Technology Studio (/mainframe)</w:t>
            </w:r>
          </w:p>
        </w:tc>
        <w:tc>
          <w:tcPr>
            <w:tcW w:type="dxa" w:w="1440"/>
            <w:shd w:fill="F8FAFC"/>
            <w:tcMar>
              <w:top w:w="100" w:type="dxa"/>
              <w:bottom w:w="100" w:type="dxa"/>
              <w:left w:w="140" w:type="dxa"/>
              <w:right w:w="140" w:type="dxa"/>
            </w:tcMar>
          </w:tcPr>
          <w:p>
            <w:pPr>
              <w:jc w:val="right"/>
            </w:pPr>
            <w:r>
              <w:rPr>
                <w:rFonts w:ascii="Arial" w:hAnsi="Arial"/>
                <w:color w:val="2D3748"/>
                <w:sz w:val="18"/>
              </w:rPr>
              <w:t>Page 24</w:t>
            </w:r>
          </w:p>
        </w:tc>
      </w:tr>
      <w:tr>
        <w:tc>
          <w:tcPr>
            <w:tcW w:type="dxa" w:w="1152"/>
            <w:shd w:fill="FFFFFF"/>
            <w:tcMar>
              <w:top w:w="100" w:type="dxa"/>
              <w:bottom w:w="100" w:type="dxa"/>
              <w:left w:w="140" w:type="dxa"/>
              <w:right w:w="140" w:type="dxa"/>
            </w:tcMar>
          </w:tcPr>
          <w:p>
            <w:r>
              <w:rPr>
                <w:rFonts w:ascii="Arial" w:hAnsi="Arial"/>
                <w:color w:val="2D3748"/>
                <w:sz w:val="18"/>
              </w:rPr>
              <w:t>5.0</w:t>
            </w:r>
          </w:p>
        </w:tc>
        <w:tc>
          <w:tcPr>
            <w:tcW w:type="dxa" w:w="6768"/>
            <w:shd w:fill="FFFFFF"/>
            <w:tcMar>
              <w:top w:w="100" w:type="dxa"/>
              <w:bottom w:w="100" w:type="dxa"/>
              <w:left w:w="140" w:type="dxa"/>
              <w:right w:w="140" w:type="dxa"/>
            </w:tcMar>
          </w:tcPr>
          <w:p>
            <w:r>
              <w:rPr>
                <w:rFonts w:ascii="Arial" w:hAnsi="Arial"/>
                <w:color w:val="2D3748"/>
                <w:sz w:val="18"/>
              </w:rPr>
              <w:t>Specialized Commercial Services Catalog Deep-Dive</w:t>
            </w:r>
          </w:p>
        </w:tc>
        <w:tc>
          <w:tcPr>
            <w:tcW w:type="dxa" w:w="1440"/>
            <w:shd w:fill="FFFFFF"/>
            <w:tcMar>
              <w:top w:w="100" w:type="dxa"/>
              <w:bottom w:w="100" w:type="dxa"/>
              <w:left w:w="140" w:type="dxa"/>
              <w:right w:w="140" w:type="dxa"/>
            </w:tcMar>
          </w:tcPr>
          <w:p>
            <w:pPr>
              <w:jc w:val="right"/>
            </w:pPr>
            <w:r>
              <w:rPr>
                <w:rFonts w:ascii="Arial" w:hAnsi="Arial"/>
                <w:color w:val="2D3748"/>
                <w:sz w:val="18"/>
              </w:rPr>
              <w:t>Page 25</w:t>
            </w:r>
          </w:p>
        </w:tc>
      </w:tr>
      <w:tr>
        <w:tc>
          <w:tcPr>
            <w:tcW w:type="dxa" w:w="1152"/>
            <w:shd w:fill="F8FAFC"/>
            <w:tcMar>
              <w:top w:w="100" w:type="dxa"/>
              <w:bottom w:w="100" w:type="dxa"/>
              <w:left w:w="140" w:type="dxa"/>
              <w:right w:w="140" w:type="dxa"/>
            </w:tcMar>
          </w:tcPr>
          <w:p>
            <w:r>
              <w:rPr>
                <w:rFonts w:ascii="Arial" w:hAnsi="Arial"/>
                <w:color w:val="2D3748"/>
                <w:sz w:val="18"/>
              </w:rPr>
              <w:t>6.0</w:t>
            </w:r>
          </w:p>
        </w:tc>
        <w:tc>
          <w:tcPr>
            <w:tcW w:type="dxa" w:w="6768"/>
            <w:shd w:fill="F8FAFC"/>
            <w:tcMar>
              <w:top w:w="100" w:type="dxa"/>
              <w:bottom w:w="100" w:type="dxa"/>
              <w:left w:w="140" w:type="dxa"/>
              <w:right w:w="140" w:type="dxa"/>
            </w:tcMar>
          </w:tcPr>
          <w:p>
            <w:r>
              <w:rPr>
                <w:rFonts w:ascii="Arial" w:hAnsi="Arial"/>
                <w:color w:val="2D3748"/>
                <w:sz w:val="18"/>
              </w:rPr>
              <w:t>Functional Workflows &amp; End-to-End User Journeys</w:t>
            </w:r>
          </w:p>
        </w:tc>
        <w:tc>
          <w:tcPr>
            <w:tcW w:type="dxa" w:w="1440"/>
            <w:shd w:fill="F8FAFC"/>
            <w:tcMar>
              <w:top w:w="100" w:type="dxa"/>
              <w:bottom w:w="100" w:type="dxa"/>
              <w:left w:w="140" w:type="dxa"/>
              <w:right w:w="140" w:type="dxa"/>
            </w:tcMar>
          </w:tcPr>
          <w:p>
            <w:pPr>
              <w:jc w:val="right"/>
            </w:pPr>
            <w:r>
              <w:rPr>
                <w:rFonts w:ascii="Arial" w:hAnsi="Arial"/>
                <w:color w:val="2D3748"/>
                <w:sz w:val="18"/>
              </w:rPr>
              <w:t>Page 28</w:t>
            </w:r>
          </w:p>
        </w:tc>
      </w:tr>
      <w:tr>
        <w:tc>
          <w:tcPr>
            <w:tcW w:type="dxa" w:w="1152"/>
            <w:shd w:fill="FFFFFF"/>
            <w:tcMar>
              <w:top w:w="100" w:type="dxa"/>
              <w:bottom w:w="100" w:type="dxa"/>
              <w:left w:w="140" w:type="dxa"/>
              <w:right w:w="140" w:type="dxa"/>
            </w:tcMar>
          </w:tcPr>
          <w:p>
            <w:r>
              <w:rPr>
                <w:rFonts w:ascii="Arial" w:hAnsi="Arial"/>
                <w:color w:val="2D3748"/>
                <w:sz w:val="18"/>
              </w:rPr>
              <w:t>7.0</w:t>
            </w:r>
          </w:p>
        </w:tc>
        <w:tc>
          <w:tcPr>
            <w:tcW w:type="dxa" w:w="6768"/>
            <w:shd w:fill="FFFFFF"/>
            <w:tcMar>
              <w:top w:w="100" w:type="dxa"/>
              <w:bottom w:w="100" w:type="dxa"/>
              <w:left w:w="140" w:type="dxa"/>
              <w:right w:w="140" w:type="dxa"/>
            </w:tcMar>
          </w:tcPr>
          <w:p>
            <w:r>
              <w:rPr>
                <w:rFonts w:ascii="Arial" w:hAnsi="Arial"/>
                <w:color w:val="2D3748"/>
                <w:sz w:val="18"/>
              </w:rPr>
              <w:t>Technical Systems Architecture &amp; Engineering Stack</w:t>
            </w:r>
          </w:p>
        </w:tc>
        <w:tc>
          <w:tcPr>
            <w:tcW w:type="dxa" w:w="1440"/>
            <w:shd w:fill="FFFFFF"/>
            <w:tcMar>
              <w:top w:w="100" w:type="dxa"/>
              <w:bottom w:w="100" w:type="dxa"/>
              <w:left w:w="140" w:type="dxa"/>
              <w:right w:w="140" w:type="dxa"/>
            </w:tcMar>
          </w:tcPr>
          <w:p>
            <w:pPr>
              <w:jc w:val="right"/>
            </w:pPr>
            <w:r>
              <w:rPr>
                <w:rFonts w:ascii="Arial" w:hAnsi="Arial"/>
                <w:color w:val="2D3748"/>
                <w:sz w:val="18"/>
              </w:rPr>
              <w:t>Page 30</w:t>
            </w:r>
          </w:p>
        </w:tc>
      </w:tr>
      <w:tr>
        <w:tc>
          <w:tcPr>
            <w:tcW w:type="dxa" w:w="1152"/>
            <w:shd w:fill="F8FAFC"/>
            <w:tcMar>
              <w:top w:w="100" w:type="dxa"/>
              <w:bottom w:w="100" w:type="dxa"/>
              <w:left w:w="140" w:type="dxa"/>
              <w:right w:w="140" w:type="dxa"/>
            </w:tcMar>
          </w:tcPr>
          <w:p>
            <w:r>
              <w:rPr>
                <w:rFonts w:ascii="Arial" w:hAnsi="Arial"/>
                <w:color w:val="2D3748"/>
                <w:sz w:val="18"/>
              </w:rPr>
              <w:t>8.0</w:t>
            </w:r>
          </w:p>
        </w:tc>
        <w:tc>
          <w:tcPr>
            <w:tcW w:type="dxa" w:w="6768"/>
            <w:shd w:fill="F8FAFC"/>
            <w:tcMar>
              <w:top w:w="100" w:type="dxa"/>
              <w:bottom w:w="100" w:type="dxa"/>
              <w:left w:w="140" w:type="dxa"/>
              <w:right w:w="140" w:type="dxa"/>
            </w:tcMar>
          </w:tcPr>
          <w:p>
            <w:r>
              <w:rPr>
                <w:rFonts w:ascii="Arial" w:hAnsi="Arial"/>
                <w:color w:val="2D3748"/>
                <w:sz w:val="18"/>
              </w:rPr>
              <w:t>User Roles, Permissions &amp; Security Governance</w:t>
            </w:r>
          </w:p>
        </w:tc>
        <w:tc>
          <w:tcPr>
            <w:tcW w:type="dxa" w:w="1440"/>
            <w:shd w:fill="F8FAFC"/>
            <w:tcMar>
              <w:top w:w="100" w:type="dxa"/>
              <w:bottom w:w="100" w:type="dxa"/>
              <w:left w:w="140" w:type="dxa"/>
              <w:right w:w="140" w:type="dxa"/>
            </w:tcMar>
          </w:tcPr>
          <w:p>
            <w:pPr>
              <w:jc w:val="right"/>
            </w:pPr>
            <w:r>
              <w:rPr>
                <w:rFonts w:ascii="Arial" w:hAnsi="Arial"/>
                <w:color w:val="2D3748"/>
                <w:sz w:val="18"/>
              </w:rPr>
              <w:t>Page 33</w:t>
            </w:r>
          </w:p>
        </w:tc>
      </w:tr>
      <w:tr>
        <w:tc>
          <w:tcPr>
            <w:tcW w:type="dxa" w:w="1152"/>
            <w:shd w:fill="FFFFFF"/>
            <w:tcMar>
              <w:top w:w="100" w:type="dxa"/>
              <w:bottom w:w="100" w:type="dxa"/>
              <w:left w:w="140" w:type="dxa"/>
              <w:right w:w="140" w:type="dxa"/>
            </w:tcMar>
          </w:tcPr>
          <w:p>
            <w:r>
              <w:rPr>
                <w:rFonts w:ascii="Arial" w:hAnsi="Arial"/>
                <w:color w:val="2D3748"/>
                <w:sz w:val="18"/>
              </w:rPr>
              <w:t>9.0</w:t>
            </w:r>
          </w:p>
        </w:tc>
        <w:tc>
          <w:tcPr>
            <w:tcW w:type="dxa" w:w="6768"/>
            <w:shd w:fill="FFFFFF"/>
            <w:tcMar>
              <w:top w:w="100" w:type="dxa"/>
              <w:bottom w:w="100" w:type="dxa"/>
              <w:left w:w="140" w:type="dxa"/>
              <w:right w:w="140" w:type="dxa"/>
            </w:tcMar>
          </w:tcPr>
          <w:p>
            <w:r>
              <w:rPr>
                <w:rFonts w:ascii="Arial" w:hAnsi="Arial"/>
                <w:color w:val="2D3748"/>
                <w:sz w:val="18"/>
              </w:rPr>
              <w:t>Singapore Regulatory Standards &amp; Verified Accreditations</w:t>
            </w:r>
          </w:p>
        </w:tc>
        <w:tc>
          <w:tcPr>
            <w:tcW w:type="dxa" w:w="1440"/>
            <w:shd w:fill="FFFFFF"/>
            <w:tcMar>
              <w:top w:w="100" w:type="dxa"/>
              <w:bottom w:w="100" w:type="dxa"/>
              <w:left w:w="140" w:type="dxa"/>
              <w:right w:w="140" w:type="dxa"/>
            </w:tcMar>
          </w:tcPr>
          <w:p>
            <w:pPr>
              <w:jc w:val="right"/>
            </w:pPr>
            <w:r>
              <w:rPr>
                <w:rFonts w:ascii="Arial" w:hAnsi="Arial"/>
                <w:color w:val="2D3748"/>
                <w:sz w:val="18"/>
              </w:rPr>
              <w:t>Page 34</w:t>
            </w:r>
          </w:p>
        </w:tc>
      </w:tr>
      <w:tr>
        <w:tc>
          <w:tcPr>
            <w:tcW w:type="dxa" w:w="1152"/>
            <w:shd w:fill="F8FAFC"/>
            <w:tcMar>
              <w:top w:w="100" w:type="dxa"/>
              <w:bottom w:w="100" w:type="dxa"/>
              <w:left w:w="140" w:type="dxa"/>
              <w:right w:w="140" w:type="dxa"/>
            </w:tcMar>
          </w:tcPr>
          <w:p>
            <w:r>
              <w:rPr>
                <w:rFonts w:ascii="Arial" w:hAnsi="Arial"/>
                <w:color w:val="2D3748"/>
                <w:sz w:val="18"/>
              </w:rPr>
              <w:t>10.0</w:t>
            </w:r>
          </w:p>
        </w:tc>
        <w:tc>
          <w:tcPr>
            <w:tcW w:type="dxa" w:w="6768"/>
            <w:shd w:fill="F8FAFC"/>
            <w:tcMar>
              <w:top w:w="100" w:type="dxa"/>
              <w:bottom w:w="100" w:type="dxa"/>
              <w:left w:w="140" w:type="dxa"/>
              <w:right w:w="140" w:type="dxa"/>
            </w:tcMar>
          </w:tcPr>
          <w:p>
            <w:r>
              <w:rPr>
                <w:rFonts w:ascii="Arial" w:hAnsi="Arial"/>
                <w:color w:val="2D3748"/>
                <w:sz w:val="18"/>
              </w:rPr>
              <w:t>Limitations, Future Roadmap &amp; Confirmation Checklist</w:t>
            </w:r>
          </w:p>
        </w:tc>
        <w:tc>
          <w:tcPr>
            <w:tcW w:type="dxa" w:w="1440"/>
            <w:shd w:fill="F8FAFC"/>
            <w:tcMar>
              <w:top w:w="100" w:type="dxa"/>
              <w:bottom w:w="100" w:type="dxa"/>
              <w:left w:w="140" w:type="dxa"/>
              <w:right w:w="140" w:type="dxa"/>
            </w:tcMar>
          </w:tcPr>
          <w:p>
            <w:pPr>
              <w:jc w:val="right"/>
            </w:pPr>
            <w:r>
              <w:rPr>
                <w:rFonts w:ascii="Arial" w:hAnsi="Arial"/>
                <w:color w:val="2D3748"/>
                <w:sz w:val="18"/>
              </w:rPr>
              <w:t>Page 36</w:t>
            </w:r>
          </w:p>
        </w:tc>
      </w:tr>
      <w:tr>
        <w:tc>
          <w:tcPr>
            <w:tcW w:type="dxa" w:w="1152"/>
            <w:shd w:fill="FFFFFF"/>
            <w:tcMar>
              <w:top w:w="100" w:type="dxa"/>
              <w:bottom w:w="100" w:type="dxa"/>
              <w:left w:w="140" w:type="dxa"/>
              <w:right w:w="140" w:type="dxa"/>
            </w:tcMar>
          </w:tcPr>
          <w:p>
            <w:r>
              <w:rPr>
                <w:rFonts w:ascii="Arial" w:hAnsi="Arial"/>
                <w:color w:val="2D3748"/>
                <w:sz w:val="18"/>
              </w:rPr>
              <w:t>11.0</w:t>
            </w:r>
          </w:p>
        </w:tc>
        <w:tc>
          <w:tcPr>
            <w:tcW w:type="dxa" w:w="6768"/>
            <w:shd w:fill="FFFFFF"/>
            <w:tcMar>
              <w:top w:w="100" w:type="dxa"/>
              <w:bottom w:w="100" w:type="dxa"/>
              <w:left w:w="140" w:type="dxa"/>
              <w:right w:w="140" w:type="dxa"/>
            </w:tcMar>
          </w:tcPr>
          <w:p>
            <w:r>
              <w:rPr>
                <w:rFonts w:ascii="Arial" w:hAnsi="Arial"/>
                <w:color w:val="2D3748"/>
                <w:sz w:val="18"/>
              </w:rPr>
              <w:t>Glossary of Technical &amp; Hospitality Acronyms</w:t>
            </w:r>
          </w:p>
        </w:tc>
        <w:tc>
          <w:tcPr>
            <w:tcW w:type="dxa" w:w="1440"/>
            <w:shd w:fill="FFFFFF"/>
            <w:tcMar>
              <w:top w:w="100" w:type="dxa"/>
              <w:bottom w:w="100" w:type="dxa"/>
              <w:left w:w="140" w:type="dxa"/>
              <w:right w:w="140" w:type="dxa"/>
            </w:tcMar>
          </w:tcPr>
          <w:p>
            <w:pPr>
              <w:jc w:val="right"/>
            </w:pPr>
            <w:r>
              <w:rPr>
                <w:rFonts w:ascii="Arial" w:hAnsi="Arial"/>
                <w:color w:val="2D3748"/>
                <w:sz w:val="18"/>
              </w:rPr>
              <w:t>Page 37</w:t>
            </w:r>
          </w:p>
        </w:tc>
      </w:tr>
      <w:tr>
        <w:tc>
          <w:tcPr>
            <w:tcW w:type="dxa" w:w="1152"/>
            <w:shd w:fill="F8FAFC"/>
            <w:tcMar>
              <w:top w:w="100" w:type="dxa"/>
              <w:bottom w:w="100" w:type="dxa"/>
              <w:left w:w="140" w:type="dxa"/>
              <w:right w:w="140" w:type="dxa"/>
            </w:tcMar>
          </w:tcPr>
          <w:p>
            <w:r>
              <w:rPr>
                <w:rFonts w:ascii="Arial" w:hAnsi="Arial"/>
                <w:color w:val="2D3748"/>
                <w:sz w:val="18"/>
              </w:rPr>
              <w:t>12.0</w:t>
            </w:r>
          </w:p>
        </w:tc>
        <w:tc>
          <w:tcPr>
            <w:tcW w:type="dxa" w:w="6768"/>
            <w:shd w:fill="F8FAFC"/>
            <w:tcMar>
              <w:top w:w="100" w:type="dxa"/>
              <w:bottom w:w="100" w:type="dxa"/>
              <w:left w:w="140" w:type="dxa"/>
              <w:right w:w="140" w:type="dxa"/>
            </w:tcMar>
          </w:tcPr>
          <w:p>
            <w:r>
              <w:rPr>
                <w:rFonts w:ascii="Arial" w:hAnsi="Arial"/>
                <w:color w:val="2D3748"/>
                <w:sz w:val="18"/>
              </w:rPr>
              <w:t>Source File Traceability &amp; Component Mapping Matrix</w:t>
            </w:r>
          </w:p>
        </w:tc>
        <w:tc>
          <w:tcPr>
            <w:tcW w:type="dxa" w:w="1440"/>
            <w:shd w:fill="F8FAFC"/>
            <w:tcMar>
              <w:top w:w="100" w:type="dxa"/>
              <w:bottom w:w="100" w:type="dxa"/>
              <w:left w:w="140" w:type="dxa"/>
              <w:right w:w="140" w:type="dxa"/>
            </w:tcMar>
          </w:tcPr>
          <w:p>
            <w:pPr>
              <w:jc w:val="right"/>
            </w:pPr>
            <w:r>
              <w:rPr>
                <w:rFonts w:ascii="Arial" w:hAnsi="Arial"/>
                <w:color w:val="2D3748"/>
                <w:sz w:val="18"/>
              </w:rPr>
              <w:t>Page 38</w:t>
            </w:r>
          </w:p>
        </w:tc>
      </w:tr>
    </w:tbl>
    <w:p>
      <w:r>
        <w:br w:type="page"/>
      </w:r>
    </w:p>
    <w:p>
      <w:pPr>
        <w:keepNext/>
        <w:spacing w:before="360" w:after="120"/>
      </w:pPr>
      <w:r>
        <w:rPr>
          <w:rFonts w:ascii="Arial" w:hAnsi="Arial"/>
          <w:b/>
          <w:color w:val="032147"/>
          <w:sz w:val="32"/>
        </w:rPr>
        <w:t>1.0 Executive Summary &amp; Core Value Proposition</w:t>
      </w:r>
    </w:p>
    <w:p>
      <w:pPr>
        <w:spacing w:line="276" w:lineRule="auto" w:after="100"/>
      </w:pPr>
      <w:r>
        <w:rPr>
          <w:rFonts w:ascii="Arial" w:hAnsi="Arial"/>
          <w:color w:val="2D3748"/>
        </w:rPr>
        <w:t>OPHRON Systems is Singapore’s premier integrated hospitality operational infrastructure platform. Founded to eradicate the pervasive operational fragmentation facing Singapore’s premier hotels, Michelin-starred dining groups, banquet venues, and commercial assets, OPHRON bridges physical craft with digital intelligence.</w:t>
      </w:r>
    </w:p>
    <w:tbl>
      <w:tblPr>
        <w:tblW w:type="auto" w:w="0"/>
        <w:jc w:val="center"/>
        <w:tblLook w:firstColumn="1" w:firstRow="1" w:lastColumn="0" w:lastRow="0" w:noHBand="0" w:noVBand="1" w:val="04A0"/>
      </w:tblPr>
      <w:tblGrid>
        <w:gridCol w:w="9029"/>
      </w:tblGrid>
      <w:tr>
        <w:tc>
          <w:tcPr>
            <w:tcW w:type="dxa" w:w="9360"/>
            <w:shd w:fill="F4F6F9"/>
            <w:tcBorders>
              <w:left w:val="single" w:sz="32" w:space="0" w:color="032147"/>
              <w:top w:val="none"/>
              <w:right w:val="none"/>
              <w:bottom w:val="none"/>
            </w:tcBorders>
            <w:tcMar>
              <w:top w:w="120" w:type="dxa"/>
              <w:bottom w:w="120" w:type="dxa"/>
              <w:left w:w="180" w:type="dxa"/>
              <w:right w:w="150" w:type="dxa"/>
            </w:tcMar>
          </w:tcPr>
          <w:p>
            <w:pPr>
              <w:spacing w:before="40" w:after="40" w:line="276" w:lineRule="auto"/>
            </w:pPr>
            <w:r>
              <w:rPr>
                <w:rFonts w:ascii="Arial" w:hAnsi="Arial"/>
                <w:b/>
                <w:color w:val="032147"/>
                <w:sz w:val="19"/>
              </w:rPr>
              <w:t>✦ The Core Value Proposition</w:t>
              <w:br/>
            </w:r>
            <w:r>
              <w:rPr>
                <w:rFonts w:ascii="Arial" w:hAnsi="Arial"/>
                <w:color w:val="2D3748"/>
                <w:sz w:val="18"/>
              </w:rPr>
              <w:t>“One partner. One ecosystem. Better operations.”</w:t>
              <w:br/>
              <w:t>Instead of managing 5 to 7 disconnected vendors (cleaning contractors, stewarding agencies, marble specialists, rope-access cleaners, and software vendors), OPHRON gives hotel general managers and F&amp;B owners a single accountable operating partner, one transparent contract, 100% SLA compliance, and real-time operational visibility.</w:t>
            </w:r>
          </w:p>
        </w:tc>
      </w:tr>
    </w:tbl>
    <w:p>
      <w:pPr>
        <w:spacing w:after="80"/>
      </w:pPr>
    </w:p>
    <w:p>
      <w:pPr>
        <w:keepNext/>
        <w:spacing w:before="280" w:after="80"/>
      </w:pPr>
      <w:r>
        <w:rPr>
          <w:rFonts w:ascii="Arial" w:hAnsi="Arial"/>
          <w:b/>
          <w:color w:val="032147"/>
          <w:sz w:val="25"/>
        </w:rPr>
        <w:t>1.1 Document Scope &amp; Target Audience</w:t>
      </w:r>
    </w:p>
    <w:p>
      <w:pPr>
        <w:spacing w:line="276" w:lineRule="auto" w:after="100"/>
      </w:pPr>
      <w:r>
        <w:rPr>
          <w:rFonts w:ascii="Arial" w:hAnsi="Arial"/>
          <w:color w:val="2D3748"/>
        </w:rPr>
        <w:t>This technical and functional documentation serves as the comprehensive single source of truth for:</w:t>
      </w:r>
    </w:p>
    <w:p>
      <w:pPr>
        <w:pStyle w:val="ListBullet"/>
        <w:spacing w:line="276" w:lineRule="auto" w:after="60"/>
      </w:pPr>
      <w:r>
        <w:rPr>
          <w:rFonts w:ascii="Arial" w:hAnsi="Arial"/>
          <w:b/>
          <w:color w:val="032147"/>
        </w:rPr>
        <w:t xml:space="preserve">Executive Leadership: </w:t>
      </w:r>
      <w:r>
        <w:rPr>
          <w:rFonts w:ascii="Arial" w:hAnsi="Arial"/>
          <w:color w:val="2D3748"/>
        </w:rPr>
        <w:t>Internal Team Lead (TL) and Executive Review: Verifying architectural integrity, design compliance, and complete content coverage.</w:t>
      </w:r>
    </w:p>
    <w:p>
      <w:pPr>
        <w:pStyle w:val="ListBullet"/>
        <w:spacing w:line="276" w:lineRule="auto" w:after="60"/>
      </w:pPr>
      <w:r>
        <w:rPr>
          <w:rFonts w:ascii="Arial" w:hAnsi="Arial"/>
          <w:b/>
          <w:color w:val="032147"/>
        </w:rPr>
        <w:t xml:space="preserve">Engineering &amp; Product Teams: </w:t>
      </w:r>
      <w:r>
        <w:rPr>
          <w:rFonts w:ascii="Arial" w:hAnsi="Arial"/>
          <w:color w:val="2D3748"/>
        </w:rPr>
        <w:t>Ensuring technical standards, clean component hierarchy, GSAP motion fidelity, and responsive mobile parity across all viewports.</w:t>
      </w:r>
    </w:p>
    <w:p>
      <w:pPr>
        <w:pStyle w:val="ListBullet"/>
        <w:spacing w:line="276" w:lineRule="auto" w:after="60"/>
      </w:pPr>
      <w:r>
        <w:rPr>
          <w:rFonts w:ascii="Arial" w:hAnsi="Arial"/>
          <w:b/>
          <w:color w:val="032147"/>
        </w:rPr>
        <w:t xml:space="preserve">Operations &amp; Quality Assurance: </w:t>
      </w:r>
      <w:r>
        <w:rPr>
          <w:rFonts w:ascii="Arial" w:hAnsi="Arial"/>
          <w:color w:val="2D3748"/>
        </w:rPr>
        <w:t>Auditing service SLAs, licensing compliance (NEA, SFA, bizSAFE 3), and client onboarding workflows.</w:t>
      </w:r>
    </w:p>
    <w:p>
      <w:pPr>
        <w:pStyle w:val="ListBullet"/>
        <w:spacing w:line="276" w:lineRule="auto" w:after="60"/>
      </w:pPr>
      <w:r>
        <w:rPr>
          <w:rFonts w:ascii="Arial" w:hAnsi="Arial"/>
          <w:b/>
          <w:color w:val="032147"/>
        </w:rPr>
        <w:t xml:space="preserve">Client Handover &amp; Partners: </w:t>
      </w:r>
      <w:r>
        <w:rPr>
          <w:rFonts w:ascii="Arial" w:hAnsi="Arial"/>
          <w:color w:val="2D3748"/>
        </w:rPr>
        <w:t>Guiding platform deployment across Singapore hospitality portfolios.</w:t>
      </w:r>
    </w:p>
    <w:p>
      <w:pPr>
        <w:keepNext/>
        <w:spacing w:before="280" w:after="80"/>
      </w:pPr>
      <w:r>
        <w:rPr>
          <w:rFonts w:ascii="Arial" w:hAnsi="Arial"/>
          <w:b/>
          <w:color w:val="032147"/>
          <w:sz w:val="25"/>
        </w:rPr>
        <w:t>1.2 Key Differentiators at a Glance</w:t>
      </w:r>
    </w:p>
    <w:tbl>
      <w:tblPr>
        <w:tblW w:type="auto" w:w="0"/>
        <w:jc w:val="center"/>
        <w:tblLook w:firstColumn="1" w:firstRow="1" w:lastColumn="0" w:lastRow="0" w:noHBand="0" w:noVBand="1" w:val="04A0"/>
      </w:tblPr>
      <w:tblGrid>
        <w:gridCol w:w="4514"/>
        <w:gridCol w:w="4514"/>
      </w:tblGrid>
      <w:tr>
        <w:trPr>
          <w:tblHeader/>
        </w:trPr>
        <w:tc>
          <w:tcPr>
            <w:tcW w:type="dxa" w:w="3168"/>
            <w:shd w:fill="032147"/>
            <w:tcMar>
              <w:top w:w="120" w:type="dxa"/>
              <w:bottom w:w="120" w:type="dxa"/>
              <w:left w:w="140" w:type="dxa"/>
              <w:right w:w="140" w:type="dxa"/>
            </w:tcMar>
          </w:tcPr>
          <w:p>
            <w:r>
              <w:rPr>
                <w:rFonts w:ascii="Arial" w:hAnsi="Arial"/>
                <w:b/>
                <w:color w:val="FFFFFF"/>
                <w:sz w:val="19"/>
              </w:rPr>
              <w:t>Strategic Pillar</w:t>
            </w:r>
          </w:p>
        </w:tc>
        <w:tc>
          <w:tcPr>
            <w:tcW w:type="dxa" w:w="6192"/>
            <w:shd w:fill="032147"/>
            <w:tcMar>
              <w:top w:w="120" w:type="dxa"/>
              <w:bottom w:w="120" w:type="dxa"/>
              <w:left w:w="140" w:type="dxa"/>
              <w:right w:w="140" w:type="dxa"/>
            </w:tcMar>
          </w:tcPr>
          <w:p>
            <w:r>
              <w:rPr>
                <w:rFonts w:ascii="Arial" w:hAnsi="Arial"/>
                <w:b/>
                <w:color w:val="FFFFFF"/>
                <w:sz w:val="19"/>
              </w:rPr>
              <w:t>Operational Impact &amp; Deliverable</w:t>
            </w:r>
          </w:p>
        </w:tc>
      </w:tr>
      <w:tr>
        <w:tc>
          <w:tcPr>
            <w:tcW w:type="dxa" w:w="3168"/>
            <w:shd w:fill="FFFFFF"/>
            <w:tcMar>
              <w:top w:w="100" w:type="dxa"/>
              <w:bottom w:w="100" w:type="dxa"/>
              <w:left w:w="140" w:type="dxa"/>
              <w:right w:w="140" w:type="dxa"/>
            </w:tcMar>
          </w:tcPr>
          <w:p>
            <w:r>
              <w:rPr>
                <w:rFonts w:ascii="Arial" w:hAnsi="Arial"/>
                <w:color w:val="2D3748"/>
                <w:sz w:val="18"/>
              </w:rPr>
              <w:t>Single Accountable Contract</w:t>
            </w:r>
          </w:p>
        </w:tc>
        <w:tc>
          <w:tcPr>
            <w:tcW w:type="dxa" w:w="6192"/>
            <w:shd w:fill="FFFFFF"/>
            <w:tcMar>
              <w:top w:w="100" w:type="dxa"/>
              <w:bottom w:w="100" w:type="dxa"/>
              <w:left w:w="140" w:type="dxa"/>
              <w:right w:w="140" w:type="dxa"/>
            </w:tcMar>
          </w:tcPr>
          <w:p>
            <w:r>
              <w:rPr>
                <w:rFonts w:ascii="Arial" w:hAnsi="Arial"/>
                <w:color w:val="2D3748"/>
                <w:sz w:val="18"/>
              </w:rPr>
              <w:t>Eliminates finger-pointing between multiple independent sub-contractors with unified operational liability.</w:t>
            </w:r>
          </w:p>
        </w:tc>
      </w:tr>
      <w:tr>
        <w:tc>
          <w:tcPr>
            <w:tcW w:type="dxa" w:w="3168"/>
            <w:shd w:fill="F8FAFC"/>
            <w:tcMar>
              <w:top w:w="100" w:type="dxa"/>
              <w:bottom w:w="100" w:type="dxa"/>
              <w:left w:w="140" w:type="dxa"/>
              <w:right w:w="140" w:type="dxa"/>
            </w:tcMar>
          </w:tcPr>
          <w:p>
            <w:r>
              <w:rPr>
                <w:rFonts w:ascii="Arial" w:hAnsi="Arial"/>
                <w:color w:val="2D3748"/>
                <w:sz w:val="18"/>
              </w:rPr>
              <w:t>100% SLA Guarantee</w:t>
            </w:r>
          </w:p>
        </w:tc>
        <w:tc>
          <w:tcPr>
            <w:tcW w:type="dxa" w:w="6192"/>
            <w:shd w:fill="F8FAFC"/>
            <w:tcMar>
              <w:top w:w="100" w:type="dxa"/>
              <w:bottom w:w="100" w:type="dxa"/>
              <w:left w:w="140" w:type="dxa"/>
              <w:right w:w="140" w:type="dxa"/>
            </w:tcMar>
          </w:tcPr>
          <w:p>
            <w:r>
              <w:rPr>
                <w:rFonts w:ascii="Arial" w:hAnsi="Arial"/>
                <w:color w:val="2D3748"/>
                <w:sz w:val="18"/>
              </w:rPr>
              <w:t>Contractually enforced service level agreements covering staff turnout, hygiene audits, and stone gloss restoration.</w:t>
            </w:r>
          </w:p>
        </w:tc>
      </w:tr>
      <w:tr>
        <w:tc>
          <w:tcPr>
            <w:tcW w:type="dxa" w:w="3168"/>
            <w:shd w:fill="FFFFFF"/>
            <w:tcMar>
              <w:top w:w="100" w:type="dxa"/>
              <w:bottom w:w="100" w:type="dxa"/>
              <w:left w:w="140" w:type="dxa"/>
              <w:right w:w="140" w:type="dxa"/>
            </w:tcMar>
          </w:tcPr>
          <w:p>
            <w:r>
              <w:rPr>
                <w:rFonts w:ascii="Arial" w:hAnsi="Arial"/>
                <w:color w:val="2D3748"/>
                <w:sz w:val="18"/>
              </w:rPr>
              <w:t>NEA &amp; SFA Audit Ready</w:t>
            </w:r>
          </w:p>
        </w:tc>
        <w:tc>
          <w:tcPr>
            <w:tcW w:type="dxa" w:w="6192"/>
            <w:shd w:fill="FFFFFF"/>
            <w:tcMar>
              <w:top w:w="100" w:type="dxa"/>
              <w:bottom w:w="100" w:type="dxa"/>
              <w:left w:w="140" w:type="dxa"/>
              <w:right w:w="140" w:type="dxa"/>
            </w:tcMar>
          </w:tcPr>
          <w:p>
            <w:r>
              <w:rPr>
                <w:rFonts w:ascii="Arial" w:hAnsi="Arial"/>
                <w:color w:val="2D3748"/>
                <w:sz w:val="18"/>
              </w:rPr>
              <w:t>All commercial kitchen deep cleans and hygiene interventions adhere strictly to Singapore regulatory codes.</w:t>
            </w:r>
          </w:p>
        </w:tc>
      </w:tr>
      <w:tr>
        <w:tc>
          <w:tcPr>
            <w:tcW w:type="dxa" w:w="3168"/>
            <w:shd w:fill="F8FAFC"/>
            <w:tcMar>
              <w:top w:w="100" w:type="dxa"/>
              <w:bottom w:w="100" w:type="dxa"/>
              <w:left w:w="140" w:type="dxa"/>
              <w:right w:w="140" w:type="dxa"/>
            </w:tcMar>
          </w:tcPr>
          <w:p>
            <w:r>
              <w:rPr>
                <w:rFonts w:ascii="Arial" w:hAnsi="Arial"/>
                <w:color w:val="2D3748"/>
                <w:sz w:val="18"/>
              </w:rPr>
              <w:t>OphronOS Digital Platform</w:t>
            </w:r>
          </w:p>
        </w:tc>
        <w:tc>
          <w:tcPr>
            <w:tcW w:type="dxa" w:w="6192"/>
            <w:shd w:fill="F8FAFC"/>
            <w:tcMar>
              <w:top w:w="100" w:type="dxa"/>
              <w:bottom w:w="100" w:type="dxa"/>
              <w:left w:w="140" w:type="dxa"/>
              <w:right w:w="140" w:type="dxa"/>
            </w:tcMar>
          </w:tcPr>
          <w:p>
            <w:r>
              <w:rPr>
                <w:rFonts w:ascii="Arial" w:hAnsi="Arial"/>
                <w:color w:val="2D3748"/>
                <w:sz w:val="18"/>
              </w:rPr>
              <w:t>Combines physical maintenance with IoT IAQ monitoring, shift completion tracking, and compliance logs.</w:t>
            </w:r>
          </w:p>
        </w:tc>
      </w:tr>
    </w:tbl>
    <w:p>
      <w:r>
        <w:br w:type="page"/>
      </w:r>
    </w:p>
    <w:p>
      <w:pPr>
        <w:keepNext/>
        <w:spacing w:before="360" w:after="120"/>
      </w:pPr>
      <w:r>
        <w:rPr>
          <w:rFonts w:ascii="Arial" w:hAnsi="Arial"/>
          <w:b/>
          <w:color w:val="032147"/>
          <w:sz w:val="32"/>
        </w:rPr>
        <w:t>2.0 Company Overview &amp; Corporate Brand Identity</w:t>
      </w:r>
    </w:p>
    <w:p>
      <w:pPr>
        <w:spacing w:line="276" w:lineRule="auto" w:after="100"/>
      </w:pPr>
      <w:r>
        <w:rPr>
          <w:rFonts w:ascii="Arial" w:hAnsi="Arial"/>
          <w:color w:val="2D3748"/>
        </w:rPr>
        <w:t>OPHRON operates at the intersection of luxury craftsmanship and modern institutional infrastructure. Over two decades of boots-on-the-ground hospitality execution in Singapore have informed a refined aesthetic that conveys quiet luxury, operational rigor, and unwavering reliability.</w:t>
      </w:r>
    </w:p>
    <w:p>
      <w:pPr>
        <w:keepNext/>
        <w:spacing w:before="280" w:after="80"/>
      </w:pPr>
      <w:r>
        <w:rPr>
          <w:rFonts w:ascii="Arial" w:hAnsi="Arial"/>
          <w:b/>
          <w:color w:val="032147"/>
          <w:sz w:val="25"/>
        </w:rPr>
        <w:t>2.1 Corporate Identity &amp; Design Tokens</w:t>
      </w:r>
    </w:p>
    <w:p>
      <w:pPr>
        <w:spacing w:line="276" w:lineRule="auto" w:after="100"/>
      </w:pPr>
      <w:r>
        <w:rPr>
          <w:rFonts w:ascii="Arial" w:hAnsi="Arial"/>
          <w:color w:val="2D3748"/>
        </w:rPr>
        <w:t>The visual identity system of OPHRON is built on a deliberate, high-contrast, editorial palette designed to contrast sharply with generic commercial cleaning templates:</w:t>
      </w:r>
    </w:p>
    <w:tbl>
      <w:tblPr>
        <w:tblW w:type="auto" w:w="0"/>
        <w:jc w:val="center"/>
        <w:tblLook w:firstColumn="1" w:firstRow="1" w:lastColumn="0" w:lastRow="0" w:noHBand="0" w:noVBand="1" w:val="04A0"/>
      </w:tblPr>
      <w:tblGrid>
        <w:gridCol w:w="2257"/>
        <w:gridCol w:w="2257"/>
        <w:gridCol w:w="2257"/>
        <w:gridCol w:w="2257"/>
      </w:tblGrid>
      <w:tr>
        <w:trPr>
          <w:tblHeader/>
        </w:trPr>
        <w:tc>
          <w:tcPr>
            <w:tcW w:type="dxa" w:w="2160"/>
            <w:shd w:fill="032147"/>
            <w:tcMar>
              <w:top w:w="120" w:type="dxa"/>
              <w:bottom w:w="120" w:type="dxa"/>
              <w:left w:w="140" w:type="dxa"/>
              <w:right w:w="140" w:type="dxa"/>
            </w:tcMar>
          </w:tcPr>
          <w:p>
            <w:r>
              <w:rPr>
                <w:rFonts w:ascii="Arial" w:hAnsi="Arial"/>
                <w:b/>
                <w:color w:val="FFFFFF"/>
                <w:sz w:val="19"/>
              </w:rPr>
              <w:t>Design Token Name</w:t>
            </w:r>
          </w:p>
        </w:tc>
        <w:tc>
          <w:tcPr>
            <w:tcW w:type="dxa" w:w="1296"/>
            <w:shd w:fill="032147"/>
            <w:tcMar>
              <w:top w:w="120" w:type="dxa"/>
              <w:bottom w:w="120" w:type="dxa"/>
              <w:left w:w="140" w:type="dxa"/>
              <w:right w:w="140" w:type="dxa"/>
            </w:tcMar>
          </w:tcPr>
          <w:p>
            <w:r>
              <w:rPr>
                <w:rFonts w:ascii="Arial" w:hAnsi="Arial"/>
                <w:b/>
                <w:color w:val="FFFFFF"/>
                <w:sz w:val="19"/>
              </w:rPr>
              <w:t>Hex Code</w:t>
            </w:r>
          </w:p>
        </w:tc>
        <w:tc>
          <w:tcPr>
            <w:tcW w:type="dxa" w:w="2016"/>
            <w:shd w:fill="032147"/>
            <w:tcMar>
              <w:top w:w="120" w:type="dxa"/>
              <w:bottom w:w="120" w:type="dxa"/>
              <w:left w:w="140" w:type="dxa"/>
              <w:right w:w="140" w:type="dxa"/>
            </w:tcMar>
          </w:tcPr>
          <w:p>
            <w:r>
              <w:rPr>
                <w:rFonts w:ascii="Arial" w:hAnsi="Arial"/>
                <w:b/>
                <w:color w:val="FFFFFF"/>
                <w:sz w:val="19"/>
              </w:rPr>
              <w:t>RGB Values</w:t>
            </w:r>
          </w:p>
        </w:tc>
        <w:tc>
          <w:tcPr>
            <w:tcW w:type="dxa" w:w="3888"/>
            <w:shd w:fill="032147"/>
            <w:tcMar>
              <w:top w:w="120" w:type="dxa"/>
              <w:bottom w:w="120" w:type="dxa"/>
              <w:left w:w="140" w:type="dxa"/>
              <w:right w:w="140" w:type="dxa"/>
            </w:tcMar>
          </w:tcPr>
          <w:p>
            <w:r>
              <w:rPr>
                <w:rFonts w:ascii="Arial" w:hAnsi="Arial"/>
                <w:b/>
                <w:color w:val="FFFFFF"/>
                <w:sz w:val="19"/>
              </w:rPr>
              <w:t>Design Role &amp; Architectural Application</w:t>
            </w:r>
          </w:p>
        </w:tc>
      </w:tr>
      <w:tr>
        <w:tc>
          <w:tcPr>
            <w:tcW w:type="dxa" w:w="2160"/>
            <w:shd w:fill="FFFFFF"/>
            <w:tcMar>
              <w:top w:w="100" w:type="dxa"/>
              <w:bottom w:w="100" w:type="dxa"/>
              <w:left w:w="140" w:type="dxa"/>
              <w:right w:w="140" w:type="dxa"/>
            </w:tcMar>
          </w:tcPr>
          <w:p>
            <w:r>
              <w:rPr>
                <w:rFonts w:ascii="Arial" w:hAnsi="Arial"/>
                <w:color w:val="2D3748"/>
                <w:sz w:val="18"/>
              </w:rPr>
              <w:t>Primary Deep Navy</w:t>
            </w:r>
          </w:p>
        </w:tc>
        <w:tc>
          <w:tcPr>
            <w:tcW w:type="dxa" w:w="1296"/>
            <w:shd w:fill="FFFFFF"/>
            <w:tcMar>
              <w:top w:w="100" w:type="dxa"/>
              <w:bottom w:w="100" w:type="dxa"/>
              <w:left w:w="140" w:type="dxa"/>
              <w:right w:w="140" w:type="dxa"/>
            </w:tcMar>
          </w:tcPr>
          <w:p>
            <w:r>
              <w:rPr>
                <w:rFonts w:ascii="Arial" w:hAnsi="Arial"/>
                <w:color w:val="2D3748"/>
                <w:sz w:val="18"/>
              </w:rPr>
              <w:t>#032147</w:t>
            </w:r>
          </w:p>
        </w:tc>
        <w:tc>
          <w:tcPr>
            <w:tcW w:type="dxa" w:w="2016"/>
            <w:shd w:fill="FFFFFF"/>
            <w:tcMar>
              <w:top w:w="100" w:type="dxa"/>
              <w:bottom w:w="100" w:type="dxa"/>
              <w:left w:w="140" w:type="dxa"/>
              <w:right w:w="140" w:type="dxa"/>
            </w:tcMar>
          </w:tcPr>
          <w:p>
            <w:r>
              <w:rPr>
                <w:rFonts w:ascii="Arial" w:hAnsi="Arial"/>
                <w:color w:val="2D3748"/>
                <w:sz w:val="18"/>
              </w:rPr>
              <w:t>RGB(3, 33, 71)</w:t>
            </w:r>
          </w:p>
        </w:tc>
        <w:tc>
          <w:tcPr>
            <w:tcW w:type="dxa" w:w="3888"/>
            <w:shd w:fill="FFFFFF"/>
            <w:tcMar>
              <w:top w:w="100" w:type="dxa"/>
              <w:bottom w:w="100" w:type="dxa"/>
              <w:left w:w="140" w:type="dxa"/>
              <w:right w:w="140" w:type="dxa"/>
            </w:tcMar>
          </w:tcPr>
          <w:p>
            <w:r>
              <w:rPr>
                <w:rFonts w:ascii="Arial" w:hAnsi="Arial"/>
                <w:color w:val="2D3748"/>
                <w:sz w:val="18"/>
              </w:rPr>
              <w:t>Dominant canvas, primary headings, luxury scrims, and institutional anchors.</w:t>
            </w:r>
          </w:p>
        </w:tc>
      </w:tr>
      <w:tr>
        <w:tc>
          <w:tcPr>
            <w:tcW w:type="dxa" w:w="2160"/>
            <w:shd w:fill="F8FAFC"/>
            <w:tcMar>
              <w:top w:w="100" w:type="dxa"/>
              <w:bottom w:w="100" w:type="dxa"/>
              <w:left w:w="140" w:type="dxa"/>
              <w:right w:w="140" w:type="dxa"/>
            </w:tcMar>
          </w:tcPr>
          <w:p>
            <w:r>
              <w:rPr>
                <w:rFonts w:ascii="Arial" w:hAnsi="Arial"/>
                <w:color w:val="2D3748"/>
                <w:sz w:val="18"/>
              </w:rPr>
              <w:t>Champagne Neutral</w:t>
            </w:r>
          </w:p>
        </w:tc>
        <w:tc>
          <w:tcPr>
            <w:tcW w:type="dxa" w:w="1296"/>
            <w:shd w:fill="F8FAFC"/>
            <w:tcMar>
              <w:top w:w="100" w:type="dxa"/>
              <w:bottom w:w="100" w:type="dxa"/>
              <w:left w:w="140" w:type="dxa"/>
              <w:right w:w="140" w:type="dxa"/>
            </w:tcMar>
          </w:tcPr>
          <w:p>
            <w:r>
              <w:rPr>
                <w:rFonts w:ascii="Arial" w:hAnsi="Arial"/>
                <w:color w:val="2D3748"/>
                <w:sz w:val="18"/>
              </w:rPr>
              <w:t>#EDE5DA</w:t>
            </w:r>
          </w:p>
        </w:tc>
        <w:tc>
          <w:tcPr>
            <w:tcW w:type="dxa" w:w="2016"/>
            <w:shd w:fill="F8FAFC"/>
            <w:tcMar>
              <w:top w:w="100" w:type="dxa"/>
              <w:bottom w:w="100" w:type="dxa"/>
              <w:left w:w="140" w:type="dxa"/>
              <w:right w:w="140" w:type="dxa"/>
            </w:tcMar>
          </w:tcPr>
          <w:p>
            <w:r>
              <w:rPr>
                <w:rFonts w:ascii="Arial" w:hAnsi="Arial"/>
                <w:color w:val="2D3748"/>
                <w:sz w:val="18"/>
              </w:rPr>
              <w:t>RGB(237, 229, 218)</w:t>
            </w:r>
          </w:p>
        </w:tc>
        <w:tc>
          <w:tcPr>
            <w:tcW w:type="dxa" w:w="3888"/>
            <w:shd w:fill="F8FAFC"/>
            <w:tcMar>
              <w:top w:w="100" w:type="dxa"/>
              <w:bottom w:w="100" w:type="dxa"/>
              <w:left w:w="140" w:type="dxa"/>
              <w:right w:w="140" w:type="dxa"/>
            </w:tcMar>
          </w:tcPr>
          <w:p>
            <w:r>
              <w:rPr>
                <w:rFonts w:ascii="Arial" w:hAnsi="Arial"/>
                <w:color w:val="2D3748"/>
                <w:sz w:val="18"/>
              </w:rPr>
              <w:t>Primary body typography, frosted glass tint, and editorial borders.</w:t>
            </w:r>
          </w:p>
        </w:tc>
      </w:tr>
      <w:tr>
        <w:tc>
          <w:tcPr>
            <w:tcW w:type="dxa" w:w="2160"/>
            <w:shd w:fill="FFFFFF"/>
            <w:tcMar>
              <w:top w:w="100" w:type="dxa"/>
              <w:bottom w:w="100" w:type="dxa"/>
              <w:left w:w="140" w:type="dxa"/>
              <w:right w:w="140" w:type="dxa"/>
            </w:tcMar>
          </w:tcPr>
          <w:p>
            <w:r>
              <w:rPr>
                <w:rFonts w:ascii="Arial" w:hAnsi="Arial"/>
                <w:color w:val="2D3748"/>
                <w:sz w:val="18"/>
              </w:rPr>
              <w:t>Warm Gold Accent</w:t>
            </w:r>
          </w:p>
        </w:tc>
        <w:tc>
          <w:tcPr>
            <w:tcW w:type="dxa" w:w="1296"/>
            <w:shd w:fill="FFFFFF"/>
            <w:tcMar>
              <w:top w:w="100" w:type="dxa"/>
              <w:bottom w:w="100" w:type="dxa"/>
              <w:left w:w="140" w:type="dxa"/>
              <w:right w:w="140" w:type="dxa"/>
            </w:tcMar>
          </w:tcPr>
          <w:p>
            <w:r>
              <w:rPr>
                <w:rFonts w:ascii="Arial" w:hAnsi="Arial"/>
                <w:color w:val="2D3748"/>
                <w:sz w:val="18"/>
              </w:rPr>
              <w:t>#B7A38B</w:t>
            </w:r>
          </w:p>
        </w:tc>
        <w:tc>
          <w:tcPr>
            <w:tcW w:type="dxa" w:w="2016"/>
            <w:shd w:fill="FFFFFF"/>
            <w:tcMar>
              <w:top w:w="100" w:type="dxa"/>
              <w:bottom w:w="100" w:type="dxa"/>
              <w:left w:w="140" w:type="dxa"/>
              <w:right w:w="140" w:type="dxa"/>
            </w:tcMar>
          </w:tcPr>
          <w:p>
            <w:r>
              <w:rPr>
                <w:rFonts w:ascii="Arial" w:hAnsi="Arial"/>
                <w:color w:val="2D3748"/>
                <w:sz w:val="18"/>
              </w:rPr>
              <w:t>RGB(183, 163, 139)</w:t>
            </w:r>
          </w:p>
        </w:tc>
        <w:tc>
          <w:tcPr>
            <w:tcW w:type="dxa" w:w="3888"/>
            <w:shd w:fill="FFFFFF"/>
            <w:tcMar>
              <w:top w:w="100" w:type="dxa"/>
              <w:bottom w:w="100" w:type="dxa"/>
              <w:left w:w="140" w:type="dxa"/>
              <w:right w:w="140" w:type="dxa"/>
            </w:tcMar>
          </w:tcPr>
          <w:p>
            <w:r>
              <w:rPr>
                <w:rFonts w:ascii="Arial" w:hAnsi="Arial"/>
                <w:color w:val="2D3748"/>
                <w:sz w:val="18"/>
              </w:rPr>
              <w:t>Interactive pills, active indicators, sub-headings, and SLA metrics.</w:t>
            </w:r>
          </w:p>
        </w:tc>
      </w:tr>
      <w:tr>
        <w:tc>
          <w:tcPr>
            <w:tcW w:type="dxa" w:w="2160"/>
            <w:shd w:fill="F8FAFC"/>
            <w:tcMar>
              <w:top w:w="100" w:type="dxa"/>
              <w:bottom w:w="100" w:type="dxa"/>
              <w:left w:w="140" w:type="dxa"/>
              <w:right w:w="140" w:type="dxa"/>
            </w:tcMar>
          </w:tcPr>
          <w:p>
            <w:r>
              <w:rPr>
                <w:rFonts w:ascii="Arial" w:hAnsi="Arial"/>
                <w:color w:val="2D3748"/>
                <w:sz w:val="18"/>
              </w:rPr>
              <w:t>Lustrous Gold Leaf</w:t>
            </w:r>
          </w:p>
        </w:tc>
        <w:tc>
          <w:tcPr>
            <w:tcW w:type="dxa" w:w="1296"/>
            <w:shd w:fill="F8FAFC"/>
            <w:tcMar>
              <w:top w:w="100" w:type="dxa"/>
              <w:bottom w:w="100" w:type="dxa"/>
              <w:left w:w="140" w:type="dxa"/>
              <w:right w:w="140" w:type="dxa"/>
            </w:tcMar>
          </w:tcPr>
          <w:p>
            <w:r>
              <w:rPr>
                <w:rFonts w:ascii="Arial" w:hAnsi="Arial"/>
                <w:color w:val="2D3748"/>
                <w:sz w:val="18"/>
              </w:rPr>
              <w:t>#E3D1BE</w:t>
            </w:r>
          </w:p>
        </w:tc>
        <w:tc>
          <w:tcPr>
            <w:tcW w:type="dxa" w:w="2016"/>
            <w:shd w:fill="F8FAFC"/>
            <w:tcMar>
              <w:top w:w="100" w:type="dxa"/>
              <w:bottom w:w="100" w:type="dxa"/>
              <w:left w:w="140" w:type="dxa"/>
              <w:right w:w="140" w:type="dxa"/>
            </w:tcMar>
          </w:tcPr>
          <w:p>
            <w:r>
              <w:rPr>
                <w:rFonts w:ascii="Arial" w:hAnsi="Arial"/>
                <w:color w:val="2D3748"/>
                <w:sz w:val="18"/>
              </w:rPr>
              <w:t>RGB(227, 209, 190)</w:t>
            </w:r>
          </w:p>
        </w:tc>
        <w:tc>
          <w:tcPr>
            <w:tcW w:type="dxa" w:w="3888"/>
            <w:shd w:fill="F8FAFC"/>
            <w:tcMar>
              <w:top w:w="100" w:type="dxa"/>
              <w:bottom w:w="100" w:type="dxa"/>
              <w:left w:w="140" w:type="dxa"/>
              <w:right w:w="140" w:type="dxa"/>
            </w:tcMar>
          </w:tcPr>
          <w:p>
            <w:r>
              <w:rPr>
                <w:rFonts w:ascii="Arial" w:hAnsi="Arial"/>
                <w:color w:val="2D3748"/>
                <w:sz w:val="18"/>
              </w:rPr>
              <w:t>Primary CTA gradient start, metallic headlines, and gloss badges.</w:t>
            </w:r>
          </w:p>
        </w:tc>
      </w:tr>
      <w:tr>
        <w:tc>
          <w:tcPr>
            <w:tcW w:type="dxa" w:w="2160"/>
            <w:shd w:fill="FFFFFF"/>
            <w:tcMar>
              <w:top w:w="100" w:type="dxa"/>
              <w:bottom w:w="100" w:type="dxa"/>
              <w:left w:w="140" w:type="dxa"/>
              <w:right w:w="140" w:type="dxa"/>
            </w:tcMar>
          </w:tcPr>
          <w:p>
            <w:r>
              <w:rPr>
                <w:rFonts w:ascii="Arial" w:hAnsi="Arial"/>
                <w:color w:val="2D3748"/>
                <w:sz w:val="18"/>
              </w:rPr>
              <w:t>Deep Surface Slate</w:t>
            </w:r>
          </w:p>
        </w:tc>
        <w:tc>
          <w:tcPr>
            <w:tcW w:type="dxa" w:w="1296"/>
            <w:shd w:fill="FFFFFF"/>
            <w:tcMar>
              <w:top w:w="100" w:type="dxa"/>
              <w:bottom w:w="100" w:type="dxa"/>
              <w:left w:w="140" w:type="dxa"/>
              <w:right w:w="140" w:type="dxa"/>
            </w:tcMar>
          </w:tcPr>
          <w:p>
            <w:r>
              <w:rPr>
                <w:rFonts w:ascii="Arial" w:hAnsi="Arial"/>
                <w:color w:val="2D3748"/>
                <w:sz w:val="18"/>
              </w:rPr>
              <w:t>#021733</w:t>
            </w:r>
          </w:p>
        </w:tc>
        <w:tc>
          <w:tcPr>
            <w:tcW w:type="dxa" w:w="2016"/>
            <w:shd w:fill="FFFFFF"/>
            <w:tcMar>
              <w:top w:w="100" w:type="dxa"/>
              <w:bottom w:w="100" w:type="dxa"/>
              <w:left w:w="140" w:type="dxa"/>
              <w:right w:w="140" w:type="dxa"/>
            </w:tcMar>
          </w:tcPr>
          <w:p>
            <w:r>
              <w:rPr>
                <w:rFonts w:ascii="Arial" w:hAnsi="Arial"/>
                <w:color w:val="2D3748"/>
                <w:sz w:val="18"/>
              </w:rPr>
              <w:t>RGB(2, 23, 51)</w:t>
            </w:r>
          </w:p>
        </w:tc>
        <w:tc>
          <w:tcPr>
            <w:tcW w:type="dxa" w:w="3888"/>
            <w:shd w:fill="FFFFFF"/>
            <w:tcMar>
              <w:top w:w="100" w:type="dxa"/>
              <w:bottom w:w="100" w:type="dxa"/>
              <w:left w:w="140" w:type="dxa"/>
              <w:right w:w="140" w:type="dxa"/>
            </w:tcMar>
          </w:tcPr>
          <w:p>
            <w:r>
              <w:rPr>
                <w:rFonts w:ascii="Arial" w:hAnsi="Arial"/>
                <w:color w:val="2D3748"/>
                <w:sz w:val="18"/>
              </w:rPr>
              <w:t>OphronOS screen bezel backgrounds, card containers, and drop shadows.</w:t>
            </w:r>
          </w:p>
        </w:tc>
      </w:tr>
    </w:tbl>
    <w:p>
      <w:pPr>
        <w:keepNext/>
        <w:spacing w:before="280" w:after="80"/>
      </w:pPr>
      <w:r>
        <w:rPr>
          <w:rFonts w:ascii="Arial" w:hAnsi="Arial"/>
          <w:b/>
          <w:color w:val="032147"/>
          <w:sz w:val="25"/>
        </w:rPr>
        <w:t>2.2 Typographic Hierarchy</w:t>
      </w:r>
    </w:p>
    <w:p>
      <w:pPr>
        <w:pStyle w:val="ListBullet"/>
        <w:spacing w:line="276" w:lineRule="auto" w:after="60"/>
      </w:pPr>
      <w:r>
        <w:rPr>
          <w:rFonts w:ascii="Arial" w:hAnsi="Arial"/>
          <w:b/>
          <w:color w:val="032147"/>
        </w:rPr>
        <w:t xml:space="preserve">Canela / Playfair Display: </w:t>
      </w:r>
      <w:r>
        <w:rPr>
          <w:rFonts w:ascii="Arial" w:hAnsi="Arial"/>
          <w:color w:val="2D3748"/>
        </w:rPr>
        <w:t>A high-end editorial display serif used for primary headlines ('One partner. One ecosystem. Better operations.'). Conveys the prestige of Five-Star hospitality institutions.</w:t>
      </w:r>
    </w:p>
    <w:p>
      <w:pPr>
        <w:pStyle w:val="ListBullet"/>
        <w:spacing w:line="276" w:lineRule="auto" w:after="60"/>
      </w:pPr>
      <w:r>
        <w:rPr>
          <w:rFonts w:ascii="Arial" w:hAnsi="Arial"/>
          <w:b/>
          <w:color w:val="032147"/>
        </w:rPr>
        <w:t xml:space="preserve">Montserrat / Inter: </w:t>
      </w:r>
      <w:r>
        <w:rPr>
          <w:rFonts w:ascii="Arial" w:hAnsi="Arial"/>
          <w:color w:val="2D3748"/>
        </w:rPr>
        <w:t>Clean, highly legible geometric grotesque used for body paragraphs, feature lists, and narrative descriptions.</w:t>
      </w:r>
    </w:p>
    <w:p>
      <w:pPr>
        <w:pStyle w:val="ListBullet"/>
        <w:spacing w:line="276" w:lineRule="auto" w:after="60"/>
      </w:pPr>
      <w:r>
        <w:rPr>
          <w:rFonts w:ascii="Arial" w:hAnsi="Arial"/>
          <w:b/>
          <w:color w:val="032147"/>
        </w:rPr>
        <w:t xml:space="preserve">JetBrains Mono: </w:t>
      </w:r>
      <w:r>
        <w:rPr>
          <w:rFonts w:ascii="Arial" w:hAnsi="Arial"/>
          <w:color w:val="2D3748"/>
        </w:rPr>
        <w:t>Applied to operational status badges, SLA indicators, timestamps, and pillar numbers ('004 / The Strategic Advantage').</w:t>
      </w:r>
    </w:p>
    <w:p>
      <w:r>
        <w:br w:type="page"/>
      </w:r>
    </w:p>
    <w:p>
      <w:pPr>
        <w:keepNext/>
        <w:spacing w:before="360" w:after="120"/>
      </w:pPr>
      <w:r>
        <w:rPr>
          <w:rFonts w:ascii="Arial" w:hAnsi="Arial"/>
          <w:b/>
          <w:color w:val="032147"/>
          <w:sz w:val="32"/>
        </w:rPr>
        <w:t>3.0 Website Architecture &amp; Complete Route Map</w:t>
      </w:r>
    </w:p>
    <w:p>
      <w:pPr>
        <w:spacing w:line="276" w:lineRule="auto" w:after="100"/>
      </w:pPr>
      <w:r>
        <w:rPr>
          <w:rFonts w:ascii="Arial" w:hAnsi="Arial"/>
          <w:color w:val="2D3748"/>
        </w:rPr>
        <w:t>The OPHRON web application is structured around a hybrid clean SEO routing architecture (`resolveCurrentRoute()` in `App.tsx`) with seamless backwards-compatibility for in-page anchor jumps. This ensures that executive visitors can share clean URLs (e.g. `/services`, `/about`, `/contact`) while experiencing unified GSAP smooth scrolling.</w:t>
      </w:r>
    </w:p>
    <w:tbl>
      <w:tblPr>
        <w:tblW w:type="auto" w:w="0"/>
        <w:jc w:val="center"/>
        <w:tblLook w:firstColumn="1" w:firstRow="1" w:lastColumn="0" w:lastRow="0" w:noHBand="0" w:noVBand="1" w:val="04A0"/>
      </w:tblPr>
      <w:tblGrid>
        <w:gridCol w:w="3010"/>
        <w:gridCol w:w="3010"/>
        <w:gridCol w:w="3010"/>
      </w:tblGrid>
      <w:tr>
        <w:trPr>
          <w:tblHeader/>
        </w:trPr>
        <w:tc>
          <w:tcPr>
            <w:tcW w:type="dxa" w:w="1728"/>
            <w:shd w:fill="032147"/>
            <w:tcMar>
              <w:top w:w="120" w:type="dxa"/>
              <w:bottom w:w="120" w:type="dxa"/>
              <w:left w:w="140" w:type="dxa"/>
              <w:right w:w="140" w:type="dxa"/>
            </w:tcMar>
          </w:tcPr>
          <w:p>
            <w:r>
              <w:rPr>
                <w:rFonts w:ascii="Arial" w:hAnsi="Arial"/>
                <w:b/>
                <w:color w:val="FFFFFF"/>
                <w:sz w:val="19"/>
              </w:rPr>
              <w:t>Path Route</w:t>
            </w:r>
          </w:p>
        </w:tc>
        <w:tc>
          <w:tcPr>
            <w:tcW w:type="dxa" w:w="2592"/>
            <w:shd w:fill="032147"/>
            <w:tcMar>
              <w:top w:w="120" w:type="dxa"/>
              <w:bottom w:w="120" w:type="dxa"/>
              <w:left w:w="140" w:type="dxa"/>
              <w:right w:w="140" w:type="dxa"/>
            </w:tcMar>
          </w:tcPr>
          <w:p>
            <w:r>
              <w:rPr>
                <w:rFonts w:ascii="Arial" w:hAnsi="Arial"/>
                <w:b/>
                <w:color w:val="FFFFFF"/>
                <w:sz w:val="19"/>
              </w:rPr>
              <w:t>Functional Module</w:t>
            </w:r>
          </w:p>
        </w:tc>
        <w:tc>
          <w:tcPr>
            <w:tcW w:type="dxa" w:w="5040"/>
            <w:shd w:fill="032147"/>
            <w:tcMar>
              <w:top w:w="120" w:type="dxa"/>
              <w:bottom w:w="120" w:type="dxa"/>
              <w:left w:w="140" w:type="dxa"/>
              <w:right w:w="140" w:type="dxa"/>
            </w:tcMar>
          </w:tcPr>
          <w:p>
            <w:r>
              <w:rPr>
                <w:rFonts w:ascii="Arial" w:hAnsi="Arial"/>
                <w:b/>
                <w:color w:val="FFFFFF"/>
                <w:sz w:val="19"/>
              </w:rPr>
              <w:t>Architectural Scope &amp; User Journey</w:t>
            </w:r>
          </w:p>
        </w:tc>
      </w:tr>
      <w:tr>
        <w:tc>
          <w:tcPr>
            <w:tcW w:type="dxa" w:w="1728"/>
            <w:shd w:fill="FFFFFF"/>
            <w:tcMar>
              <w:top w:w="100" w:type="dxa"/>
              <w:bottom w:w="100" w:type="dxa"/>
              <w:left w:w="140" w:type="dxa"/>
              <w:right w:w="140" w:type="dxa"/>
            </w:tcMar>
          </w:tcPr>
          <w:p>
            <w:r>
              <w:rPr>
                <w:rFonts w:ascii="Arial" w:hAnsi="Arial"/>
                <w:color w:val="2D3748"/>
                <w:sz w:val="18"/>
              </w:rPr>
              <w:t>/</w:t>
            </w:r>
          </w:p>
        </w:tc>
        <w:tc>
          <w:tcPr>
            <w:tcW w:type="dxa" w:w="2592"/>
            <w:shd w:fill="FFFFFF"/>
            <w:tcMar>
              <w:top w:w="100" w:type="dxa"/>
              <w:bottom w:w="100" w:type="dxa"/>
              <w:left w:w="140" w:type="dxa"/>
              <w:right w:w="140" w:type="dxa"/>
            </w:tcMar>
          </w:tcPr>
          <w:p>
            <w:r>
              <w:rPr>
                <w:rFonts w:ascii="Arial" w:hAnsi="Arial"/>
                <w:color w:val="2D3748"/>
                <w:sz w:val="18"/>
              </w:rPr>
              <w:t>Home / Core Hub</w:t>
            </w:r>
          </w:p>
        </w:tc>
        <w:tc>
          <w:tcPr>
            <w:tcW w:type="dxa" w:w="5040"/>
            <w:shd w:fill="FFFFFF"/>
            <w:tcMar>
              <w:top w:w="100" w:type="dxa"/>
              <w:bottom w:w="100" w:type="dxa"/>
              <w:left w:w="140" w:type="dxa"/>
              <w:right w:w="140" w:type="dxa"/>
            </w:tcMar>
          </w:tcPr>
          <w:p>
            <w:r>
              <w:rPr>
                <w:rFonts w:ascii="Arial" w:hAnsi="Arial"/>
                <w:color w:val="2D3748"/>
                <w:sz w:val="18"/>
              </w:rPr>
              <w:t>Full landing page ecosystem integrating all 13 core sections.</w:t>
            </w:r>
          </w:p>
        </w:tc>
      </w:tr>
      <w:tr>
        <w:tc>
          <w:tcPr>
            <w:tcW w:type="dxa" w:w="1728"/>
            <w:shd w:fill="F8FAFC"/>
            <w:tcMar>
              <w:top w:w="100" w:type="dxa"/>
              <w:bottom w:w="100" w:type="dxa"/>
              <w:left w:w="140" w:type="dxa"/>
              <w:right w:w="140" w:type="dxa"/>
            </w:tcMar>
          </w:tcPr>
          <w:p>
            <w:r>
              <w:rPr>
                <w:rFonts w:ascii="Arial" w:hAnsi="Arial"/>
                <w:color w:val="2D3748"/>
                <w:sz w:val="18"/>
              </w:rPr>
              <w:t>/about</w:t>
            </w:r>
          </w:p>
        </w:tc>
        <w:tc>
          <w:tcPr>
            <w:tcW w:type="dxa" w:w="2592"/>
            <w:shd w:fill="F8FAFC"/>
            <w:tcMar>
              <w:top w:w="100" w:type="dxa"/>
              <w:bottom w:w="100" w:type="dxa"/>
              <w:left w:w="140" w:type="dxa"/>
              <w:right w:w="140" w:type="dxa"/>
            </w:tcMar>
          </w:tcPr>
          <w:p>
            <w:r>
              <w:rPr>
                <w:rFonts w:ascii="Arial" w:hAnsi="Arial"/>
                <w:color w:val="2D3748"/>
                <w:sz w:val="18"/>
              </w:rPr>
              <w:t>About OPHRON</w:t>
            </w:r>
          </w:p>
        </w:tc>
        <w:tc>
          <w:tcPr>
            <w:tcW w:type="dxa" w:w="5040"/>
            <w:shd w:fill="F8FAFC"/>
            <w:tcMar>
              <w:top w:w="100" w:type="dxa"/>
              <w:bottom w:w="100" w:type="dxa"/>
              <w:left w:w="140" w:type="dxa"/>
              <w:right w:w="140" w:type="dxa"/>
            </w:tcMar>
          </w:tcPr>
          <w:p>
            <w:r>
              <w:rPr>
                <w:rFonts w:ascii="Arial" w:hAnsi="Arial"/>
                <w:color w:val="2D3748"/>
                <w:sz w:val="18"/>
              </w:rPr>
              <w:t>Corporate history, operational scale, and executive team profile.</w:t>
            </w:r>
          </w:p>
        </w:tc>
      </w:tr>
      <w:tr>
        <w:tc>
          <w:tcPr>
            <w:tcW w:type="dxa" w:w="1728"/>
            <w:shd w:fill="FFFFFF"/>
            <w:tcMar>
              <w:top w:w="100" w:type="dxa"/>
              <w:bottom w:w="100" w:type="dxa"/>
              <w:left w:w="140" w:type="dxa"/>
              <w:right w:w="140" w:type="dxa"/>
            </w:tcMar>
          </w:tcPr>
          <w:p>
            <w:r>
              <w:rPr>
                <w:rFonts w:ascii="Arial" w:hAnsi="Arial"/>
                <w:color w:val="2D3748"/>
                <w:sz w:val="18"/>
              </w:rPr>
              <w:t>/services</w:t>
            </w:r>
          </w:p>
        </w:tc>
        <w:tc>
          <w:tcPr>
            <w:tcW w:type="dxa" w:w="2592"/>
            <w:shd w:fill="FFFFFF"/>
            <w:tcMar>
              <w:top w:w="100" w:type="dxa"/>
              <w:bottom w:w="100" w:type="dxa"/>
              <w:left w:w="140" w:type="dxa"/>
              <w:right w:w="140" w:type="dxa"/>
            </w:tcMar>
          </w:tcPr>
          <w:p>
            <w:r>
              <w:rPr>
                <w:rFonts w:ascii="Arial" w:hAnsi="Arial"/>
                <w:color w:val="2D3748"/>
                <w:sz w:val="18"/>
              </w:rPr>
              <w:t>Services Catalog</w:t>
            </w:r>
          </w:p>
        </w:tc>
        <w:tc>
          <w:tcPr>
            <w:tcW w:type="dxa" w:w="5040"/>
            <w:shd w:fill="FFFFFF"/>
            <w:tcMar>
              <w:top w:w="100" w:type="dxa"/>
              <w:bottom w:w="100" w:type="dxa"/>
              <w:left w:w="140" w:type="dxa"/>
              <w:right w:w="140" w:type="dxa"/>
            </w:tcMar>
          </w:tcPr>
          <w:p>
            <w:r>
              <w:rPr>
                <w:rFonts w:ascii="Arial" w:hAnsi="Arial"/>
                <w:color w:val="2D3748"/>
                <w:sz w:val="18"/>
              </w:rPr>
              <w:t>Complete index of 7 commercial hygiene and facility service lines.</w:t>
            </w:r>
          </w:p>
        </w:tc>
      </w:tr>
      <w:tr>
        <w:tc>
          <w:tcPr>
            <w:tcW w:type="dxa" w:w="1728"/>
            <w:shd w:fill="F8FAFC"/>
            <w:tcMar>
              <w:top w:w="100" w:type="dxa"/>
              <w:bottom w:w="100" w:type="dxa"/>
              <w:left w:w="140" w:type="dxa"/>
              <w:right w:w="140" w:type="dxa"/>
            </w:tcMar>
          </w:tcPr>
          <w:p>
            <w:r>
              <w:rPr>
                <w:rFonts w:ascii="Arial" w:hAnsi="Arial"/>
                <w:color w:val="2D3748"/>
                <w:sz w:val="18"/>
              </w:rPr>
              <w:t>/why</w:t>
            </w:r>
          </w:p>
        </w:tc>
        <w:tc>
          <w:tcPr>
            <w:tcW w:type="dxa" w:w="2592"/>
            <w:shd w:fill="F8FAFC"/>
            <w:tcMar>
              <w:top w:w="100" w:type="dxa"/>
              <w:bottom w:w="100" w:type="dxa"/>
              <w:left w:w="140" w:type="dxa"/>
              <w:right w:w="140" w:type="dxa"/>
            </w:tcMar>
          </w:tcPr>
          <w:p>
            <w:r>
              <w:rPr>
                <w:rFonts w:ascii="Arial" w:hAnsi="Arial"/>
                <w:color w:val="2D3748"/>
                <w:sz w:val="18"/>
              </w:rPr>
              <w:t>Why OPHRON</w:t>
            </w:r>
          </w:p>
        </w:tc>
        <w:tc>
          <w:tcPr>
            <w:tcW w:type="dxa" w:w="5040"/>
            <w:shd w:fill="F8FAFC"/>
            <w:tcMar>
              <w:top w:w="100" w:type="dxa"/>
              <w:bottom w:w="100" w:type="dxa"/>
              <w:left w:w="140" w:type="dxa"/>
              <w:right w:w="140" w:type="dxa"/>
            </w:tcMar>
          </w:tcPr>
          <w:p>
            <w:r>
              <w:rPr>
                <w:rFonts w:ascii="Arial" w:hAnsi="Arial"/>
                <w:color w:val="2D3748"/>
                <w:sz w:val="18"/>
              </w:rPr>
              <w:t>Comparative audit, fragmented vendor matrix, and proof metrics.</w:t>
            </w:r>
          </w:p>
        </w:tc>
      </w:tr>
      <w:tr>
        <w:tc>
          <w:tcPr>
            <w:tcW w:type="dxa" w:w="1728"/>
            <w:shd w:fill="FFFFFF"/>
            <w:tcMar>
              <w:top w:w="100" w:type="dxa"/>
              <w:bottom w:w="100" w:type="dxa"/>
              <w:left w:w="140" w:type="dxa"/>
              <w:right w:w="140" w:type="dxa"/>
            </w:tcMar>
          </w:tcPr>
          <w:p>
            <w:r>
              <w:rPr>
                <w:rFonts w:ascii="Arial" w:hAnsi="Arial"/>
                <w:color w:val="2D3748"/>
                <w:sz w:val="18"/>
              </w:rPr>
              <w:t>/gallery</w:t>
            </w:r>
          </w:p>
        </w:tc>
        <w:tc>
          <w:tcPr>
            <w:tcW w:type="dxa" w:w="2592"/>
            <w:shd w:fill="FFFFFF"/>
            <w:tcMar>
              <w:top w:w="100" w:type="dxa"/>
              <w:bottom w:w="100" w:type="dxa"/>
              <w:left w:w="140" w:type="dxa"/>
              <w:right w:w="140" w:type="dxa"/>
            </w:tcMar>
          </w:tcPr>
          <w:p>
            <w:r>
              <w:rPr>
                <w:rFonts w:ascii="Arial" w:hAnsi="Arial"/>
                <w:color w:val="2D3748"/>
                <w:sz w:val="18"/>
              </w:rPr>
              <w:t>Project Showcase</w:t>
            </w:r>
          </w:p>
        </w:tc>
        <w:tc>
          <w:tcPr>
            <w:tcW w:type="dxa" w:w="5040"/>
            <w:shd w:fill="FFFFFF"/>
            <w:tcMar>
              <w:top w:w="100" w:type="dxa"/>
              <w:bottom w:w="100" w:type="dxa"/>
              <w:left w:w="140" w:type="dxa"/>
              <w:right w:w="140" w:type="dxa"/>
            </w:tcMar>
          </w:tcPr>
          <w:p>
            <w:r>
              <w:rPr>
                <w:rFonts w:ascii="Arial" w:hAnsi="Arial"/>
                <w:color w:val="2D3748"/>
                <w:sz w:val="18"/>
              </w:rPr>
              <w:t>Visual evidence and high-resolution photo gallery of restored assets.</w:t>
            </w:r>
          </w:p>
        </w:tc>
      </w:tr>
      <w:tr>
        <w:tc>
          <w:tcPr>
            <w:tcW w:type="dxa" w:w="1728"/>
            <w:shd w:fill="F8FAFC"/>
            <w:tcMar>
              <w:top w:w="100" w:type="dxa"/>
              <w:bottom w:w="100" w:type="dxa"/>
              <w:left w:w="140" w:type="dxa"/>
              <w:right w:w="140" w:type="dxa"/>
            </w:tcMar>
          </w:tcPr>
          <w:p>
            <w:r>
              <w:rPr>
                <w:rFonts w:ascii="Arial" w:hAnsi="Arial"/>
                <w:color w:val="2D3748"/>
                <w:sz w:val="18"/>
              </w:rPr>
              <w:t>/founder</w:t>
            </w:r>
          </w:p>
        </w:tc>
        <w:tc>
          <w:tcPr>
            <w:tcW w:type="dxa" w:w="2592"/>
            <w:shd w:fill="F8FAFC"/>
            <w:tcMar>
              <w:top w:w="100" w:type="dxa"/>
              <w:bottom w:w="100" w:type="dxa"/>
              <w:left w:w="140" w:type="dxa"/>
              <w:right w:w="140" w:type="dxa"/>
            </w:tcMar>
          </w:tcPr>
          <w:p>
            <w:r>
              <w:rPr>
                <w:rFonts w:ascii="Arial" w:hAnsi="Arial"/>
                <w:color w:val="2D3748"/>
                <w:sz w:val="18"/>
              </w:rPr>
              <w:t>Executive Founder</w:t>
            </w:r>
          </w:p>
        </w:tc>
        <w:tc>
          <w:tcPr>
            <w:tcW w:type="dxa" w:w="5040"/>
            <w:shd w:fill="F8FAFC"/>
            <w:tcMar>
              <w:top w:w="100" w:type="dxa"/>
              <w:bottom w:w="100" w:type="dxa"/>
              <w:left w:w="140" w:type="dxa"/>
              <w:right w:w="140" w:type="dxa"/>
            </w:tcMar>
          </w:tcPr>
          <w:p>
            <w:r>
              <w:rPr>
                <w:rFonts w:ascii="Arial" w:hAnsi="Arial"/>
                <w:color w:val="2D3748"/>
                <w:sz w:val="18"/>
              </w:rPr>
              <w:t>Founder profile, operational heritage, and governance background.</w:t>
            </w:r>
          </w:p>
        </w:tc>
      </w:tr>
      <w:tr>
        <w:tc>
          <w:tcPr>
            <w:tcW w:type="dxa" w:w="1728"/>
            <w:shd w:fill="FFFFFF"/>
            <w:tcMar>
              <w:top w:w="100" w:type="dxa"/>
              <w:bottom w:w="100" w:type="dxa"/>
              <w:left w:w="140" w:type="dxa"/>
              <w:right w:w="140" w:type="dxa"/>
            </w:tcMar>
          </w:tcPr>
          <w:p>
            <w:r>
              <w:rPr>
                <w:rFonts w:ascii="Arial" w:hAnsi="Arial"/>
                <w:color w:val="2D3748"/>
                <w:sz w:val="18"/>
              </w:rPr>
              <w:t>/blog</w:t>
            </w:r>
          </w:p>
        </w:tc>
        <w:tc>
          <w:tcPr>
            <w:tcW w:type="dxa" w:w="2592"/>
            <w:shd w:fill="FFFFFF"/>
            <w:tcMar>
              <w:top w:w="100" w:type="dxa"/>
              <w:bottom w:w="100" w:type="dxa"/>
              <w:left w:w="140" w:type="dxa"/>
              <w:right w:w="140" w:type="dxa"/>
            </w:tcMar>
          </w:tcPr>
          <w:p>
            <w:r>
              <w:rPr>
                <w:rFonts w:ascii="Arial" w:hAnsi="Arial"/>
                <w:color w:val="2D3748"/>
                <w:sz w:val="18"/>
              </w:rPr>
              <w:t>Knowledge Hub</w:t>
            </w:r>
          </w:p>
        </w:tc>
        <w:tc>
          <w:tcPr>
            <w:tcW w:type="dxa" w:w="5040"/>
            <w:shd w:fill="FFFFFF"/>
            <w:tcMar>
              <w:top w:w="100" w:type="dxa"/>
              <w:bottom w:w="100" w:type="dxa"/>
              <w:left w:w="140" w:type="dxa"/>
              <w:right w:w="140" w:type="dxa"/>
            </w:tcMar>
          </w:tcPr>
          <w:p>
            <w:r>
              <w:rPr>
                <w:rFonts w:ascii="Arial" w:hAnsi="Arial"/>
                <w:color w:val="2D3748"/>
                <w:sz w:val="18"/>
              </w:rPr>
              <w:t>Operational guides, NEA/SFA audit articles, and whitepapers.</w:t>
            </w:r>
          </w:p>
        </w:tc>
      </w:tr>
      <w:tr>
        <w:tc>
          <w:tcPr>
            <w:tcW w:type="dxa" w:w="1728"/>
            <w:shd w:fill="F8FAFC"/>
            <w:tcMar>
              <w:top w:w="100" w:type="dxa"/>
              <w:bottom w:w="100" w:type="dxa"/>
              <w:left w:w="140" w:type="dxa"/>
              <w:right w:w="140" w:type="dxa"/>
            </w:tcMar>
          </w:tcPr>
          <w:p>
            <w:r>
              <w:rPr>
                <w:rFonts w:ascii="Arial" w:hAnsi="Arial"/>
                <w:color w:val="2D3748"/>
                <w:sz w:val="18"/>
              </w:rPr>
              <w:t>/all-articles</w:t>
            </w:r>
          </w:p>
        </w:tc>
        <w:tc>
          <w:tcPr>
            <w:tcW w:type="dxa" w:w="2592"/>
            <w:shd w:fill="F8FAFC"/>
            <w:tcMar>
              <w:top w:w="100" w:type="dxa"/>
              <w:bottom w:w="100" w:type="dxa"/>
              <w:left w:w="140" w:type="dxa"/>
              <w:right w:w="140" w:type="dxa"/>
            </w:tcMar>
          </w:tcPr>
          <w:p>
            <w:r>
              <w:rPr>
                <w:rFonts w:ascii="Arial" w:hAnsi="Arial"/>
                <w:color w:val="2D3748"/>
                <w:sz w:val="18"/>
              </w:rPr>
              <w:t>Article Directory</w:t>
            </w:r>
          </w:p>
        </w:tc>
        <w:tc>
          <w:tcPr>
            <w:tcW w:type="dxa" w:w="5040"/>
            <w:shd w:fill="F8FAFC"/>
            <w:tcMar>
              <w:top w:w="100" w:type="dxa"/>
              <w:bottom w:w="100" w:type="dxa"/>
              <w:left w:w="140" w:type="dxa"/>
              <w:right w:w="140" w:type="dxa"/>
            </w:tcMar>
          </w:tcPr>
          <w:p>
            <w:r>
              <w:rPr>
                <w:rFonts w:ascii="Arial" w:hAnsi="Arial"/>
                <w:color w:val="2D3748"/>
                <w:sz w:val="18"/>
              </w:rPr>
              <w:t>Full searchable chronological archive of all published content.</w:t>
            </w:r>
          </w:p>
        </w:tc>
      </w:tr>
      <w:tr>
        <w:tc>
          <w:tcPr>
            <w:tcW w:type="dxa" w:w="1728"/>
            <w:shd w:fill="FFFFFF"/>
            <w:tcMar>
              <w:top w:w="100" w:type="dxa"/>
              <w:bottom w:w="100" w:type="dxa"/>
              <w:left w:w="140" w:type="dxa"/>
              <w:right w:w="140" w:type="dxa"/>
            </w:tcMar>
          </w:tcPr>
          <w:p>
            <w:r>
              <w:rPr>
                <w:rFonts w:ascii="Arial" w:hAnsi="Arial"/>
                <w:color w:val="2D3748"/>
                <w:sz w:val="18"/>
              </w:rPr>
              <w:t>/contact</w:t>
            </w:r>
          </w:p>
        </w:tc>
        <w:tc>
          <w:tcPr>
            <w:tcW w:type="dxa" w:w="2592"/>
            <w:shd w:fill="FFFFFF"/>
            <w:tcMar>
              <w:top w:w="100" w:type="dxa"/>
              <w:bottom w:w="100" w:type="dxa"/>
              <w:left w:w="140" w:type="dxa"/>
              <w:right w:w="140" w:type="dxa"/>
            </w:tcMar>
          </w:tcPr>
          <w:p>
            <w:r>
              <w:rPr>
                <w:rFonts w:ascii="Arial" w:hAnsi="Arial"/>
                <w:color w:val="2D3748"/>
                <w:sz w:val="18"/>
              </w:rPr>
              <w:t>Platform Intake</w:t>
            </w:r>
          </w:p>
        </w:tc>
        <w:tc>
          <w:tcPr>
            <w:tcW w:type="dxa" w:w="5040"/>
            <w:shd w:fill="FFFFFF"/>
            <w:tcMar>
              <w:top w:w="100" w:type="dxa"/>
              <w:bottom w:w="100" w:type="dxa"/>
              <w:left w:w="140" w:type="dxa"/>
              <w:right w:w="140" w:type="dxa"/>
            </w:tcMar>
          </w:tcPr>
          <w:p>
            <w:r>
              <w:rPr>
                <w:rFonts w:ascii="Arial" w:hAnsi="Arial"/>
                <w:color w:val="2D3748"/>
                <w:sz w:val="18"/>
              </w:rPr>
              <w:t>24/7 quote request form, emergency hotline, and Midview City HQ.</w:t>
            </w:r>
          </w:p>
        </w:tc>
      </w:tr>
      <w:tr>
        <w:tc>
          <w:tcPr>
            <w:tcW w:type="dxa" w:w="1728"/>
            <w:shd w:fill="F8FAFC"/>
            <w:tcMar>
              <w:top w:w="100" w:type="dxa"/>
              <w:bottom w:w="100" w:type="dxa"/>
              <w:left w:w="140" w:type="dxa"/>
              <w:right w:w="140" w:type="dxa"/>
            </w:tcMar>
          </w:tcPr>
          <w:p>
            <w:r>
              <w:rPr>
                <w:rFonts w:ascii="Arial" w:hAnsi="Arial"/>
                <w:color w:val="2D3748"/>
                <w:sz w:val="18"/>
              </w:rPr>
              <w:t>/mainframe</w:t>
            </w:r>
          </w:p>
        </w:tc>
        <w:tc>
          <w:tcPr>
            <w:tcW w:type="dxa" w:w="2592"/>
            <w:shd w:fill="F8FAFC"/>
            <w:tcMar>
              <w:top w:w="100" w:type="dxa"/>
              <w:bottom w:w="100" w:type="dxa"/>
              <w:left w:w="140" w:type="dxa"/>
              <w:right w:w="140" w:type="dxa"/>
            </w:tcMar>
          </w:tcPr>
          <w:p>
            <w:r>
              <w:rPr>
                <w:rFonts w:ascii="Arial" w:hAnsi="Arial"/>
                <w:color w:val="2D3748"/>
                <w:sz w:val="18"/>
              </w:rPr>
              <w:t>Mainframe Labs</w:t>
            </w:r>
          </w:p>
        </w:tc>
        <w:tc>
          <w:tcPr>
            <w:tcW w:type="dxa" w:w="5040"/>
            <w:shd w:fill="F8FAFC"/>
            <w:tcMar>
              <w:top w:w="100" w:type="dxa"/>
              <w:bottom w:w="100" w:type="dxa"/>
              <w:left w:w="140" w:type="dxa"/>
              <w:right w:w="140" w:type="dxa"/>
            </w:tcMar>
          </w:tcPr>
          <w:p>
            <w:r>
              <w:rPr>
                <w:rFonts w:ascii="Arial" w:hAnsi="Arial"/>
                <w:color w:val="2D3748"/>
                <w:sz w:val="18"/>
              </w:rPr>
              <w:t>OPHRON Technology &amp; AI SaaS operations platform studio.</w:t>
            </w:r>
          </w:p>
        </w:tc>
      </w:tr>
    </w:tbl>
    <w:p>
      <w:r>
        <w:br w:type="page"/>
      </w:r>
    </w:p>
    <w:p>
      <w:pPr>
        <w:keepNext/>
        <w:spacing w:before="360" w:after="120"/>
      </w:pPr>
      <w:r>
        <w:rPr>
          <w:rFonts w:ascii="Arial" w:hAnsi="Arial"/>
          <w:b/>
          <w:color w:val="032147"/>
          <w:sz w:val="32"/>
        </w:rPr>
        <w:t>4.0 Complete Page-by-Page Content &amp; UI/UX Audit</w:t>
      </w:r>
    </w:p>
    <w:p>
      <w:pPr>
        <w:spacing w:line="276" w:lineRule="auto" w:after="100"/>
      </w:pPr>
      <w:r>
        <w:rPr>
          <w:rFonts w:ascii="Arial" w:hAnsi="Arial"/>
          <w:color w:val="2D3748"/>
        </w:rPr>
        <w:t>This chapter documents every visible component, heading, paragraph, list, button, and user interaction across the entire OPHRON platform.</w:t>
      </w:r>
    </w:p>
    <w:p>
      <w:pPr>
        <w:keepNext/>
        <w:spacing w:before="280" w:after="80"/>
      </w:pPr>
      <w:r>
        <w:rPr>
          <w:rFonts w:ascii="Arial" w:hAnsi="Arial"/>
          <w:b/>
          <w:color w:val="032147"/>
          <w:sz w:val="25"/>
        </w:rPr>
        <w:t>4.1 §001 Global Header &amp; Navigation Command</w:t>
      </w:r>
    </w:p>
    <w:p>
      <w:pPr>
        <w:spacing w:line="276" w:lineRule="auto" w:after="100"/>
      </w:pPr>
      <w:r>
        <w:rPr>
          <w:rFonts w:ascii="Arial" w:hAnsi="Arial"/>
          <w:color w:val="2D3748"/>
        </w:rPr>
        <w:t>The global header (`Nav.tsx`) is fixed at `top: 0` with dynamic frosted glass backdrop blur (`backdrop-blur-md`). It maintains persistent visibility while adapting seamlessly between desktop and mobile viewports.</w:t>
      </w:r>
    </w:p>
    <w:p>
      <w:pPr>
        <w:pStyle w:val="ListBullet"/>
        <w:spacing w:line="276" w:lineRule="auto" w:after="60"/>
      </w:pPr>
      <w:r>
        <w:rPr>
          <w:rFonts w:ascii="Arial" w:hAnsi="Arial"/>
          <w:b/>
          <w:color w:val="032147"/>
        </w:rPr>
        <w:t xml:space="preserve">Branding: </w:t>
      </w:r>
      <w:r>
        <w:rPr>
          <w:rFonts w:ascii="Arial" w:hAnsi="Arial"/>
          <w:color w:val="2D3748"/>
        </w:rPr>
        <w:t>Left: High-resolution OPHRON Navy Emblem with 'OPERATIONAL PLATFORM · SG' sub-label.</w:t>
      </w:r>
    </w:p>
    <w:p>
      <w:pPr>
        <w:pStyle w:val="ListBullet"/>
        <w:spacing w:line="276" w:lineRule="auto" w:after="60"/>
      </w:pPr>
      <w:r>
        <w:rPr>
          <w:rFonts w:ascii="Arial" w:hAnsi="Arial"/>
          <w:b/>
          <w:color w:val="032147"/>
        </w:rPr>
        <w:t xml:space="preserve">Desktop Nav: </w:t>
      </w:r>
      <w:r>
        <w:rPr>
          <w:rFonts w:ascii="Arial" w:hAnsi="Arial"/>
          <w:color w:val="2D3748"/>
        </w:rPr>
        <w:t>Clean links to Home, About, Services, Why Us, Gallery, Blog, and Contact.</w:t>
      </w:r>
    </w:p>
    <w:p>
      <w:pPr>
        <w:pStyle w:val="ListBullet"/>
        <w:spacing w:line="276" w:lineRule="auto" w:after="60"/>
      </w:pPr>
      <w:r>
        <w:rPr>
          <w:rFonts w:ascii="Arial" w:hAnsi="Arial"/>
          <w:b/>
          <w:color w:val="032147"/>
        </w:rPr>
        <w:t xml:space="preserve">Top Utility Bar: </w:t>
      </w:r>
      <w:r>
        <w:rPr>
          <w:rFonts w:ascii="Arial" w:hAnsi="Arial"/>
          <w:color w:val="2D3748"/>
        </w:rPr>
        <w:t>Prominently displays the 24/7 hotline (+65 9295 1155) alongside an animated time stamp.</w:t>
      </w:r>
    </w:p>
    <w:p>
      <w:pPr>
        <w:pStyle w:val="ListBullet"/>
        <w:spacing w:line="276" w:lineRule="auto" w:after="60"/>
      </w:pPr>
      <w:r>
        <w:rPr>
          <w:rFonts w:ascii="Arial" w:hAnsi="Arial"/>
          <w:b/>
          <w:color w:val="032147"/>
        </w:rPr>
        <w:t xml:space="preserve">Primary CTA: </w:t>
      </w:r>
      <w:r>
        <w:rPr>
          <w:rFonts w:ascii="Arial" w:hAnsi="Arial"/>
          <w:color w:val="2D3748"/>
        </w:rPr>
        <w:t>Gold-accented pill button triggering an in-page jump or modal to the platform intake form.</w:t>
      </w:r>
    </w:p>
    <w:p>
      <w:pPr>
        <w:keepNext/>
        <w:spacing w:before="280" w:after="80"/>
      </w:pPr>
      <w:r>
        <w:rPr>
          <w:rFonts w:ascii="Arial" w:hAnsi="Arial"/>
          <w:b/>
          <w:color w:val="032147"/>
          <w:sz w:val="25"/>
        </w:rPr>
        <w:t>4.2 §002 Hero Section &amp; 50% Right-Half Skyline Ambient Stage</w:t>
      </w:r>
    </w:p>
    <w:p>
      <w:pPr>
        <w:spacing w:line="276" w:lineRule="auto" w:after="100"/>
      </w:pPr>
      <w:r>
        <w:rPr>
          <w:rFonts w:ascii="Arial" w:hAnsi="Arial"/>
          <w:color w:val="2D3748"/>
        </w:rPr>
        <w:t>The hero section (`Hero.tsx`) establishes immediate visual authority. Following user requirements, the auto-cycling carousel was replaced with a **50% right-half integrated Singapore skyline video stage** (`/videos/hero-singapore-skyline.mp4`).</w:t>
      </w:r>
    </w:p>
    <w:p>
      <w:pPr>
        <w:pStyle w:val="ListBullet"/>
        <w:spacing w:line="276" w:lineRule="auto" w:after="60"/>
      </w:pPr>
      <w:r>
        <w:rPr>
          <w:rFonts w:ascii="Arial" w:hAnsi="Arial"/>
          <w:b/>
          <w:color w:val="032147"/>
        </w:rPr>
        <w:t xml:space="preserve">Status Tag: </w:t>
      </w:r>
      <w:r>
        <w:rPr>
          <w:rFonts w:ascii="Arial" w:hAnsi="Arial"/>
          <w:color w:val="2D3748"/>
        </w:rPr>
        <w:t>'OPHRON SINGAPORE · HOSPITALITY INFRASTRUCTURE &amp; AI' enclosed in a frosted champagne pill.</w:t>
      </w:r>
    </w:p>
    <w:p>
      <w:pPr>
        <w:pStyle w:val="ListBullet"/>
        <w:spacing w:line="276" w:lineRule="auto" w:after="60"/>
      </w:pPr>
      <w:r>
        <w:rPr>
          <w:rFonts w:ascii="Arial" w:hAnsi="Arial"/>
          <w:b/>
          <w:color w:val="032147"/>
        </w:rPr>
        <w:t xml:space="preserve">Headline: </w:t>
      </w:r>
      <w:r>
        <w:rPr>
          <w:rFonts w:ascii="Arial" w:hAnsi="Arial"/>
          <w:color w:val="2D3748"/>
        </w:rPr>
        <w:t>'One partner. One ecosystem. Better operations.' with a gold gradient italic accent on the final line.</w:t>
      </w:r>
    </w:p>
    <w:p>
      <w:pPr>
        <w:pStyle w:val="ListBullet"/>
        <w:spacing w:line="276" w:lineRule="auto" w:after="60"/>
      </w:pPr>
      <w:r>
        <w:rPr>
          <w:rFonts w:ascii="Arial" w:hAnsi="Arial"/>
          <w:b/>
          <w:color w:val="032147"/>
        </w:rPr>
        <w:t xml:space="preserve">Value Proposition: </w:t>
      </w:r>
      <w:r>
        <w:rPr>
          <w:rFonts w:ascii="Arial" w:hAnsi="Arial"/>
          <w:color w:val="2D3748"/>
        </w:rPr>
        <w:t>Articulates the integration of People, Hygiene, Facilities, Technology, and Commercial Intelligence into a single contract.</w:t>
      </w:r>
    </w:p>
    <w:p>
      <w:pPr>
        <w:pStyle w:val="ListBullet"/>
        <w:spacing w:line="276" w:lineRule="auto" w:after="60"/>
      </w:pPr>
      <w:r>
        <w:rPr>
          <w:rFonts w:ascii="Arial" w:hAnsi="Arial"/>
          <w:b/>
          <w:color w:val="032147"/>
        </w:rPr>
        <w:t xml:space="preserve">4-Pillar Quick Bar: </w:t>
      </w:r>
      <w:r>
        <w:rPr>
          <w:rFonts w:ascii="Arial" w:hAnsi="Arial"/>
          <w:color w:val="2D3748"/>
        </w:rPr>
        <w:t>Pill links to Stone &amp; Marble Care, Luxury Venue Resets, Hospitality Manpower, and AI Ops Platform.</w:t>
      </w:r>
    </w:p>
    <w:p>
      <w:pPr>
        <w:pStyle w:val="ListBullet"/>
        <w:spacing w:line="276" w:lineRule="auto" w:after="60"/>
      </w:pPr>
      <w:r>
        <w:rPr>
          <w:rFonts w:ascii="Arial" w:hAnsi="Arial"/>
          <w:b/>
          <w:color w:val="032147"/>
        </w:rPr>
        <w:t xml:space="preserve">Dual CTAs: </w:t>
      </w:r>
      <w:r>
        <w:rPr>
          <w:rFonts w:ascii="Arial" w:hAnsi="Arial"/>
          <w:color w:val="2D3748"/>
        </w:rPr>
        <w:t>'Discuss Your Operations' (Primary Champagne Gradient) and 'Explore Solutions' (Frosted Outline).</w:t>
      </w:r>
    </w:p>
    <w:p>
      <w:pPr>
        <w:pStyle w:val="ListBullet"/>
        <w:spacing w:line="276" w:lineRule="auto" w:after="60"/>
      </w:pPr>
      <w:r>
        <w:rPr>
          <w:rFonts w:ascii="Arial" w:hAnsi="Arial"/>
          <w:b/>
          <w:color w:val="032147"/>
        </w:rPr>
        <w:t xml:space="preserve">Social Proof Bar: </w:t>
      </w:r>
      <w:r>
        <w:rPr>
          <w:rFonts w:ascii="Arial" w:hAnsi="Arial"/>
          <w:color w:val="2D3748"/>
        </w:rPr>
        <w:t>Champagne frosted glass strip showcasing 20+ Yrs Expertise, 140+ Contracts, bizSAFE 3, NEA Licensed, and 100% SLA with clients Pan Pacific, YOTEL, and ATLAS.</w:t>
      </w:r>
    </w:p>
    <w:p>
      <w:pPr>
        <w:keepNext/>
        <w:spacing w:before="280" w:after="80"/>
      </w:pPr>
      <w:r>
        <w:rPr>
          <w:rFonts w:ascii="Arial" w:hAnsi="Arial"/>
          <w:b/>
          <w:color w:val="032147"/>
          <w:sz w:val="25"/>
        </w:rPr>
        <w:t>4.3 §003 Client Logos &amp; Verified Hospitality Partners</w:t>
      </w:r>
    </w:p>
    <w:p>
      <w:pPr>
        <w:spacing w:line="276" w:lineRule="auto" w:after="100"/>
      </w:pPr>
      <w:r>
        <w:rPr>
          <w:rFonts w:ascii="Arial" w:hAnsi="Arial"/>
          <w:color w:val="2D3748"/>
        </w:rPr>
        <w:t>Displays verified client partnerships across Singapore's leading hospitality assets: Pan Pacific Singapore, YOTEL Singapore Orchard, ATLAS Bar, Baker &amp; Cook, Lion Brewery Co, FOOL Wine Bar, Solo Ristorante, and Utu Cafe.</w:t>
      </w:r>
    </w:p>
    <w:p>
      <w:pPr>
        <w:keepNext/>
        <w:spacing w:before="280" w:after="80"/>
      </w:pPr>
      <w:r>
        <w:rPr>
          <w:rFonts w:ascii="Arial" w:hAnsi="Arial"/>
          <w:b/>
          <w:color w:val="032147"/>
          <w:sz w:val="25"/>
        </w:rPr>
        <w:t>4.4 §004 The Strategic Advantage (OphronOS 5 Pillars)</w:t>
      </w:r>
    </w:p>
    <w:p>
      <w:pPr>
        <w:spacing w:line="276" w:lineRule="auto" w:after="100"/>
      </w:pPr>
      <w:r>
        <w:rPr>
          <w:rFonts w:ascii="Arial" w:hAnsi="Arial"/>
          <w:color w:val="2D3748"/>
        </w:rPr>
        <w:t>Located in `Approach.tsx`, this section features an authentic **16:10 landscape MacBook Pro mockup** across all viewports, resolving previous mobile distortion:</w:t>
      </w:r>
    </w:p>
    <w:p>
      <w:pPr>
        <w:pStyle w:val="ListBullet"/>
        <w:spacing w:line="276" w:lineRule="auto" w:after="60"/>
      </w:pPr>
      <w:r>
        <w:rPr>
          <w:rFonts w:ascii="Arial" w:hAnsi="Arial"/>
          <w:b/>
          <w:color w:val="032147"/>
        </w:rPr>
        <w:t xml:space="preserve">01 OPHRON People: </w:t>
      </w:r>
      <w:r>
        <w:rPr>
          <w:rFonts w:ascii="Arial" w:hAnsi="Arial"/>
          <w:color w:val="2D3748"/>
        </w:rPr>
        <w:t>Vetted hospitality manpower, stewarding, and housekeeping teams deployed with 100% SLA reliability.</w:t>
      </w:r>
    </w:p>
    <w:p>
      <w:pPr>
        <w:pStyle w:val="ListBullet"/>
        <w:spacing w:line="276" w:lineRule="auto" w:after="60"/>
      </w:pPr>
      <w:r>
        <w:rPr>
          <w:rFonts w:ascii="Arial" w:hAnsi="Arial"/>
          <w:b/>
          <w:color w:val="032147"/>
        </w:rPr>
        <w:t xml:space="preserve">02 OPHRON Hygiene: </w:t>
      </w:r>
      <w:r>
        <w:rPr>
          <w:rFonts w:ascii="Arial" w:hAnsi="Arial"/>
          <w:color w:val="2D3748"/>
        </w:rPr>
        <w:t>Kitchen exhaust degreasing, hygiene audits, IAQ services, and hospital-grade disinfection.</w:t>
      </w:r>
    </w:p>
    <w:p>
      <w:pPr>
        <w:pStyle w:val="ListBullet"/>
        <w:spacing w:line="276" w:lineRule="auto" w:after="60"/>
      </w:pPr>
      <w:r>
        <w:rPr>
          <w:rFonts w:ascii="Arial" w:hAnsi="Arial"/>
          <w:b/>
          <w:color w:val="032147"/>
        </w:rPr>
        <w:t xml:space="preserve">03 OPHRON Facility Services: </w:t>
      </w:r>
      <w:r>
        <w:rPr>
          <w:rFonts w:ascii="Arial" w:hAnsi="Arial"/>
          <w:color w:val="2D3748"/>
        </w:rPr>
        <w:t>IFM Lite, pest control through partners, waste management, and minor maintenance.</w:t>
      </w:r>
    </w:p>
    <w:p>
      <w:pPr>
        <w:pStyle w:val="ListBullet"/>
        <w:spacing w:line="276" w:lineRule="auto" w:after="60"/>
      </w:pPr>
      <w:r>
        <w:rPr>
          <w:rFonts w:ascii="Arial" w:hAnsi="Arial"/>
          <w:b/>
          <w:color w:val="032147"/>
        </w:rPr>
        <w:t xml:space="preserve">04 OPHRON Technology: </w:t>
      </w:r>
      <w:r>
        <w:rPr>
          <w:rFonts w:ascii="Arial" w:hAnsi="Arial"/>
          <w:color w:val="2D3748"/>
        </w:rPr>
        <w:t>Restaurant and hotel software, AI operations automation, and customer analytics dashboards.</w:t>
      </w:r>
    </w:p>
    <w:p>
      <w:pPr>
        <w:pStyle w:val="ListBullet"/>
        <w:spacing w:line="276" w:lineRule="auto" w:after="60"/>
      </w:pPr>
      <w:r>
        <w:rPr>
          <w:rFonts w:ascii="Arial" w:hAnsi="Arial"/>
          <w:b/>
          <w:color w:val="032147"/>
        </w:rPr>
        <w:t xml:space="preserve">05 Commercial Intelligence: </w:t>
      </w:r>
      <w:r>
        <w:rPr>
          <w:rFonts w:ascii="Arial" w:hAnsi="Arial"/>
          <w:color w:val="2D3748"/>
        </w:rPr>
        <w:t>Targeted cost reduction, labor optimization, and executive operational reporting.</w:t>
      </w:r>
    </w:p>
    <w:p>
      <w:pPr>
        <w:keepNext/>
        <w:spacing w:before="280" w:after="80"/>
      </w:pPr>
      <w:r>
        <w:rPr>
          <w:rFonts w:ascii="Arial" w:hAnsi="Arial"/>
          <w:b/>
          <w:color w:val="032147"/>
          <w:sz w:val="25"/>
        </w:rPr>
        <w:t>4.5 §005 The Fragmented Problem Matrix</w:t>
      </w:r>
    </w:p>
    <w:p>
      <w:pPr>
        <w:spacing w:line="276" w:lineRule="auto" w:after="100"/>
      </w:pPr>
      <w:r>
        <w:rPr>
          <w:rFonts w:ascii="Arial" w:hAnsi="Arial"/>
          <w:color w:val="2D3748"/>
        </w:rPr>
        <w:t>Located in `Problems.tsx`, this section deconstructs the operational failure modes of conventional multi-vendor outsourcing: (1) Vendor Coordination Chaos, (2) Inconsistent Hygiene Standards, (3) High Staff Turnover &amp; Labor Shortages, (4) Opaque Billing &amp; Invoice Inflation, and (5) Total Lack of Real-Time Compliance Visibility.</w:t>
      </w:r>
    </w:p>
    <w:p>
      <w:pPr>
        <w:keepNext/>
        <w:spacing w:before="280" w:after="80"/>
      </w:pPr>
      <w:r>
        <w:rPr>
          <w:rFonts w:ascii="Arial" w:hAnsi="Arial"/>
          <w:b/>
          <w:color w:val="032147"/>
          <w:sz w:val="25"/>
        </w:rPr>
        <w:t>4.6 §006 Integrated Solutions &amp; Service Suite</w:t>
      </w:r>
    </w:p>
    <w:p>
      <w:pPr>
        <w:spacing w:line="276" w:lineRule="auto" w:after="100"/>
      </w:pPr>
      <w:r>
        <w:rPr>
          <w:rFonts w:ascii="Arial" w:hAnsi="Arial"/>
          <w:color w:val="2D3748"/>
        </w:rPr>
        <w:t>Located in `Solutions.tsx`, detailing the operational mechanisms by which OPHRON replaces fragmented vendors with an integrated operating system. Each service module includes verified deliverables, tooling specifications, and compliance checkpoints.</w:t>
      </w:r>
    </w:p>
    <w:p>
      <w:pPr>
        <w:keepNext/>
        <w:spacing w:before="280" w:after="80"/>
      </w:pPr>
      <w:r>
        <w:rPr>
          <w:rFonts w:ascii="Arial" w:hAnsi="Arial"/>
          <w:b/>
          <w:color w:val="032147"/>
          <w:sz w:val="25"/>
        </w:rPr>
        <w:t>4.7 §007 High-Resolution Visual Showcase &amp; Before/After</w:t>
      </w:r>
    </w:p>
    <w:p>
      <w:pPr>
        <w:spacing w:line="276" w:lineRule="auto" w:after="100"/>
      </w:pPr>
      <w:r>
        <w:rPr>
          <w:rFonts w:ascii="Arial" w:hAnsi="Arial"/>
          <w:color w:val="2D3748"/>
        </w:rPr>
        <w:t>Located in `Showcase.tsx`, presenting split-screen interactive before/after visual proof: (1) 98+ GU Diamond Marble Polishing at luxury ballrooms, (2) Heavy Kitchen Exhaust Degreasing compliant with SFA/NEA, (3) High-Rise Glass Façade Cleaning via IRATA Rope Access, and (4) 60-Minute Rapid Ballroom Turnover.</w:t>
      </w:r>
    </w:p>
    <w:p>
      <w:pPr>
        <w:keepNext/>
        <w:spacing w:before="280" w:after="80"/>
      </w:pPr>
      <w:r>
        <w:rPr>
          <w:rFonts w:ascii="Arial" w:hAnsi="Arial"/>
          <w:b/>
          <w:color w:val="032147"/>
          <w:sz w:val="25"/>
        </w:rPr>
        <w:t>4.8 §008 Why Choose OPHRON</w:t>
      </w:r>
    </w:p>
    <w:p>
      <w:pPr>
        <w:spacing w:line="276" w:lineRule="auto" w:after="100"/>
      </w:pPr>
      <w:r>
        <w:rPr>
          <w:rFonts w:ascii="Arial" w:hAnsi="Arial"/>
          <w:color w:val="2D3748"/>
        </w:rPr>
        <w:t>Located in `WhyUs.tsx`, highlighting contractually guaranteed SLAs, dedicated account directorship, digital shift logging, and guaranteed pass rates on regulatory health audits.</w:t>
      </w:r>
    </w:p>
    <w:p>
      <w:pPr>
        <w:keepNext/>
        <w:spacing w:before="280" w:after="80"/>
      </w:pPr>
      <w:r>
        <w:rPr>
          <w:rFonts w:ascii="Arial" w:hAnsi="Arial"/>
          <w:b/>
          <w:color w:val="032147"/>
          <w:sz w:val="25"/>
        </w:rPr>
        <w:t>4.9 §009 Social Proof &amp; Client Testimonials</w:t>
      </w:r>
    </w:p>
    <w:p>
      <w:pPr>
        <w:spacing w:line="276" w:lineRule="auto" w:after="100"/>
      </w:pPr>
      <w:r>
        <w:rPr>
          <w:rFonts w:ascii="Arial" w:hAnsi="Arial"/>
          <w:color w:val="2D3748"/>
        </w:rPr>
        <w:t>Located in `Testimonials.tsx`, featuring verified quotes and operational case studies from General Managers, Executive Housekeepers, and Food &amp; Beverage Directors across Singapore.</w:t>
      </w:r>
    </w:p>
    <w:p>
      <w:pPr>
        <w:keepNext/>
        <w:spacing w:before="280" w:after="80"/>
      </w:pPr>
      <w:r>
        <w:rPr>
          <w:rFonts w:ascii="Arial" w:hAnsi="Arial"/>
          <w:b/>
          <w:color w:val="032147"/>
          <w:sz w:val="25"/>
        </w:rPr>
        <w:t>4.10 §010 Founder Profile &amp; Leadership Vision</w:t>
      </w:r>
    </w:p>
    <w:p>
      <w:pPr>
        <w:spacing w:line="276" w:lineRule="auto" w:after="100"/>
      </w:pPr>
      <w:r>
        <w:rPr>
          <w:rFonts w:ascii="Arial" w:hAnsi="Arial"/>
          <w:color w:val="2D3748"/>
        </w:rPr>
        <w:t>Located in `Founder.tsx`, detailing the background of OPHRON’s leadership, operational philosophy, boots-on-the-ground hospitality background, and governance standards.</w:t>
      </w:r>
    </w:p>
    <w:p>
      <w:pPr>
        <w:keepNext/>
        <w:spacing w:before="280" w:after="80"/>
      </w:pPr>
      <w:r>
        <w:rPr>
          <w:rFonts w:ascii="Arial" w:hAnsi="Arial"/>
          <w:b/>
          <w:color w:val="032147"/>
          <w:sz w:val="25"/>
        </w:rPr>
        <w:t>4.11 §011 Operational Knowledge Base &amp; Regulatory Guides</w:t>
      </w:r>
    </w:p>
    <w:p>
      <w:pPr>
        <w:spacing w:line="276" w:lineRule="auto" w:after="100"/>
      </w:pPr>
      <w:r>
        <w:rPr>
          <w:rFonts w:ascii="Arial" w:hAnsi="Arial"/>
          <w:color w:val="2D3748"/>
        </w:rPr>
        <w:t>Located in `Blog.tsx` and `AllArticles.tsx`, featuring deep-dive operational articles: 'Mastering NEA &amp; SFA Kitchen Audits', 'Preserving Italian Marble in High-Traffic Ballrooms', 'Mitigating Labor Turnover in Singapore Hospitality', and 'Indoor Air Quality (IAQ) Compliance'.</w:t>
      </w:r>
    </w:p>
    <w:p>
      <w:pPr>
        <w:keepNext/>
        <w:spacing w:before="280" w:after="80"/>
      </w:pPr>
      <w:r>
        <w:rPr>
          <w:rFonts w:ascii="Arial" w:hAnsi="Arial"/>
          <w:b/>
          <w:color w:val="032147"/>
          <w:sz w:val="25"/>
        </w:rPr>
        <w:t>4.12 §012 Platform Intake &amp; Contact Command</w:t>
      </w:r>
    </w:p>
    <w:p>
      <w:pPr>
        <w:spacing w:line="276" w:lineRule="auto" w:after="100"/>
      </w:pPr>
      <w:r>
        <w:rPr>
          <w:rFonts w:ascii="Arial" w:hAnsi="Arial"/>
          <w:color w:val="2D3748"/>
        </w:rPr>
        <w:t>Located in `Contact.tsx`, housing the multi-field platform audit intake form, direct 24/7 hotline (+65 9295 1155), WhatsApp dispatch link, and headquarters address at Midview City, 26 Sin Ming Lane #05-124, Singapore 573971.</w:t>
      </w:r>
    </w:p>
    <w:p>
      <w:pPr>
        <w:keepNext/>
        <w:spacing w:before="280" w:after="80"/>
      </w:pPr>
      <w:r>
        <w:rPr>
          <w:rFonts w:ascii="Arial" w:hAnsi="Arial"/>
          <w:b/>
          <w:color w:val="032147"/>
          <w:sz w:val="25"/>
        </w:rPr>
        <w:t>4.13 §013 Corporate Footer &amp; Accreditations</w:t>
      </w:r>
    </w:p>
    <w:p>
      <w:pPr>
        <w:spacing w:line="276" w:lineRule="auto" w:after="100"/>
      </w:pPr>
      <w:r>
        <w:rPr>
          <w:rFonts w:ascii="Arial" w:hAnsi="Arial"/>
          <w:color w:val="2D3748"/>
        </w:rPr>
        <w:t>Located in `Footer.tsx`, featuring official bizSAFE Level 3 and NEA Cleaning Business License verification badges, complete sitemap links, and legal disclaimers.</w:t>
      </w:r>
    </w:p>
    <w:p>
      <w:pPr>
        <w:keepNext/>
        <w:spacing w:before="280" w:after="80"/>
      </w:pPr>
      <w:r>
        <w:rPr>
          <w:rFonts w:ascii="Arial" w:hAnsi="Arial"/>
          <w:b/>
          <w:color w:val="032147"/>
          <w:sz w:val="25"/>
        </w:rPr>
        <w:t>4.14 §014 Mainframe Labs &amp; Technology Studio</w:t>
      </w:r>
    </w:p>
    <w:p>
      <w:pPr>
        <w:spacing w:line="276" w:lineRule="auto" w:after="100"/>
      </w:pPr>
      <w:r>
        <w:rPr>
          <w:rFonts w:ascii="Arial" w:hAnsi="Arial"/>
          <w:color w:val="2D3748"/>
        </w:rPr>
        <w:t>Located in `MainframeHero.tsx`, highlighting OPHRON’s R&amp;D technology studio, AI workforce automation, and real-time operational dashboard integrations.</w:t>
      </w:r>
    </w:p>
    <w:p>
      <w:r>
        <w:br w:type="page"/>
      </w:r>
    </w:p>
    <w:p>
      <w:pPr>
        <w:keepNext/>
        <w:spacing w:before="360" w:after="120"/>
      </w:pPr>
      <w:r>
        <w:rPr>
          <w:rFonts w:ascii="Arial" w:hAnsi="Arial"/>
          <w:b/>
          <w:color w:val="032147"/>
          <w:sz w:val="32"/>
        </w:rPr>
        <w:t>5.0 Specialized Commercial Services Catalog Deep-Dive</w:t>
      </w:r>
    </w:p>
    <w:p>
      <w:pPr>
        <w:spacing w:line="276" w:lineRule="auto" w:after="100"/>
      </w:pPr>
      <w:r>
        <w:rPr>
          <w:rFonts w:ascii="Arial" w:hAnsi="Arial"/>
          <w:color w:val="2D3748"/>
        </w:rPr>
        <w:t>OPHRON executes 7 specialized commercial hygiene and infrastructure service lines across Singapore:</w:t>
      </w:r>
    </w:p>
    <w:tbl>
      <w:tblPr>
        <w:tblW w:type="auto" w:w="0"/>
        <w:jc w:val="center"/>
        <w:tblLook w:firstColumn="1" w:firstRow="1" w:lastColumn="0" w:lastRow="0" w:noHBand="0" w:noVBand="1" w:val="04A0"/>
      </w:tblPr>
      <w:tblGrid>
        <w:gridCol w:w="2257"/>
        <w:gridCol w:w="2257"/>
        <w:gridCol w:w="2257"/>
        <w:gridCol w:w="2257"/>
      </w:tblGrid>
      <w:tr>
        <w:trPr>
          <w:tblHeader/>
        </w:trPr>
        <w:tc>
          <w:tcPr>
            <w:tcW w:type="dxa" w:w="2304"/>
            <w:shd w:fill="032147"/>
            <w:tcMar>
              <w:top w:w="120" w:type="dxa"/>
              <w:bottom w:w="120" w:type="dxa"/>
              <w:left w:w="140" w:type="dxa"/>
              <w:right w:w="140" w:type="dxa"/>
            </w:tcMar>
          </w:tcPr>
          <w:p>
            <w:r>
              <w:rPr>
                <w:rFonts w:ascii="Arial" w:hAnsi="Arial"/>
                <w:b/>
                <w:color w:val="FFFFFF"/>
                <w:sz w:val="19"/>
              </w:rPr>
              <w:t>Service Category</w:t>
            </w:r>
          </w:p>
        </w:tc>
        <w:tc>
          <w:tcPr>
            <w:tcW w:type="dxa" w:w="3888"/>
            <w:shd w:fill="032147"/>
            <w:tcMar>
              <w:top w:w="120" w:type="dxa"/>
              <w:bottom w:w="120" w:type="dxa"/>
              <w:left w:w="140" w:type="dxa"/>
              <w:right w:w="140" w:type="dxa"/>
            </w:tcMar>
          </w:tcPr>
          <w:p>
            <w:r>
              <w:rPr>
                <w:rFonts w:ascii="Arial" w:hAnsi="Arial"/>
                <w:b/>
                <w:color w:val="FFFFFF"/>
                <w:sz w:val="19"/>
              </w:rPr>
              <w:t>Technical Scope &amp; Methodology</w:t>
            </w:r>
          </w:p>
        </w:tc>
        <w:tc>
          <w:tcPr>
            <w:tcW w:type="dxa" w:w="1440"/>
            <w:shd w:fill="032147"/>
            <w:tcMar>
              <w:top w:w="120" w:type="dxa"/>
              <w:bottom w:w="120" w:type="dxa"/>
              <w:left w:w="140" w:type="dxa"/>
              <w:right w:w="140" w:type="dxa"/>
            </w:tcMar>
          </w:tcPr>
          <w:p>
            <w:r>
              <w:rPr>
                <w:rFonts w:ascii="Arial" w:hAnsi="Arial"/>
                <w:b/>
                <w:color w:val="FFFFFF"/>
                <w:sz w:val="19"/>
              </w:rPr>
              <w:t>Contract SLA</w:t>
            </w:r>
          </w:p>
        </w:tc>
        <w:tc>
          <w:tcPr>
            <w:tcW w:type="dxa" w:w="1728"/>
            <w:shd w:fill="032147"/>
            <w:tcMar>
              <w:top w:w="120" w:type="dxa"/>
              <w:bottom w:w="120" w:type="dxa"/>
              <w:left w:w="140" w:type="dxa"/>
              <w:right w:w="140" w:type="dxa"/>
            </w:tcMar>
          </w:tcPr>
          <w:p>
            <w:r>
              <w:rPr>
                <w:rFonts w:ascii="Arial" w:hAnsi="Arial"/>
                <w:b/>
                <w:color w:val="FFFFFF"/>
                <w:sz w:val="19"/>
              </w:rPr>
              <w:t>Target Asset</w:t>
            </w:r>
          </w:p>
        </w:tc>
      </w:tr>
      <w:tr>
        <w:tc>
          <w:tcPr>
            <w:tcW w:type="dxa" w:w="2304"/>
            <w:shd w:fill="FFFFFF"/>
            <w:tcMar>
              <w:top w:w="100" w:type="dxa"/>
              <w:bottom w:w="100" w:type="dxa"/>
              <w:left w:w="140" w:type="dxa"/>
              <w:right w:w="140" w:type="dxa"/>
            </w:tcMar>
          </w:tcPr>
          <w:p>
            <w:r>
              <w:rPr>
                <w:rFonts w:ascii="Arial" w:hAnsi="Arial"/>
                <w:color w:val="2D3748"/>
                <w:sz w:val="18"/>
              </w:rPr>
              <w:t>Powder &amp; Diamond Marble Polishing</w:t>
            </w:r>
          </w:p>
        </w:tc>
        <w:tc>
          <w:tcPr>
            <w:tcW w:type="dxa" w:w="3888"/>
            <w:shd w:fill="FFFFFF"/>
            <w:tcMar>
              <w:top w:w="100" w:type="dxa"/>
              <w:bottom w:w="100" w:type="dxa"/>
              <w:left w:w="140" w:type="dxa"/>
              <w:right w:w="140" w:type="dxa"/>
            </w:tcMar>
          </w:tcPr>
          <w:p>
            <w:r>
              <w:rPr>
                <w:rFonts w:ascii="Arial" w:hAnsi="Arial"/>
                <w:color w:val="2D3748"/>
                <w:sz w:val="18"/>
              </w:rPr>
              <w:t>Heavy-duty planetary diamond grinding, 5-stage resin pads, and chemical powder crystallization restoring high-traffic stone floors to a 98+ GU mirror finish.</w:t>
            </w:r>
          </w:p>
        </w:tc>
        <w:tc>
          <w:tcPr>
            <w:tcW w:type="dxa" w:w="1440"/>
            <w:shd w:fill="FFFFFF"/>
            <w:tcMar>
              <w:top w:w="100" w:type="dxa"/>
              <w:bottom w:w="100" w:type="dxa"/>
              <w:left w:w="140" w:type="dxa"/>
              <w:right w:w="140" w:type="dxa"/>
            </w:tcMar>
          </w:tcPr>
          <w:p>
            <w:r>
              <w:rPr>
                <w:rFonts w:ascii="Arial" w:hAnsi="Arial"/>
                <w:color w:val="2D3748"/>
                <w:sz w:val="18"/>
              </w:rPr>
              <w:t>98+ GU Gloss Rating</w:t>
            </w:r>
          </w:p>
        </w:tc>
        <w:tc>
          <w:tcPr>
            <w:tcW w:type="dxa" w:w="1728"/>
            <w:shd w:fill="FFFFFF"/>
            <w:tcMar>
              <w:top w:w="100" w:type="dxa"/>
              <w:bottom w:w="100" w:type="dxa"/>
              <w:left w:w="140" w:type="dxa"/>
              <w:right w:w="140" w:type="dxa"/>
            </w:tcMar>
          </w:tcPr>
          <w:p>
            <w:r>
              <w:rPr>
                <w:rFonts w:ascii="Arial" w:hAnsi="Arial"/>
                <w:color w:val="2D3748"/>
                <w:sz w:val="18"/>
              </w:rPr>
              <w:t>Ballrooms, Hotel Lobbies, Penthouse Residences</w:t>
            </w:r>
          </w:p>
        </w:tc>
      </w:tr>
      <w:tr>
        <w:tc>
          <w:tcPr>
            <w:tcW w:type="dxa" w:w="2304"/>
            <w:shd w:fill="F8FAFC"/>
            <w:tcMar>
              <w:top w:w="100" w:type="dxa"/>
              <w:bottom w:w="100" w:type="dxa"/>
              <w:left w:w="140" w:type="dxa"/>
              <w:right w:w="140" w:type="dxa"/>
            </w:tcMar>
          </w:tcPr>
          <w:p>
            <w:r>
              <w:rPr>
                <w:rFonts w:ascii="Arial" w:hAnsi="Arial"/>
                <w:color w:val="2D3748"/>
                <w:sz w:val="18"/>
              </w:rPr>
              <w:t>Commercial Kitchen Deep Cleaning</w:t>
            </w:r>
          </w:p>
        </w:tc>
        <w:tc>
          <w:tcPr>
            <w:tcW w:type="dxa" w:w="3888"/>
            <w:shd w:fill="F8FAFC"/>
            <w:tcMar>
              <w:top w:w="100" w:type="dxa"/>
              <w:bottom w:w="100" w:type="dxa"/>
              <w:left w:w="140" w:type="dxa"/>
              <w:right w:w="140" w:type="dxa"/>
            </w:tcMar>
          </w:tcPr>
          <w:p>
            <w:r>
              <w:rPr>
                <w:rFonts w:ascii="Arial" w:hAnsi="Arial"/>
                <w:color w:val="2D3748"/>
                <w:sz w:val="18"/>
              </w:rPr>
              <w:t>Comprehensive degreasing of commercial hoods, ducts, filters, and ranges. Certified 100% compliant with SFA and NEA fire-safety and sanitation codes.</w:t>
            </w:r>
          </w:p>
        </w:tc>
        <w:tc>
          <w:tcPr>
            <w:tcW w:type="dxa" w:w="1440"/>
            <w:shd w:fill="F8FAFC"/>
            <w:tcMar>
              <w:top w:w="100" w:type="dxa"/>
              <w:bottom w:w="100" w:type="dxa"/>
              <w:left w:w="140" w:type="dxa"/>
              <w:right w:w="140" w:type="dxa"/>
            </w:tcMar>
          </w:tcPr>
          <w:p>
            <w:r>
              <w:rPr>
                <w:rFonts w:ascii="Arial" w:hAnsi="Arial"/>
                <w:color w:val="2D3748"/>
                <w:sz w:val="18"/>
              </w:rPr>
              <w:t>100% Audit Readiness</w:t>
            </w:r>
          </w:p>
        </w:tc>
        <w:tc>
          <w:tcPr>
            <w:tcW w:type="dxa" w:w="1728"/>
            <w:shd w:fill="F8FAFC"/>
            <w:tcMar>
              <w:top w:w="100" w:type="dxa"/>
              <w:bottom w:w="100" w:type="dxa"/>
              <w:left w:w="140" w:type="dxa"/>
              <w:right w:w="140" w:type="dxa"/>
            </w:tcMar>
          </w:tcPr>
          <w:p>
            <w:r>
              <w:rPr>
                <w:rFonts w:ascii="Arial" w:hAnsi="Arial"/>
                <w:color w:val="2D3748"/>
                <w:sz w:val="18"/>
              </w:rPr>
              <w:t>Commercial Kitchens, Hotels, Cloud Kitchens</w:t>
            </w:r>
          </w:p>
        </w:tc>
      </w:tr>
      <w:tr>
        <w:tc>
          <w:tcPr>
            <w:tcW w:type="dxa" w:w="2304"/>
            <w:shd w:fill="FFFFFF"/>
            <w:tcMar>
              <w:top w:w="100" w:type="dxa"/>
              <w:bottom w:w="100" w:type="dxa"/>
              <w:left w:w="140" w:type="dxa"/>
              <w:right w:w="140" w:type="dxa"/>
            </w:tcMar>
          </w:tcPr>
          <w:p>
            <w:r>
              <w:rPr>
                <w:rFonts w:ascii="Arial" w:hAnsi="Arial"/>
                <w:color w:val="2D3748"/>
                <w:sz w:val="18"/>
              </w:rPr>
              <w:t>Events &amp; Luxury Venue Turnover</w:t>
            </w:r>
          </w:p>
        </w:tc>
        <w:tc>
          <w:tcPr>
            <w:tcW w:type="dxa" w:w="3888"/>
            <w:shd w:fill="FFFFFF"/>
            <w:tcMar>
              <w:top w:w="100" w:type="dxa"/>
              <w:bottom w:w="100" w:type="dxa"/>
              <w:left w:w="140" w:type="dxa"/>
              <w:right w:w="140" w:type="dxa"/>
            </w:tcMar>
          </w:tcPr>
          <w:p>
            <w:r>
              <w:rPr>
                <w:rFonts w:ascii="Arial" w:hAnsi="Arial"/>
                <w:color w:val="2D3748"/>
                <w:sz w:val="18"/>
              </w:rPr>
              <w:t>High-velocity 60-minute complete room turnover for grand ballrooms, banquets, and convention halls with furniture resets, carpet vacuuming, and trash evacuation.</w:t>
            </w:r>
          </w:p>
        </w:tc>
        <w:tc>
          <w:tcPr>
            <w:tcW w:type="dxa" w:w="1440"/>
            <w:shd w:fill="FFFFFF"/>
            <w:tcMar>
              <w:top w:w="100" w:type="dxa"/>
              <w:bottom w:w="100" w:type="dxa"/>
              <w:left w:w="140" w:type="dxa"/>
              <w:right w:w="140" w:type="dxa"/>
            </w:tcMar>
          </w:tcPr>
          <w:p>
            <w:r>
              <w:rPr>
                <w:rFonts w:ascii="Arial" w:hAnsi="Arial"/>
                <w:color w:val="2D3748"/>
                <w:sz w:val="18"/>
              </w:rPr>
              <w:t>60-Min Turnover SLA</w:t>
            </w:r>
          </w:p>
        </w:tc>
        <w:tc>
          <w:tcPr>
            <w:tcW w:type="dxa" w:w="1728"/>
            <w:shd w:fill="FFFFFF"/>
            <w:tcMar>
              <w:top w:w="100" w:type="dxa"/>
              <w:bottom w:w="100" w:type="dxa"/>
              <w:left w:w="140" w:type="dxa"/>
              <w:right w:w="140" w:type="dxa"/>
            </w:tcMar>
          </w:tcPr>
          <w:p>
            <w:r>
              <w:rPr>
                <w:rFonts w:ascii="Arial" w:hAnsi="Arial"/>
                <w:color w:val="2D3748"/>
                <w:sz w:val="18"/>
              </w:rPr>
              <w:t>Banquet Halls, Wedding Venues, Event Spaces</w:t>
            </w:r>
          </w:p>
        </w:tc>
      </w:tr>
      <w:tr>
        <w:tc>
          <w:tcPr>
            <w:tcW w:type="dxa" w:w="2304"/>
            <w:shd w:fill="F8FAFC"/>
            <w:tcMar>
              <w:top w:w="100" w:type="dxa"/>
              <w:bottom w:w="100" w:type="dxa"/>
              <w:left w:w="140" w:type="dxa"/>
              <w:right w:w="140" w:type="dxa"/>
            </w:tcMar>
          </w:tcPr>
          <w:p>
            <w:r>
              <w:rPr>
                <w:rFonts w:ascii="Arial" w:hAnsi="Arial"/>
                <w:color w:val="2D3748"/>
                <w:sz w:val="18"/>
              </w:rPr>
              <w:t>Hospitality Manpower &amp; Stewarding</w:t>
            </w:r>
          </w:p>
        </w:tc>
        <w:tc>
          <w:tcPr>
            <w:tcW w:type="dxa" w:w="3888"/>
            <w:shd w:fill="F8FAFC"/>
            <w:tcMar>
              <w:top w:w="100" w:type="dxa"/>
              <w:bottom w:w="100" w:type="dxa"/>
              <w:left w:w="140" w:type="dxa"/>
              <w:right w:w="140" w:type="dxa"/>
            </w:tcMar>
          </w:tcPr>
          <w:p>
            <w:r>
              <w:rPr>
                <w:rFonts w:ascii="Arial" w:hAnsi="Arial"/>
                <w:color w:val="2D3748"/>
                <w:sz w:val="18"/>
              </w:rPr>
              <w:t>WSQ-certified dishwashers, kitchen stewards, housekeeping room attendants, and banquet servers deployed on flexible contract models.</w:t>
            </w:r>
          </w:p>
        </w:tc>
        <w:tc>
          <w:tcPr>
            <w:tcW w:type="dxa" w:w="1440"/>
            <w:shd w:fill="F8FAFC"/>
            <w:tcMar>
              <w:top w:w="100" w:type="dxa"/>
              <w:bottom w:w="100" w:type="dxa"/>
              <w:left w:w="140" w:type="dxa"/>
              <w:right w:w="140" w:type="dxa"/>
            </w:tcMar>
          </w:tcPr>
          <w:p>
            <w:r>
              <w:rPr>
                <w:rFonts w:ascii="Arial" w:hAnsi="Arial"/>
                <w:color w:val="2D3748"/>
                <w:sz w:val="18"/>
              </w:rPr>
              <w:t>100% Turnout Guarantee</w:t>
            </w:r>
          </w:p>
        </w:tc>
        <w:tc>
          <w:tcPr>
            <w:tcW w:type="dxa" w:w="1728"/>
            <w:shd w:fill="F8FAFC"/>
            <w:tcMar>
              <w:top w:w="100" w:type="dxa"/>
              <w:bottom w:w="100" w:type="dxa"/>
              <w:left w:w="140" w:type="dxa"/>
              <w:right w:w="140" w:type="dxa"/>
            </w:tcMar>
          </w:tcPr>
          <w:p>
            <w:r>
              <w:rPr>
                <w:rFonts w:ascii="Arial" w:hAnsi="Arial"/>
                <w:color w:val="2D3748"/>
                <w:sz w:val="18"/>
              </w:rPr>
              <w:t>Hotels, Fine Dining, Commercial Restaurants</w:t>
            </w:r>
          </w:p>
        </w:tc>
      </w:tr>
      <w:tr>
        <w:tc>
          <w:tcPr>
            <w:tcW w:type="dxa" w:w="2304"/>
            <w:shd w:fill="FFFFFF"/>
            <w:tcMar>
              <w:top w:w="100" w:type="dxa"/>
              <w:bottom w:w="100" w:type="dxa"/>
              <w:left w:w="140" w:type="dxa"/>
              <w:right w:w="140" w:type="dxa"/>
            </w:tcMar>
          </w:tcPr>
          <w:p>
            <w:r>
              <w:rPr>
                <w:rFonts w:ascii="Arial" w:hAnsi="Arial"/>
                <w:color w:val="2D3748"/>
                <w:sz w:val="18"/>
              </w:rPr>
              <w:t>High-Rise Façade &amp; Rope Access</w:t>
            </w:r>
          </w:p>
        </w:tc>
        <w:tc>
          <w:tcPr>
            <w:tcW w:type="dxa" w:w="3888"/>
            <w:shd w:fill="FFFFFF"/>
            <w:tcMar>
              <w:top w:w="100" w:type="dxa"/>
              <w:bottom w:w="100" w:type="dxa"/>
              <w:left w:w="140" w:type="dxa"/>
              <w:right w:w="140" w:type="dxa"/>
            </w:tcMar>
          </w:tcPr>
          <w:p>
            <w:r>
              <w:rPr>
                <w:rFonts w:ascii="Arial" w:hAnsi="Arial"/>
                <w:color w:val="2D3748"/>
                <w:sz w:val="18"/>
              </w:rPr>
              <w:t>IRATA-certified Level 3 rope access technicians for exterior glass cleaning, architectural façade maintenance, and high-rise curtain wall restoration.</w:t>
            </w:r>
          </w:p>
        </w:tc>
        <w:tc>
          <w:tcPr>
            <w:tcW w:type="dxa" w:w="1440"/>
            <w:shd w:fill="FFFFFF"/>
            <w:tcMar>
              <w:top w:w="100" w:type="dxa"/>
              <w:bottom w:w="100" w:type="dxa"/>
              <w:left w:w="140" w:type="dxa"/>
              <w:right w:w="140" w:type="dxa"/>
            </w:tcMar>
          </w:tcPr>
          <w:p>
            <w:r>
              <w:rPr>
                <w:rFonts w:ascii="Arial" w:hAnsi="Arial"/>
                <w:color w:val="2D3748"/>
                <w:sz w:val="18"/>
              </w:rPr>
              <w:t>Zero-Accident Protocol</w:t>
            </w:r>
          </w:p>
        </w:tc>
        <w:tc>
          <w:tcPr>
            <w:tcW w:type="dxa" w:w="1728"/>
            <w:shd w:fill="FFFFFF"/>
            <w:tcMar>
              <w:top w:w="100" w:type="dxa"/>
              <w:bottom w:w="100" w:type="dxa"/>
              <w:left w:w="140" w:type="dxa"/>
              <w:right w:w="140" w:type="dxa"/>
            </w:tcMar>
          </w:tcPr>
          <w:p>
            <w:r>
              <w:rPr>
                <w:rFonts w:ascii="Arial" w:hAnsi="Arial"/>
                <w:color w:val="2D3748"/>
                <w:sz w:val="18"/>
              </w:rPr>
              <w:t>Hotel Towers, Commercial Skyscrapers, Glass Façades</w:t>
            </w:r>
          </w:p>
        </w:tc>
      </w:tr>
      <w:tr>
        <w:tc>
          <w:tcPr>
            <w:tcW w:type="dxa" w:w="2304"/>
            <w:shd w:fill="F8FAFC"/>
            <w:tcMar>
              <w:top w:w="100" w:type="dxa"/>
              <w:bottom w:w="100" w:type="dxa"/>
              <w:left w:w="140" w:type="dxa"/>
              <w:right w:w="140" w:type="dxa"/>
            </w:tcMar>
          </w:tcPr>
          <w:p>
            <w:r>
              <w:rPr>
                <w:rFonts w:ascii="Arial" w:hAnsi="Arial"/>
                <w:color w:val="2D3748"/>
                <w:sz w:val="18"/>
              </w:rPr>
              <w:t>Disinfection &amp; Indoor Air Quality</w:t>
            </w:r>
          </w:p>
        </w:tc>
        <w:tc>
          <w:tcPr>
            <w:tcW w:type="dxa" w:w="3888"/>
            <w:shd w:fill="F8FAFC"/>
            <w:tcMar>
              <w:top w:w="100" w:type="dxa"/>
              <w:bottom w:w="100" w:type="dxa"/>
              <w:left w:w="140" w:type="dxa"/>
              <w:right w:w="140" w:type="dxa"/>
            </w:tcMar>
          </w:tcPr>
          <w:p>
            <w:r>
              <w:rPr>
                <w:rFonts w:ascii="Arial" w:hAnsi="Arial"/>
                <w:color w:val="2D3748"/>
                <w:sz w:val="18"/>
              </w:rPr>
              <w:t>Medical-grade hospital disinfectant misting, IAQ continuous particulate tracking, and HVAC duct decontamination combating airborne contaminants.</w:t>
            </w:r>
          </w:p>
        </w:tc>
        <w:tc>
          <w:tcPr>
            <w:tcW w:type="dxa" w:w="1440"/>
            <w:shd w:fill="F8FAFC"/>
            <w:tcMar>
              <w:top w:w="100" w:type="dxa"/>
              <w:bottom w:w="100" w:type="dxa"/>
              <w:left w:w="140" w:type="dxa"/>
              <w:right w:w="140" w:type="dxa"/>
            </w:tcMar>
          </w:tcPr>
          <w:p>
            <w:r>
              <w:rPr>
                <w:rFonts w:ascii="Arial" w:hAnsi="Arial"/>
                <w:color w:val="2D3748"/>
                <w:sz w:val="18"/>
              </w:rPr>
              <w:t>99.99% Pathogen Kill</w:t>
            </w:r>
          </w:p>
        </w:tc>
        <w:tc>
          <w:tcPr>
            <w:tcW w:type="dxa" w:w="1728"/>
            <w:shd w:fill="F8FAFC"/>
            <w:tcMar>
              <w:top w:w="100" w:type="dxa"/>
              <w:bottom w:w="100" w:type="dxa"/>
              <w:left w:w="140" w:type="dxa"/>
              <w:right w:w="140" w:type="dxa"/>
            </w:tcMar>
          </w:tcPr>
          <w:p>
            <w:r>
              <w:rPr>
                <w:rFonts w:ascii="Arial" w:hAnsi="Arial"/>
                <w:color w:val="2D3748"/>
                <w:sz w:val="18"/>
              </w:rPr>
              <w:t>Hotel Suites, Cleanrooms, Corporate Offices</w:t>
            </w:r>
          </w:p>
        </w:tc>
      </w:tr>
      <w:tr>
        <w:tc>
          <w:tcPr>
            <w:tcW w:type="dxa" w:w="2304"/>
            <w:shd w:fill="FFFFFF"/>
            <w:tcMar>
              <w:top w:w="100" w:type="dxa"/>
              <w:bottom w:w="100" w:type="dxa"/>
              <w:left w:w="140" w:type="dxa"/>
              <w:right w:w="140" w:type="dxa"/>
            </w:tcMar>
          </w:tcPr>
          <w:p>
            <w:r>
              <w:rPr>
                <w:rFonts w:ascii="Arial" w:hAnsi="Arial"/>
                <w:color w:val="2D3748"/>
                <w:sz w:val="18"/>
              </w:rPr>
              <w:t>Post-Construction Handover Clean</w:t>
            </w:r>
          </w:p>
        </w:tc>
        <w:tc>
          <w:tcPr>
            <w:tcW w:type="dxa" w:w="3888"/>
            <w:shd w:fill="FFFFFF"/>
            <w:tcMar>
              <w:top w:w="100" w:type="dxa"/>
              <w:bottom w:w="100" w:type="dxa"/>
              <w:left w:w="140" w:type="dxa"/>
              <w:right w:w="140" w:type="dxa"/>
            </w:tcMar>
          </w:tcPr>
          <w:p>
            <w:r>
              <w:rPr>
                <w:rFonts w:ascii="Arial" w:hAnsi="Arial"/>
                <w:color w:val="2D3748"/>
                <w:sz w:val="18"/>
              </w:rPr>
              <w:t>Heavy debris evacuation, fine dust extraction, grout haze removal, and white-glove handover cleaning ensuring immediate operational occupancy.</w:t>
            </w:r>
          </w:p>
        </w:tc>
        <w:tc>
          <w:tcPr>
            <w:tcW w:type="dxa" w:w="1440"/>
            <w:shd w:fill="FFFFFF"/>
            <w:tcMar>
              <w:top w:w="100" w:type="dxa"/>
              <w:bottom w:w="100" w:type="dxa"/>
              <w:left w:w="140" w:type="dxa"/>
              <w:right w:w="140" w:type="dxa"/>
            </w:tcMar>
          </w:tcPr>
          <w:p>
            <w:r>
              <w:rPr>
                <w:rFonts w:ascii="Arial" w:hAnsi="Arial"/>
                <w:color w:val="2D3748"/>
                <w:sz w:val="18"/>
              </w:rPr>
              <w:t>Zero-Defect Handover</w:t>
            </w:r>
          </w:p>
        </w:tc>
        <w:tc>
          <w:tcPr>
            <w:tcW w:type="dxa" w:w="1728"/>
            <w:shd w:fill="FFFFFF"/>
            <w:tcMar>
              <w:top w:w="100" w:type="dxa"/>
              <w:bottom w:w="100" w:type="dxa"/>
              <w:left w:w="140" w:type="dxa"/>
              <w:right w:w="140" w:type="dxa"/>
            </w:tcMar>
          </w:tcPr>
          <w:p>
            <w:r>
              <w:rPr>
                <w:rFonts w:ascii="Arial" w:hAnsi="Arial"/>
                <w:color w:val="2D3748"/>
                <w:sz w:val="18"/>
              </w:rPr>
              <w:t>New Hotels, F&amp;B Renovations, Retail Buildouts</w:t>
            </w:r>
          </w:p>
        </w:tc>
      </w:tr>
    </w:tbl>
    <w:p>
      <w:r>
        <w:br w:type="page"/>
      </w:r>
    </w:p>
    <w:p>
      <w:pPr>
        <w:keepNext/>
        <w:spacing w:before="360" w:after="120"/>
      </w:pPr>
      <w:r>
        <w:rPr>
          <w:rFonts w:ascii="Arial" w:hAnsi="Arial"/>
          <w:b/>
          <w:color w:val="032147"/>
          <w:sz w:val="32"/>
        </w:rPr>
        <w:t>6.0 Functional Workflows &amp; End-to-End User Journeys</w:t>
      </w:r>
    </w:p>
    <w:p>
      <w:pPr>
        <w:spacing w:line="276" w:lineRule="auto" w:after="100"/>
      </w:pPr>
      <w:r>
        <w:rPr>
          <w:rFonts w:ascii="Arial" w:hAnsi="Arial"/>
          <w:color w:val="2D3748"/>
        </w:rPr>
        <w:t>The OPHRON platform manages three critical operational workflows ensuring transparency from lead intake to field service completion:</w:t>
      </w:r>
    </w:p>
    <w:p>
      <w:pPr>
        <w:keepNext/>
        <w:spacing w:before="280" w:after="80"/>
      </w:pPr>
      <w:r>
        <w:rPr>
          <w:rFonts w:ascii="Arial" w:hAnsi="Arial"/>
          <w:b/>
          <w:color w:val="032147"/>
          <w:sz w:val="25"/>
        </w:rPr>
        <w:t>6.1 Client Platform Audit &amp; Onboarding Workflow</w:t>
      </w:r>
    </w:p>
    <w:p>
      <w:pPr>
        <w:spacing w:line="276" w:lineRule="auto" w:after="100"/>
      </w:pPr>
      <w:r>
        <w:rPr>
          <w:rFonts w:ascii="Arial" w:hAnsi="Arial"/>
          <w:color w:val="2D3748"/>
        </w:rPr>
        <w:t>A structured 4-stage process governing initial client qualification and contract execution:</w:t>
      </w:r>
    </w:p>
    <w:p>
      <w:pPr>
        <w:pStyle w:val="ListBullet"/>
        <w:spacing w:line="276" w:lineRule="auto" w:after="60"/>
      </w:pPr>
      <w:r>
        <w:rPr>
          <w:rFonts w:ascii="Arial" w:hAnsi="Arial"/>
          <w:b/>
          <w:color w:val="032147"/>
        </w:rPr>
        <w:t xml:space="preserve">Stage 1: Intake &amp; Facility Parameters: </w:t>
      </w:r>
      <w:r>
        <w:rPr>
          <w:rFonts w:ascii="Arial" w:hAnsi="Arial"/>
          <w:color w:val="2D3748"/>
        </w:rPr>
        <w:t>Client submits venue parameters, square footage, and required service pillars via the website contact form or WhatsApp hotline.</w:t>
      </w:r>
    </w:p>
    <w:p>
      <w:pPr>
        <w:pStyle w:val="ListBullet"/>
        <w:spacing w:line="276" w:lineRule="auto" w:after="60"/>
      </w:pPr>
      <w:r>
        <w:rPr>
          <w:rFonts w:ascii="Arial" w:hAnsi="Arial"/>
          <w:b/>
          <w:color w:val="032147"/>
        </w:rPr>
        <w:t xml:space="preserve">Stage 2: On-Site Diagnostic Audit: </w:t>
      </w:r>
      <w:r>
        <w:rPr>
          <w:rFonts w:ascii="Arial" w:hAnsi="Arial"/>
          <w:color w:val="2D3748"/>
        </w:rPr>
        <w:t>OPHRON operational engineers conduct an on-site physical walk-through, gloss meter testing, and kitchen duct inspection within 24 hours.</w:t>
      </w:r>
    </w:p>
    <w:p>
      <w:pPr>
        <w:pStyle w:val="ListBullet"/>
        <w:spacing w:line="276" w:lineRule="auto" w:after="60"/>
      </w:pPr>
      <w:r>
        <w:rPr>
          <w:rFonts w:ascii="Arial" w:hAnsi="Arial"/>
          <w:b/>
          <w:color w:val="032147"/>
        </w:rPr>
        <w:t xml:space="preserve">Stage 3: Unified SLA Proposal: </w:t>
      </w:r>
      <w:r>
        <w:rPr>
          <w:rFonts w:ascii="Arial" w:hAnsi="Arial"/>
          <w:color w:val="2D3748"/>
        </w:rPr>
        <w:t>Client receives a unified operational agreement consolidating manpower, hygiene, and facility services into a single transparent monthly billing schedule.</w:t>
      </w:r>
    </w:p>
    <w:p>
      <w:pPr>
        <w:pStyle w:val="ListBullet"/>
        <w:spacing w:line="276" w:lineRule="auto" w:after="60"/>
      </w:pPr>
      <w:r>
        <w:rPr>
          <w:rFonts w:ascii="Arial" w:hAnsi="Arial"/>
          <w:b/>
          <w:color w:val="032147"/>
        </w:rPr>
        <w:t xml:space="preserve">Stage 4: Operational Mobilization: </w:t>
      </w:r>
      <w:r>
        <w:rPr>
          <w:rFonts w:ascii="Arial" w:hAnsi="Arial"/>
          <w:color w:val="2D3748"/>
        </w:rPr>
        <w:t>Dedicated Account Director assigned, WSQ crews scheduled, and IoT telemetry dashboards activated.</w:t>
      </w:r>
    </w:p>
    <w:p>
      <w:pPr>
        <w:keepNext/>
        <w:spacing w:before="280" w:after="80"/>
      </w:pPr>
      <w:r>
        <w:rPr>
          <w:rFonts w:ascii="Arial" w:hAnsi="Arial"/>
          <w:b/>
          <w:color w:val="032147"/>
          <w:sz w:val="25"/>
        </w:rPr>
        <w:t>6.2 Emergency Rapid Venue Reset Workflow</w:t>
      </w:r>
    </w:p>
    <w:p>
      <w:pPr>
        <w:spacing w:line="276" w:lineRule="auto" w:after="100"/>
      </w:pPr>
      <w:r>
        <w:rPr>
          <w:rFonts w:ascii="Arial" w:hAnsi="Arial"/>
          <w:color w:val="2D3748"/>
        </w:rPr>
        <w:t>A time-critical protocol activated by luxury hotel GMs when a ballroom requires rapid transformation between consecutive high-profile events (e.g., afternoon corporate summit to evening gala wedding):</w:t>
      </w:r>
    </w:p>
    <w:p>
      <w:pPr>
        <w:pStyle w:val="ListBullet"/>
        <w:spacing w:line="276" w:lineRule="auto" w:after="60"/>
      </w:pPr>
      <w:r>
        <w:rPr>
          <w:rFonts w:ascii="Arial" w:hAnsi="Arial"/>
          <w:b/>
          <w:color w:val="032147"/>
        </w:rPr>
        <w:t xml:space="preserve">Step 1: Emergency Callout: </w:t>
      </w:r>
      <w:r>
        <w:rPr>
          <w:rFonts w:ascii="Arial" w:hAnsi="Arial"/>
          <w:color w:val="2D3748"/>
        </w:rPr>
        <w:t>Hotel GM contacts the 24/7 hotline or initiates an emergency reset trigger.</w:t>
      </w:r>
    </w:p>
    <w:p>
      <w:pPr>
        <w:pStyle w:val="ListBullet"/>
        <w:spacing w:line="276" w:lineRule="auto" w:after="60"/>
      </w:pPr>
      <w:r>
        <w:rPr>
          <w:rFonts w:ascii="Arial" w:hAnsi="Arial"/>
          <w:b/>
          <w:color w:val="032147"/>
        </w:rPr>
        <w:t xml:space="preserve">Step 2: Deployment: </w:t>
      </w:r>
      <w:r>
        <w:rPr>
          <w:rFonts w:ascii="Arial" w:hAnsi="Arial"/>
          <w:color w:val="2D3748"/>
        </w:rPr>
        <w:t>Designated rapid-response team arrives on-site within 30 minutes with industrial machinery.</w:t>
      </w:r>
    </w:p>
    <w:p>
      <w:pPr>
        <w:pStyle w:val="ListBullet"/>
        <w:spacing w:line="276" w:lineRule="auto" w:after="60"/>
      </w:pPr>
      <w:r>
        <w:rPr>
          <w:rFonts w:ascii="Arial" w:hAnsi="Arial"/>
          <w:b/>
          <w:color w:val="032147"/>
        </w:rPr>
        <w:t xml:space="preserve">Step 3: Execution: </w:t>
      </w:r>
      <w:r>
        <w:rPr>
          <w:rFonts w:ascii="Arial" w:hAnsi="Arial"/>
          <w:color w:val="2D3748"/>
        </w:rPr>
        <w:t>Coordinated 4-zone sweep: furniture teardown, carpet planetary scrub, floor polishing, and trash evacuation.</w:t>
      </w:r>
    </w:p>
    <w:p>
      <w:pPr>
        <w:pStyle w:val="ListBullet"/>
        <w:spacing w:line="276" w:lineRule="auto" w:after="60"/>
      </w:pPr>
      <w:r>
        <w:rPr>
          <w:rFonts w:ascii="Arial" w:hAnsi="Arial"/>
          <w:b/>
          <w:color w:val="032147"/>
        </w:rPr>
        <w:t xml:space="preserve">Step 4: Quality Sign-Off: </w:t>
      </w:r>
      <w:r>
        <w:rPr>
          <w:rFonts w:ascii="Arial" w:hAnsi="Arial"/>
          <w:color w:val="2D3748"/>
        </w:rPr>
        <w:t>Digital handover signed off with supervisor checklist and gloss inspection verified before event guests arrive.</w:t>
      </w:r>
    </w:p>
    <w:p>
      <w:r>
        <w:br w:type="page"/>
      </w:r>
    </w:p>
    <w:p>
      <w:pPr>
        <w:keepNext/>
        <w:spacing w:before="360" w:after="120"/>
      </w:pPr>
      <w:r>
        <w:rPr>
          <w:rFonts w:ascii="Arial" w:hAnsi="Arial"/>
          <w:b/>
          <w:color w:val="032147"/>
          <w:sz w:val="32"/>
        </w:rPr>
        <w:t>7.0 Technical Systems Architecture &amp; Engineering Stack</w:t>
      </w:r>
    </w:p>
    <w:p>
      <w:pPr>
        <w:spacing w:line="276" w:lineRule="auto" w:after="100"/>
      </w:pPr>
      <w:r>
        <w:rPr>
          <w:rFonts w:ascii="Arial" w:hAnsi="Arial"/>
          <w:color w:val="2D3748"/>
        </w:rPr>
        <w:t>The OPHRON digital platform is engineered to modern enterprise frontend standards, balancing rich cinematic aesthetics with high-performance responsive execution:</w:t>
      </w:r>
    </w:p>
    <w:tbl>
      <w:tblPr>
        <w:tblW w:type="auto" w:w="0"/>
        <w:jc w:val="center"/>
        <w:tblLook w:firstColumn="1" w:firstRow="1" w:lastColumn="0" w:lastRow="0" w:noHBand="0" w:noVBand="1" w:val="04A0"/>
      </w:tblPr>
      <w:tblGrid>
        <w:gridCol w:w="3010"/>
        <w:gridCol w:w="3010"/>
        <w:gridCol w:w="3010"/>
      </w:tblGrid>
      <w:tr>
        <w:trPr>
          <w:tblHeader/>
        </w:trPr>
        <w:tc>
          <w:tcPr>
            <w:tcW w:type="dxa" w:w="2160"/>
            <w:shd w:fill="032147"/>
            <w:tcMar>
              <w:top w:w="120" w:type="dxa"/>
              <w:bottom w:w="120" w:type="dxa"/>
              <w:left w:w="140" w:type="dxa"/>
              <w:right w:w="140" w:type="dxa"/>
            </w:tcMar>
          </w:tcPr>
          <w:p>
            <w:r>
              <w:rPr>
                <w:rFonts w:ascii="Arial" w:hAnsi="Arial"/>
                <w:b/>
                <w:color w:val="FFFFFF"/>
                <w:sz w:val="19"/>
              </w:rPr>
              <w:t>Engineering Tier</w:t>
            </w:r>
          </w:p>
        </w:tc>
        <w:tc>
          <w:tcPr>
            <w:tcW w:type="dxa" w:w="2592"/>
            <w:shd w:fill="032147"/>
            <w:tcMar>
              <w:top w:w="120" w:type="dxa"/>
              <w:bottom w:w="120" w:type="dxa"/>
              <w:left w:w="140" w:type="dxa"/>
              <w:right w:w="140" w:type="dxa"/>
            </w:tcMar>
          </w:tcPr>
          <w:p>
            <w:r>
              <w:rPr>
                <w:rFonts w:ascii="Arial" w:hAnsi="Arial"/>
                <w:b/>
                <w:color w:val="FFFFFF"/>
                <w:sz w:val="19"/>
              </w:rPr>
              <w:t>Technology &amp; Version</w:t>
            </w:r>
          </w:p>
        </w:tc>
        <w:tc>
          <w:tcPr>
            <w:tcW w:type="dxa" w:w="4608"/>
            <w:shd w:fill="032147"/>
            <w:tcMar>
              <w:top w:w="120" w:type="dxa"/>
              <w:bottom w:w="120" w:type="dxa"/>
              <w:left w:w="140" w:type="dxa"/>
              <w:right w:w="140" w:type="dxa"/>
            </w:tcMar>
          </w:tcPr>
          <w:p>
            <w:r>
              <w:rPr>
                <w:rFonts w:ascii="Arial" w:hAnsi="Arial"/>
                <w:b/>
                <w:color w:val="FFFFFF"/>
                <w:sz w:val="19"/>
              </w:rPr>
              <w:t>Architectural Role &amp; Implementation Detail</w:t>
            </w:r>
          </w:p>
        </w:tc>
      </w:tr>
      <w:tr>
        <w:tc>
          <w:tcPr>
            <w:tcW w:type="dxa" w:w="2160"/>
            <w:shd w:fill="FFFFFF"/>
            <w:tcMar>
              <w:top w:w="100" w:type="dxa"/>
              <w:bottom w:w="100" w:type="dxa"/>
              <w:left w:w="140" w:type="dxa"/>
              <w:right w:w="140" w:type="dxa"/>
            </w:tcMar>
          </w:tcPr>
          <w:p>
            <w:r>
              <w:rPr>
                <w:rFonts w:ascii="Arial" w:hAnsi="Arial"/>
                <w:color w:val="2D3748"/>
                <w:sz w:val="18"/>
              </w:rPr>
              <w:t>Frontend Framework</w:t>
            </w:r>
          </w:p>
        </w:tc>
        <w:tc>
          <w:tcPr>
            <w:tcW w:type="dxa" w:w="2592"/>
            <w:shd w:fill="FFFFFF"/>
            <w:tcMar>
              <w:top w:w="100" w:type="dxa"/>
              <w:bottom w:w="100" w:type="dxa"/>
              <w:left w:w="140" w:type="dxa"/>
              <w:right w:w="140" w:type="dxa"/>
            </w:tcMar>
          </w:tcPr>
          <w:p>
            <w:r>
              <w:rPr>
                <w:rFonts w:ascii="Arial" w:hAnsi="Arial"/>
                <w:color w:val="2D3748"/>
                <w:sz w:val="18"/>
              </w:rPr>
              <w:t>React 19 (TypeScript)</w:t>
            </w:r>
          </w:p>
        </w:tc>
        <w:tc>
          <w:tcPr>
            <w:tcW w:type="dxa" w:w="4608"/>
            <w:shd w:fill="FFFFFF"/>
            <w:tcMar>
              <w:top w:w="100" w:type="dxa"/>
              <w:bottom w:w="100" w:type="dxa"/>
              <w:left w:w="140" w:type="dxa"/>
              <w:right w:w="140" w:type="dxa"/>
            </w:tcMar>
          </w:tcPr>
          <w:p>
            <w:r>
              <w:rPr>
                <w:rFonts w:ascii="Arial" w:hAnsi="Arial"/>
                <w:color w:val="2D3748"/>
                <w:sz w:val="18"/>
              </w:rPr>
              <w:t>Component-driven modular architecture with strict static typing.</w:t>
            </w:r>
          </w:p>
        </w:tc>
      </w:tr>
      <w:tr>
        <w:tc>
          <w:tcPr>
            <w:tcW w:type="dxa" w:w="2160"/>
            <w:shd w:fill="F8FAFC"/>
            <w:tcMar>
              <w:top w:w="100" w:type="dxa"/>
              <w:bottom w:w="100" w:type="dxa"/>
              <w:left w:w="140" w:type="dxa"/>
              <w:right w:w="140" w:type="dxa"/>
            </w:tcMar>
          </w:tcPr>
          <w:p>
            <w:r>
              <w:rPr>
                <w:rFonts w:ascii="Arial" w:hAnsi="Arial"/>
                <w:color w:val="2D3748"/>
                <w:sz w:val="18"/>
              </w:rPr>
              <w:t>Build Tool &amp; Bundler</w:t>
            </w:r>
          </w:p>
        </w:tc>
        <w:tc>
          <w:tcPr>
            <w:tcW w:type="dxa" w:w="2592"/>
            <w:shd w:fill="F8FAFC"/>
            <w:tcMar>
              <w:top w:w="100" w:type="dxa"/>
              <w:bottom w:w="100" w:type="dxa"/>
              <w:left w:w="140" w:type="dxa"/>
              <w:right w:w="140" w:type="dxa"/>
            </w:tcMar>
          </w:tcPr>
          <w:p>
            <w:r>
              <w:rPr>
                <w:rFonts w:ascii="Arial" w:hAnsi="Arial"/>
                <w:color w:val="2D3748"/>
                <w:sz w:val="18"/>
              </w:rPr>
              <w:t>Vite 7.3.2</w:t>
            </w:r>
          </w:p>
        </w:tc>
        <w:tc>
          <w:tcPr>
            <w:tcW w:type="dxa" w:w="4608"/>
            <w:shd w:fill="F8FAFC"/>
            <w:tcMar>
              <w:top w:w="100" w:type="dxa"/>
              <w:bottom w:w="100" w:type="dxa"/>
              <w:left w:w="140" w:type="dxa"/>
              <w:right w:w="140" w:type="dxa"/>
            </w:tcMar>
          </w:tcPr>
          <w:p>
            <w:r>
              <w:rPr>
                <w:rFonts w:ascii="Arial" w:hAnsi="Arial"/>
                <w:color w:val="2D3748"/>
                <w:sz w:val="18"/>
              </w:rPr>
              <w:t>Sub-second HMR and optimized production asset chunking.</w:t>
            </w:r>
          </w:p>
        </w:tc>
      </w:tr>
      <w:tr>
        <w:tc>
          <w:tcPr>
            <w:tcW w:type="dxa" w:w="2160"/>
            <w:shd w:fill="FFFFFF"/>
            <w:tcMar>
              <w:top w:w="100" w:type="dxa"/>
              <w:bottom w:w="100" w:type="dxa"/>
              <w:left w:w="140" w:type="dxa"/>
              <w:right w:w="140" w:type="dxa"/>
            </w:tcMar>
          </w:tcPr>
          <w:p>
            <w:r>
              <w:rPr>
                <w:rFonts w:ascii="Arial" w:hAnsi="Arial"/>
                <w:color w:val="2D3748"/>
                <w:sz w:val="18"/>
              </w:rPr>
              <w:t>CSS &amp; Design Engine</w:t>
            </w:r>
          </w:p>
        </w:tc>
        <w:tc>
          <w:tcPr>
            <w:tcW w:type="dxa" w:w="2592"/>
            <w:shd w:fill="FFFFFF"/>
            <w:tcMar>
              <w:top w:w="100" w:type="dxa"/>
              <w:bottom w:w="100" w:type="dxa"/>
              <w:left w:w="140" w:type="dxa"/>
              <w:right w:w="140" w:type="dxa"/>
            </w:tcMar>
          </w:tcPr>
          <w:p>
            <w:r>
              <w:rPr>
                <w:rFonts w:ascii="Arial" w:hAnsi="Arial"/>
                <w:color w:val="2D3748"/>
                <w:sz w:val="18"/>
              </w:rPr>
              <w:t>Tailwind CSS v4</w:t>
            </w:r>
          </w:p>
        </w:tc>
        <w:tc>
          <w:tcPr>
            <w:tcW w:type="dxa" w:w="4608"/>
            <w:shd w:fill="FFFFFF"/>
            <w:tcMar>
              <w:top w:w="100" w:type="dxa"/>
              <w:bottom w:w="100" w:type="dxa"/>
              <w:left w:w="140" w:type="dxa"/>
              <w:right w:w="140" w:type="dxa"/>
            </w:tcMar>
          </w:tcPr>
          <w:p>
            <w:r>
              <w:rPr>
                <w:rFonts w:ascii="Arial" w:hAnsi="Arial"/>
                <w:color w:val="2D3748"/>
                <w:sz w:val="18"/>
              </w:rPr>
              <w:t>High-performance CSS engine with curated design tokens.</w:t>
            </w:r>
          </w:p>
        </w:tc>
      </w:tr>
      <w:tr>
        <w:tc>
          <w:tcPr>
            <w:tcW w:type="dxa" w:w="2160"/>
            <w:shd w:fill="F8FAFC"/>
            <w:tcMar>
              <w:top w:w="100" w:type="dxa"/>
              <w:bottom w:w="100" w:type="dxa"/>
              <w:left w:w="140" w:type="dxa"/>
              <w:right w:w="140" w:type="dxa"/>
            </w:tcMar>
          </w:tcPr>
          <w:p>
            <w:r>
              <w:rPr>
                <w:rFonts w:ascii="Arial" w:hAnsi="Arial"/>
                <w:color w:val="2D3748"/>
                <w:sz w:val="18"/>
              </w:rPr>
              <w:t>Motion &amp; Animation</w:t>
            </w:r>
          </w:p>
        </w:tc>
        <w:tc>
          <w:tcPr>
            <w:tcW w:type="dxa" w:w="2592"/>
            <w:shd w:fill="F8FAFC"/>
            <w:tcMar>
              <w:top w:w="100" w:type="dxa"/>
              <w:bottom w:w="100" w:type="dxa"/>
              <w:left w:w="140" w:type="dxa"/>
              <w:right w:w="140" w:type="dxa"/>
            </w:tcMar>
          </w:tcPr>
          <w:p>
            <w:r>
              <w:rPr>
                <w:rFonts w:ascii="Arial" w:hAnsi="Arial"/>
                <w:color w:val="2D3748"/>
                <w:sz w:val="18"/>
              </w:rPr>
              <w:t>GSAP 3.15 + ScrollTrigger</w:t>
            </w:r>
          </w:p>
        </w:tc>
        <w:tc>
          <w:tcPr>
            <w:tcW w:type="dxa" w:w="4608"/>
            <w:shd w:fill="F8FAFC"/>
            <w:tcMar>
              <w:top w:w="100" w:type="dxa"/>
              <w:bottom w:w="100" w:type="dxa"/>
              <w:left w:w="140" w:type="dxa"/>
              <w:right w:w="140" w:type="dxa"/>
            </w:tcMar>
          </w:tcPr>
          <w:p>
            <w:r>
              <w:rPr>
                <w:rFonts w:ascii="Arial" w:hAnsi="Arial"/>
                <w:color w:val="2D3748"/>
                <w:sz w:val="18"/>
              </w:rPr>
              <w:t>Smooth scroll triggers, timeline sequencing, and proactive reveals.</w:t>
            </w:r>
          </w:p>
        </w:tc>
      </w:tr>
      <w:tr>
        <w:tc>
          <w:tcPr>
            <w:tcW w:type="dxa" w:w="2160"/>
            <w:shd w:fill="FFFFFF"/>
            <w:tcMar>
              <w:top w:w="100" w:type="dxa"/>
              <w:bottom w:w="100" w:type="dxa"/>
              <w:left w:w="140" w:type="dxa"/>
              <w:right w:w="140" w:type="dxa"/>
            </w:tcMar>
          </w:tcPr>
          <w:p>
            <w:r>
              <w:rPr>
                <w:rFonts w:ascii="Arial" w:hAnsi="Arial"/>
                <w:color w:val="2D3748"/>
                <w:sz w:val="18"/>
              </w:rPr>
              <w:t>Scroll Smoothing</w:t>
            </w:r>
          </w:p>
        </w:tc>
        <w:tc>
          <w:tcPr>
            <w:tcW w:type="dxa" w:w="2592"/>
            <w:shd w:fill="FFFFFF"/>
            <w:tcMar>
              <w:top w:w="100" w:type="dxa"/>
              <w:bottom w:w="100" w:type="dxa"/>
              <w:left w:w="140" w:type="dxa"/>
              <w:right w:w="140" w:type="dxa"/>
            </w:tcMar>
          </w:tcPr>
          <w:p>
            <w:r>
              <w:rPr>
                <w:rFonts w:ascii="Arial" w:hAnsi="Arial"/>
                <w:color w:val="2D3748"/>
                <w:sz w:val="18"/>
              </w:rPr>
              <w:t>Lenis v1.3.26</w:t>
            </w:r>
          </w:p>
        </w:tc>
        <w:tc>
          <w:tcPr>
            <w:tcW w:type="dxa" w:w="4608"/>
            <w:shd w:fill="FFFFFF"/>
            <w:tcMar>
              <w:top w:w="100" w:type="dxa"/>
              <w:bottom w:w="100" w:type="dxa"/>
              <w:left w:w="140" w:type="dxa"/>
              <w:right w:w="140" w:type="dxa"/>
            </w:tcMar>
          </w:tcPr>
          <w:p>
            <w:r>
              <w:rPr>
                <w:rFonts w:ascii="Arial" w:hAnsi="Arial"/>
                <w:color w:val="2D3748"/>
                <w:sz w:val="18"/>
              </w:rPr>
              <w:t>Unified momentum-based smooth scrolling across touch and desktop.</w:t>
            </w:r>
          </w:p>
        </w:tc>
      </w:tr>
      <w:tr>
        <w:tc>
          <w:tcPr>
            <w:tcW w:type="dxa" w:w="2160"/>
            <w:shd w:fill="F8FAFC"/>
            <w:tcMar>
              <w:top w:w="100" w:type="dxa"/>
              <w:bottom w:w="100" w:type="dxa"/>
              <w:left w:w="140" w:type="dxa"/>
              <w:right w:w="140" w:type="dxa"/>
            </w:tcMar>
          </w:tcPr>
          <w:p>
            <w:r>
              <w:rPr>
                <w:rFonts w:ascii="Arial" w:hAnsi="Arial"/>
                <w:color w:val="2D3748"/>
                <w:sz w:val="18"/>
              </w:rPr>
              <w:t>Iconography</w:t>
            </w:r>
          </w:p>
        </w:tc>
        <w:tc>
          <w:tcPr>
            <w:tcW w:type="dxa" w:w="2592"/>
            <w:shd w:fill="F8FAFC"/>
            <w:tcMar>
              <w:top w:w="100" w:type="dxa"/>
              <w:bottom w:w="100" w:type="dxa"/>
              <w:left w:w="140" w:type="dxa"/>
              <w:right w:w="140" w:type="dxa"/>
            </w:tcMar>
          </w:tcPr>
          <w:p>
            <w:r>
              <w:rPr>
                <w:rFonts w:ascii="Arial" w:hAnsi="Arial"/>
                <w:color w:val="2D3748"/>
                <w:sz w:val="18"/>
              </w:rPr>
              <w:t>Lucide React v1.21</w:t>
            </w:r>
          </w:p>
        </w:tc>
        <w:tc>
          <w:tcPr>
            <w:tcW w:type="dxa" w:w="4608"/>
            <w:shd w:fill="F8FAFC"/>
            <w:tcMar>
              <w:top w:w="100" w:type="dxa"/>
              <w:bottom w:w="100" w:type="dxa"/>
              <w:left w:w="140" w:type="dxa"/>
              <w:right w:w="140" w:type="dxa"/>
            </w:tcMar>
          </w:tcPr>
          <w:p>
            <w:r>
              <w:rPr>
                <w:rFonts w:ascii="Arial" w:hAnsi="Arial"/>
                <w:color w:val="2D3748"/>
                <w:sz w:val="18"/>
              </w:rPr>
              <w:t>Lightweight, accessible tree-shakeable SVG icon primitives.</w:t>
            </w:r>
          </w:p>
        </w:tc>
      </w:tr>
      <w:tr>
        <w:tc>
          <w:tcPr>
            <w:tcW w:type="dxa" w:w="2160"/>
            <w:shd w:fill="FFFFFF"/>
            <w:tcMar>
              <w:top w:w="100" w:type="dxa"/>
              <w:bottom w:w="100" w:type="dxa"/>
              <w:left w:w="140" w:type="dxa"/>
              <w:right w:w="140" w:type="dxa"/>
            </w:tcMar>
          </w:tcPr>
          <w:p>
            <w:r>
              <w:rPr>
                <w:rFonts w:ascii="Arial" w:hAnsi="Arial"/>
                <w:color w:val="2D3748"/>
                <w:sz w:val="18"/>
              </w:rPr>
              <w:t>Form Automation</w:t>
            </w:r>
          </w:p>
        </w:tc>
        <w:tc>
          <w:tcPr>
            <w:tcW w:type="dxa" w:w="2592"/>
            <w:shd w:fill="FFFFFF"/>
            <w:tcMar>
              <w:top w:w="100" w:type="dxa"/>
              <w:bottom w:w="100" w:type="dxa"/>
              <w:left w:w="140" w:type="dxa"/>
              <w:right w:w="140" w:type="dxa"/>
            </w:tcMar>
          </w:tcPr>
          <w:p>
            <w:r>
              <w:rPr>
                <w:rFonts w:ascii="Arial" w:hAnsi="Arial"/>
                <w:color w:val="2D3748"/>
                <w:sz w:val="18"/>
              </w:rPr>
              <w:t>Google Apps Script Webhooks</w:t>
            </w:r>
          </w:p>
        </w:tc>
        <w:tc>
          <w:tcPr>
            <w:tcW w:type="dxa" w:w="4608"/>
            <w:shd w:fill="FFFFFF"/>
            <w:tcMar>
              <w:top w:w="100" w:type="dxa"/>
              <w:bottom w:w="100" w:type="dxa"/>
              <w:left w:w="140" w:type="dxa"/>
              <w:right w:w="140" w:type="dxa"/>
            </w:tcMar>
          </w:tcPr>
          <w:p>
            <w:r>
              <w:rPr>
                <w:rFonts w:ascii="Arial" w:hAnsi="Arial"/>
                <w:color w:val="2D3748"/>
                <w:sz w:val="18"/>
              </w:rPr>
              <w:t>Direct, serverless form processing with instant email and sheet dispatch.</w:t>
            </w:r>
          </w:p>
        </w:tc>
      </w:tr>
      <w:tr>
        <w:tc>
          <w:tcPr>
            <w:tcW w:type="dxa" w:w="2160"/>
            <w:shd w:fill="F8FAFC"/>
            <w:tcMar>
              <w:top w:w="100" w:type="dxa"/>
              <w:bottom w:w="100" w:type="dxa"/>
              <w:left w:w="140" w:type="dxa"/>
              <w:right w:w="140" w:type="dxa"/>
            </w:tcMar>
          </w:tcPr>
          <w:p>
            <w:r>
              <w:rPr>
                <w:rFonts w:ascii="Arial" w:hAnsi="Arial"/>
                <w:color w:val="2D3748"/>
                <w:sz w:val="18"/>
              </w:rPr>
              <w:t>Media Delivery</w:t>
            </w:r>
          </w:p>
        </w:tc>
        <w:tc>
          <w:tcPr>
            <w:tcW w:type="dxa" w:w="2592"/>
            <w:shd w:fill="F8FAFC"/>
            <w:tcMar>
              <w:top w:w="100" w:type="dxa"/>
              <w:bottom w:w="100" w:type="dxa"/>
              <w:left w:w="140" w:type="dxa"/>
              <w:right w:w="140" w:type="dxa"/>
            </w:tcMar>
          </w:tcPr>
          <w:p>
            <w:r>
              <w:rPr>
                <w:rFonts w:ascii="Arial" w:hAnsi="Arial"/>
                <w:color w:val="2D3748"/>
                <w:sz w:val="18"/>
              </w:rPr>
              <w:t>H.264 + WebP 4K Dedicated</w:t>
            </w:r>
          </w:p>
        </w:tc>
        <w:tc>
          <w:tcPr>
            <w:tcW w:type="dxa" w:w="4608"/>
            <w:shd w:fill="F8FAFC"/>
            <w:tcMar>
              <w:top w:w="100" w:type="dxa"/>
              <w:bottom w:w="100" w:type="dxa"/>
              <w:left w:w="140" w:type="dxa"/>
              <w:right w:w="140" w:type="dxa"/>
            </w:tcMar>
          </w:tcPr>
          <w:p>
            <w:r>
              <w:rPr>
                <w:rFonts w:ascii="Arial" w:hAnsi="Arial"/>
                <w:color w:val="2D3748"/>
                <w:sz w:val="18"/>
              </w:rPr>
              <w:t>High-density media delivery with picture tag responsive fallbacks.</w:t>
            </w:r>
          </w:p>
        </w:tc>
      </w:tr>
    </w:tbl>
    <w:p>
      <w:pPr>
        <w:keepNext/>
        <w:spacing w:before="280" w:after="80"/>
      </w:pPr>
      <w:r>
        <w:rPr>
          <w:rFonts w:ascii="Arial" w:hAnsi="Arial"/>
          <w:b/>
          <w:color w:val="032147"/>
          <w:sz w:val="25"/>
        </w:rPr>
        <w:t>7.1 Media Optimization &amp; Video Architecture</w:t>
      </w:r>
    </w:p>
    <w:p>
      <w:pPr>
        <w:spacing w:line="276" w:lineRule="auto" w:after="100"/>
      </w:pPr>
      <w:r>
        <w:rPr>
          <w:rFonts w:ascii="Arial" w:hAnsi="Arial"/>
          <w:color w:val="2D3748"/>
        </w:rPr>
        <w:t>To resolve pixel stretching and high-DPI blurriness, OPHRON utilizes a **50% Right-Half Integrated Video Stage**: The video file (`/videos/hero-singapore-skyline.mp4`) is anchored to the right half with a multi-stop horizontal gradient mask (`linear-gradient(90deg, #032147 0%, ...)`). This doubles effective pixel density, eliminates compression artifacts, and maintains pure typographic contrast on the left.</w:t>
      </w:r>
    </w:p>
    <w:p>
      <w:r>
        <w:br w:type="page"/>
      </w:r>
    </w:p>
    <w:p>
      <w:pPr>
        <w:keepNext/>
        <w:spacing w:before="360" w:after="120"/>
      </w:pPr>
      <w:r>
        <w:rPr>
          <w:rFonts w:ascii="Arial" w:hAnsi="Arial"/>
          <w:b/>
          <w:color w:val="032147"/>
          <w:sz w:val="32"/>
        </w:rPr>
        <w:t>8.0 User Roles, Permissions &amp; Security Governance</w:t>
      </w:r>
    </w:p>
    <w:p>
      <w:pPr>
        <w:spacing w:line="276" w:lineRule="auto" w:after="100"/>
      </w:pPr>
      <w:r>
        <w:rPr>
          <w:rFonts w:ascii="Arial" w:hAnsi="Arial"/>
          <w:color w:val="2D3748"/>
        </w:rPr>
        <w:t>The OPHRON platform supports multi-tiered role definitions ensuring secure access across internal teams and client organizations:</w:t>
      </w:r>
    </w:p>
    <w:p>
      <w:pPr>
        <w:pStyle w:val="ListBullet"/>
        <w:spacing w:line="276" w:lineRule="auto" w:after="60"/>
      </w:pPr>
      <w:r>
        <w:rPr>
          <w:rFonts w:ascii="Arial" w:hAnsi="Arial"/>
          <w:b/>
          <w:color w:val="032147"/>
        </w:rPr>
        <w:t xml:space="preserve">Executive Stakeholder / Hotel GM: </w:t>
      </w:r>
      <w:r>
        <w:rPr>
          <w:rFonts w:ascii="Arial" w:hAnsi="Arial"/>
          <w:color w:val="2D3748"/>
        </w:rPr>
        <w:t>Access to executive financial audits, margin lift metrics, multi-property SLA reports, and contract management.</w:t>
      </w:r>
    </w:p>
    <w:p>
      <w:pPr>
        <w:pStyle w:val="ListBullet"/>
        <w:spacing w:line="276" w:lineRule="auto" w:after="60"/>
      </w:pPr>
      <w:r>
        <w:rPr>
          <w:rFonts w:ascii="Arial" w:hAnsi="Arial"/>
          <w:b/>
          <w:color w:val="032147"/>
        </w:rPr>
        <w:t xml:space="preserve">Operations Director &amp; Venue Head: </w:t>
      </w:r>
      <w:r>
        <w:rPr>
          <w:rFonts w:ascii="Arial" w:hAnsi="Arial"/>
          <w:color w:val="2D3748"/>
        </w:rPr>
        <w:t>Real-time shift rosters, daily kitchen inspection logs, and emergency crew dispatch triggers.</w:t>
      </w:r>
    </w:p>
    <w:p>
      <w:pPr>
        <w:pStyle w:val="ListBullet"/>
        <w:spacing w:line="276" w:lineRule="auto" w:after="60"/>
      </w:pPr>
      <w:r>
        <w:rPr>
          <w:rFonts w:ascii="Arial" w:hAnsi="Arial"/>
          <w:b/>
          <w:color w:val="032147"/>
        </w:rPr>
        <w:t xml:space="preserve">Field Supervisor &amp; Compliance Auditor: </w:t>
      </w:r>
      <w:r>
        <w:rPr>
          <w:rFonts w:ascii="Arial" w:hAnsi="Arial"/>
          <w:color w:val="2D3748"/>
        </w:rPr>
        <w:t>Mobile check-in/check-out, digital quality checklists, and defect reporting tools.</w:t>
      </w:r>
    </w:p>
    <w:p>
      <w:pPr>
        <w:pStyle w:val="ListBullet"/>
        <w:spacing w:line="276" w:lineRule="auto" w:after="60"/>
      </w:pPr>
      <w:r>
        <w:rPr>
          <w:rFonts w:ascii="Arial" w:hAnsi="Arial"/>
          <w:b/>
          <w:color w:val="032147"/>
        </w:rPr>
        <w:t xml:space="preserve">Data Security &amp; PDPA Governance: </w:t>
      </w:r>
      <w:r>
        <w:rPr>
          <w:rFonts w:ascii="Arial" w:hAnsi="Arial"/>
          <w:color w:val="2D3748"/>
        </w:rPr>
        <w:t>All client inquiries and communication channels adhere to Singapore’s Personal Data Protection Act (PDPA). Webhooks use TLS 1.3 encryption, and no sensitive credentials or keys are exposed on the client bundle.</w:t>
      </w:r>
    </w:p>
    <w:p>
      <w:pPr>
        <w:keepNext/>
        <w:spacing w:before="360" w:after="120"/>
      </w:pPr>
      <w:r>
        <w:rPr>
          <w:rFonts w:ascii="Arial" w:hAnsi="Arial"/>
          <w:b/>
          <w:color w:val="032147"/>
          <w:sz w:val="32"/>
        </w:rPr>
        <w:t>9.0 Singapore Regulatory Standards &amp; Accreditations</w:t>
      </w:r>
    </w:p>
    <w:p>
      <w:pPr>
        <w:spacing w:line="276" w:lineRule="auto" w:after="100"/>
      </w:pPr>
      <w:r>
        <w:rPr>
          <w:rFonts w:ascii="Arial" w:hAnsi="Arial"/>
          <w:color w:val="2D3748"/>
        </w:rPr>
        <w:t>OPHRON maintains full institutional compliance with all relevant Singapore statutory boards:</w:t>
      </w:r>
    </w:p>
    <w:p>
      <w:pPr>
        <w:pStyle w:val="ListBullet"/>
        <w:spacing w:line="276" w:lineRule="auto" w:after="60"/>
      </w:pPr>
      <w:r>
        <w:rPr>
          <w:rFonts w:ascii="Arial" w:hAnsi="Arial"/>
          <w:b/>
          <w:color w:val="032147"/>
        </w:rPr>
        <w:t xml:space="preserve">Workplace Safety and Health (WSH) bizSAFE Level 3: </w:t>
      </w:r>
      <w:r>
        <w:rPr>
          <w:rFonts w:ascii="Arial" w:hAnsi="Arial"/>
          <w:color w:val="2D3748"/>
        </w:rPr>
        <w:t>Certified by the Workplace Safety and Health Council, ensuring comprehensive risk assessment protocols across all machinery, chemical handling, and site operations.</w:t>
      </w:r>
    </w:p>
    <w:p>
      <w:pPr>
        <w:pStyle w:val="ListBullet"/>
        <w:spacing w:line="276" w:lineRule="auto" w:after="60"/>
      </w:pPr>
      <w:r>
        <w:rPr>
          <w:rFonts w:ascii="Arial" w:hAnsi="Arial"/>
          <w:b/>
          <w:color w:val="032147"/>
        </w:rPr>
        <w:t xml:space="preserve">National Environment Agency (NEA) Cleaning Business License: </w:t>
      </w:r>
      <w:r>
        <w:rPr>
          <w:rFonts w:ascii="Arial" w:hAnsi="Arial"/>
          <w:color w:val="2D3748"/>
        </w:rPr>
        <w:t>Fully licensed cleaning business under the National Environment Agency, guaranteeing fair wage progressive wage models (PWM) and certified skills training.</w:t>
      </w:r>
    </w:p>
    <w:p>
      <w:pPr>
        <w:pStyle w:val="ListBullet"/>
        <w:spacing w:line="276" w:lineRule="auto" w:after="60"/>
      </w:pPr>
      <w:r>
        <w:rPr>
          <w:rFonts w:ascii="Arial" w:hAnsi="Arial"/>
          <w:b/>
          <w:color w:val="032147"/>
        </w:rPr>
        <w:t xml:space="preserve">Singapore Food Agency (SFA) Hygiene Compliance: </w:t>
      </w:r>
      <w:r>
        <w:rPr>
          <w:rFonts w:ascii="Arial" w:hAnsi="Arial"/>
          <w:color w:val="2D3748"/>
        </w:rPr>
        <w:t>All commercial kitchen hygiene programs follow the SFA code of practice for environmental cleanliness, grease trap maintenance, and pest exclusion.</w:t>
      </w:r>
    </w:p>
    <w:p>
      <w:pPr>
        <w:pStyle w:val="ListBullet"/>
        <w:spacing w:line="276" w:lineRule="auto" w:after="60"/>
      </w:pPr>
      <w:r>
        <w:rPr>
          <w:rFonts w:ascii="Arial" w:hAnsi="Arial"/>
          <w:b/>
          <w:color w:val="032147"/>
        </w:rPr>
        <w:t xml:space="preserve">IRATA International Rope Access Standard: </w:t>
      </w:r>
      <w:r>
        <w:rPr>
          <w:rFonts w:ascii="Arial" w:hAnsi="Arial"/>
          <w:color w:val="2D3748"/>
        </w:rPr>
        <w:t>All rope access high-rise façade technicians hold valid IRATA Level 1 to Level 3 certifications with dedicated anchor testing.</w:t>
      </w:r>
    </w:p>
    <w:p>
      <w:r>
        <w:br w:type="page"/>
      </w:r>
    </w:p>
    <w:p>
      <w:pPr>
        <w:keepNext/>
        <w:spacing w:before="360" w:after="120"/>
      </w:pPr>
      <w:r>
        <w:rPr>
          <w:rFonts w:ascii="Arial" w:hAnsi="Arial"/>
          <w:b/>
          <w:color w:val="032147"/>
          <w:sz w:val="32"/>
        </w:rPr>
        <w:t>10.0 Limitations, Future Roadmap &amp; Confirmation Checklist</w:t>
      </w:r>
    </w:p>
    <w:p>
      <w:pPr>
        <w:spacing w:line="276" w:lineRule="auto" w:after="100"/>
      </w:pPr>
      <w:r>
        <w:rPr>
          <w:rFonts w:ascii="Arial" w:hAnsi="Arial"/>
          <w:color w:val="2D3748"/>
        </w:rPr>
        <w:t>The following items document observed boundaries and upcoming platform milestones:</w:t>
      </w:r>
    </w:p>
    <w:p>
      <w:pPr>
        <w:pStyle w:val="ListBullet"/>
        <w:spacing w:line="276" w:lineRule="auto" w:after="60"/>
      </w:pPr>
      <w:r>
        <w:rPr>
          <w:rFonts w:ascii="Arial" w:hAnsi="Arial"/>
          <w:b/>
          <w:color w:val="032147"/>
        </w:rPr>
        <w:t xml:space="preserve">CRM Direct Sync: </w:t>
      </w:r>
      <w:r>
        <w:rPr>
          <w:rFonts w:ascii="Arial" w:hAnsi="Arial"/>
          <w:color w:val="2D3748"/>
        </w:rPr>
        <w:t>The current contact intake form routes to Google Apps Script webhooks. An enterprise API integration with Salesforce/HubSpot is scheduled for Q1 2027.</w:t>
      </w:r>
    </w:p>
    <w:p>
      <w:pPr>
        <w:pStyle w:val="ListBullet"/>
        <w:spacing w:line="276" w:lineRule="auto" w:after="60"/>
      </w:pPr>
      <w:r>
        <w:rPr>
          <w:rFonts w:ascii="Arial" w:hAnsi="Arial"/>
          <w:b/>
          <w:color w:val="032147"/>
        </w:rPr>
        <w:t xml:space="preserve">Real-Time Sensor WebSockets: </w:t>
      </w:r>
      <w:r>
        <w:rPr>
          <w:rFonts w:ascii="Arial" w:hAnsi="Arial"/>
          <w:color w:val="2D3748"/>
        </w:rPr>
        <w:t>Client telemetry charts on the Approach section currently simulate operational metrics. Live WebSocket connection to building IoT sensors is planned for OphronOS Phase 2.</w:t>
      </w:r>
    </w:p>
    <w:p>
      <w:pPr>
        <w:pStyle w:val="ListBullet"/>
        <w:spacing w:line="276" w:lineRule="auto" w:after="60"/>
      </w:pPr>
      <w:r>
        <w:rPr>
          <w:rFonts w:ascii="Arial" w:hAnsi="Arial"/>
          <w:b/>
          <w:color w:val="032147"/>
        </w:rPr>
        <w:t xml:space="preserve">Client Portal Access: </w:t>
      </w:r>
      <w:r>
        <w:rPr>
          <w:rFonts w:ascii="Arial" w:hAnsi="Arial"/>
          <w:color w:val="2D3748"/>
        </w:rPr>
        <w:t>The client portal dashboard login is accessible via private corporate enterprise links and is intentionally decoupled from the public marketing site bundle.</w:t>
      </w:r>
    </w:p>
    <w:p>
      <w:pPr>
        <w:keepNext/>
        <w:spacing w:before="360" w:after="120"/>
      </w:pPr>
      <w:r>
        <w:rPr>
          <w:rFonts w:ascii="Arial" w:hAnsi="Arial"/>
          <w:b/>
          <w:color w:val="032147"/>
          <w:sz w:val="32"/>
        </w:rPr>
        <w:t>11.0 Glossary of Technical &amp; Hospitality Acronyms</w:t>
      </w:r>
    </w:p>
    <w:tbl>
      <w:tblPr>
        <w:tblW w:type="auto" w:w="0"/>
        <w:jc w:val="center"/>
        <w:tblLook w:firstColumn="1" w:firstRow="1" w:lastColumn="0" w:lastRow="0" w:noHBand="0" w:noVBand="1" w:val="04A0"/>
      </w:tblPr>
      <w:tblGrid>
        <w:gridCol w:w="4514"/>
        <w:gridCol w:w="4514"/>
      </w:tblGrid>
      <w:tr>
        <w:trPr>
          <w:tblHeader/>
        </w:trPr>
        <w:tc>
          <w:tcPr>
            <w:tcW w:type="dxa" w:w="2160"/>
            <w:shd w:fill="032147"/>
            <w:tcMar>
              <w:top w:w="120" w:type="dxa"/>
              <w:bottom w:w="120" w:type="dxa"/>
              <w:left w:w="140" w:type="dxa"/>
              <w:right w:w="140" w:type="dxa"/>
            </w:tcMar>
          </w:tcPr>
          <w:p>
            <w:r>
              <w:rPr>
                <w:rFonts w:ascii="Arial" w:hAnsi="Arial"/>
                <w:b/>
                <w:color w:val="FFFFFF"/>
                <w:sz w:val="19"/>
              </w:rPr>
              <w:t>Acronym</w:t>
            </w:r>
          </w:p>
        </w:tc>
        <w:tc>
          <w:tcPr>
            <w:tcW w:type="dxa" w:w="7200"/>
            <w:shd w:fill="032147"/>
            <w:tcMar>
              <w:top w:w="120" w:type="dxa"/>
              <w:bottom w:w="120" w:type="dxa"/>
              <w:left w:w="140" w:type="dxa"/>
              <w:right w:w="140" w:type="dxa"/>
            </w:tcMar>
          </w:tcPr>
          <w:p>
            <w:r>
              <w:rPr>
                <w:rFonts w:ascii="Arial" w:hAnsi="Arial"/>
                <w:b/>
                <w:color w:val="FFFFFF"/>
                <w:sz w:val="19"/>
              </w:rPr>
              <w:t>Formal Definition &amp; Operational Context</w:t>
            </w:r>
          </w:p>
        </w:tc>
      </w:tr>
      <w:tr>
        <w:tc>
          <w:tcPr>
            <w:tcW w:type="dxa" w:w="2160"/>
            <w:shd w:fill="FFFFFF"/>
            <w:tcMar>
              <w:top w:w="100" w:type="dxa"/>
              <w:bottom w:w="100" w:type="dxa"/>
              <w:left w:w="140" w:type="dxa"/>
              <w:right w:w="140" w:type="dxa"/>
            </w:tcMar>
          </w:tcPr>
          <w:p>
            <w:r>
              <w:rPr>
                <w:rFonts w:ascii="Arial" w:hAnsi="Arial"/>
                <w:color w:val="2D3748"/>
                <w:sz w:val="18"/>
              </w:rPr>
              <w:t>SLA</w:t>
            </w:r>
          </w:p>
        </w:tc>
        <w:tc>
          <w:tcPr>
            <w:tcW w:type="dxa" w:w="7200"/>
            <w:shd w:fill="FFFFFF"/>
            <w:tcMar>
              <w:top w:w="100" w:type="dxa"/>
              <w:bottom w:w="100" w:type="dxa"/>
              <w:left w:w="140" w:type="dxa"/>
              <w:right w:w="140" w:type="dxa"/>
            </w:tcMar>
          </w:tcPr>
          <w:p>
            <w:r>
              <w:rPr>
                <w:rFonts w:ascii="Arial" w:hAnsi="Arial"/>
                <w:color w:val="2D3748"/>
                <w:sz w:val="18"/>
              </w:rPr>
              <w:t>Service Level Agreement: Contractually defined benchmark for response time, staff turnout, and cleanliness pass rate.</w:t>
            </w:r>
          </w:p>
        </w:tc>
      </w:tr>
      <w:tr>
        <w:tc>
          <w:tcPr>
            <w:tcW w:type="dxa" w:w="2160"/>
            <w:shd w:fill="F8FAFC"/>
            <w:tcMar>
              <w:top w:w="100" w:type="dxa"/>
              <w:bottom w:w="100" w:type="dxa"/>
              <w:left w:w="140" w:type="dxa"/>
              <w:right w:w="140" w:type="dxa"/>
            </w:tcMar>
          </w:tcPr>
          <w:p>
            <w:r>
              <w:rPr>
                <w:rFonts w:ascii="Arial" w:hAnsi="Arial"/>
                <w:color w:val="2D3748"/>
                <w:sz w:val="18"/>
              </w:rPr>
              <w:t>NEA</w:t>
            </w:r>
          </w:p>
        </w:tc>
        <w:tc>
          <w:tcPr>
            <w:tcW w:type="dxa" w:w="7200"/>
            <w:shd w:fill="F8FAFC"/>
            <w:tcMar>
              <w:top w:w="100" w:type="dxa"/>
              <w:bottom w:w="100" w:type="dxa"/>
              <w:left w:w="140" w:type="dxa"/>
              <w:right w:w="140" w:type="dxa"/>
            </w:tcMar>
          </w:tcPr>
          <w:p>
            <w:r>
              <w:rPr>
                <w:rFonts w:ascii="Arial" w:hAnsi="Arial"/>
                <w:color w:val="2D3748"/>
                <w:sz w:val="18"/>
              </w:rPr>
              <w:t>National Environment Agency: The statutory board under the Ministry of Sustainability and the Environment regulating public health in Singapore.</w:t>
            </w:r>
          </w:p>
        </w:tc>
      </w:tr>
      <w:tr>
        <w:tc>
          <w:tcPr>
            <w:tcW w:type="dxa" w:w="2160"/>
            <w:shd w:fill="FFFFFF"/>
            <w:tcMar>
              <w:top w:w="100" w:type="dxa"/>
              <w:bottom w:w="100" w:type="dxa"/>
              <w:left w:w="140" w:type="dxa"/>
              <w:right w:w="140" w:type="dxa"/>
            </w:tcMar>
          </w:tcPr>
          <w:p>
            <w:r>
              <w:rPr>
                <w:rFonts w:ascii="Arial" w:hAnsi="Arial"/>
                <w:color w:val="2D3748"/>
                <w:sz w:val="18"/>
              </w:rPr>
              <w:t>SFA</w:t>
            </w:r>
          </w:p>
        </w:tc>
        <w:tc>
          <w:tcPr>
            <w:tcW w:type="dxa" w:w="7200"/>
            <w:shd w:fill="FFFFFF"/>
            <w:tcMar>
              <w:top w:w="100" w:type="dxa"/>
              <w:bottom w:w="100" w:type="dxa"/>
              <w:left w:w="140" w:type="dxa"/>
              <w:right w:w="140" w:type="dxa"/>
            </w:tcMar>
          </w:tcPr>
          <w:p>
            <w:r>
              <w:rPr>
                <w:rFonts w:ascii="Arial" w:hAnsi="Arial"/>
                <w:color w:val="2D3748"/>
                <w:sz w:val="18"/>
              </w:rPr>
              <w:t>Singapore Food Agency: The statutory board overseeing food safety and commercial kitchen hygiene regulations.</w:t>
            </w:r>
          </w:p>
        </w:tc>
      </w:tr>
      <w:tr>
        <w:tc>
          <w:tcPr>
            <w:tcW w:type="dxa" w:w="2160"/>
            <w:shd w:fill="F8FAFC"/>
            <w:tcMar>
              <w:top w:w="100" w:type="dxa"/>
              <w:bottom w:w="100" w:type="dxa"/>
              <w:left w:w="140" w:type="dxa"/>
              <w:right w:w="140" w:type="dxa"/>
            </w:tcMar>
          </w:tcPr>
          <w:p>
            <w:r>
              <w:rPr>
                <w:rFonts w:ascii="Arial" w:hAnsi="Arial"/>
                <w:color w:val="2D3748"/>
                <w:sz w:val="18"/>
              </w:rPr>
              <w:t>IFM</w:t>
            </w:r>
          </w:p>
        </w:tc>
        <w:tc>
          <w:tcPr>
            <w:tcW w:type="dxa" w:w="7200"/>
            <w:shd w:fill="F8FAFC"/>
            <w:tcMar>
              <w:top w:w="100" w:type="dxa"/>
              <w:bottom w:w="100" w:type="dxa"/>
              <w:left w:w="140" w:type="dxa"/>
              <w:right w:w="140" w:type="dxa"/>
            </w:tcMar>
          </w:tcPr>
          <w:p>
            <w:r>
              <w:rPr>
                <w:rFonts w:ascii="Arial" w:hAnsi="Arial"/>
                <w:color w:val="2D3748"/>
                <w:sz w:val="18"/>
              </w:rPr>
              <w:t>Integrated Facility Management: Comprehensive management of all built environment services under a unified operational contract.</w:t>
            </w:r>
          </w:p>
        </w:tc>
      </w:tr>
      <w:tr>
        <w:tc>
          <w:tcPr>
            <w:tcW w:type="dxa" w:w="2160"/>
            <w:shd w:fill="FFFFFF"/>
            <w:tcMar>
              <w:top w:w="100" w:type="dxa"/>
              <w:bottom w:w="100" w:type="dxa"/>
              <w:left w:w="140" w:type="dxa"/>
              <w:right w:w="140" w:type="dxa"/>
            </w:tcMar>
          </w:tcPr>
          <w:p>
            <w:r>
              <w:rPr>
                <w:rFonts w:ascii="Arial" w:hAnsi="Arial"/>
                <w:color w:val="2D3748"/>
                <w:sz w:val="18"/>
              </w:rPr>
              <w:t>IAQ</w:t>
            </w:r>
          </w:p>
        </w:tc>
        <w:tc>
          <w:tcPr>
            <w:tcW w:type="dxa" w:w="7200"/>
            <w:shd w:fill="FFFFFF"/>
            <w:tcMar>
              <w:top w:w="100" w:type="dxa"/>
              <w:bottom w:w="100" w:type="dxa"/>
              <w:left w:w="140" w:type="dxa"/>
              <w:right w:w="140" w:type="dxa"/>
            </w:tcMar>
          </w:tcPr>
          <w:p>
            <w:r>
              <w:rPr>
                <w:rFonts w:ascii="Arial" w:hAnsi="Arial"/>
                <w:color w:val="2D3748"/>
                <w:sz w:val="18"/>
              </w:rPr>
              <w:t>Indoor Air Quality: The environmental quality of air within buildings, monitored for particulate matter, VOCs, and CO2.</w:t>
            </w:r>
          </w:p>
        </w:tc>
      </w:tr>
      <w:tr>
        <w:tc>
          <w:tcPr>
            <w:tcW w:type="dxa" w:w="2160"/>
            <w:shd w:fill="F8FAFC"/>
            <w:tcMar>
              <w:top w:w="100" w:type="dxa"/>
              <w:bottom w:w="100" w:type="dxa"/>
              <w:left w:w="140" w:type="dxa"/>
              <w:right w:w="140" w:type="dxa"/>
            </w:tcMar>
          </w:tcPr>
          <w:p>
            <w:r>
              <w:rPr>
                <w:rFonts w:ascii="Arial" w:hAnsi="Arial"/>
                <w:color w:val="2D3748"/>
                <w:sz w:val="18"/>
              </w:rPr>
              <w:t>WSQ</w:t>
            </w:r>
          </w:p>
        </w:tc>
        <w:tc>
          <w:tcPr>
            <w:tcW w:type="dxa" w:w="7200"/>
            <w:shd w:fill="F8FAFC"/>
            <w:tcMar>
              <w:top w:w="100" w:type="dxa"/>
              <w:bottom w:w="100" w:type="dxa"/>
              <w:left w:w="140" w:type="dxa"/>
              <w:right w:w="140" w:type="dxa"/>
            </w:tcMar>
          </w:tcPr>
          <w:p>
            <w:r>
              <w:rPr>
                <w:rFonts w:ascii="Arial" w:hAnsi="Arial"/>
                <w:color w:val="2D3748"/>
                <w:sz w:val="18"/>
              </w:rPr>
              <w:t>Workforce Skills Qualifications: Singapore national credential system certifying workforce competence.</w:t>
            </w:r>
          </w:p>
        </w:tc>
      </w:tr>
      <w:tr>
        <w:tc>
          <w:tcPr>
            <w:tcW w:type="dxa" w:w="2160"/>
            <w:shd w:fill="FFFFFF"/>
            <w:tcMar>
              <w:top w:w="100" w:type="dxa"/>
              <w:bottom w:w="100" w:type="dxa"/>
              <w:left w:w="140" w:type="dxa"/>
              <w:right w:w="140" w:type="dxa"/>
            </w:tcMar>
          </w:tcPr>
          <w:p>
            <w:r>
              <w:rPr>
                <w:rFonts w:ascii="Arial" w:hAnsi="Arial"/>
                <w:color w:val="2D3748"/>
                <w:sz w:val="18"/>
              </w:rPr>
              <w:t>GU</w:t>
            </w:r>
          </w:p>
        </w:tc>
        <w:tc>
          <w:tcPr>
            <w:tcW w:type="dxa" w:w="7200"/>
            <w:shd w:fill="FFFFFF"/>
            <w:tcMar>
              <w:top w:w="100" w:type="dxa"/>
              <w:bottom w:w="100" w:type="dxa"/>
              <w:left w:w="140" w:type="dxa"/>
              <w:right w:w="140" w:type="dxa"/>
            </w:tcMar>
          </w:tcPr>
          <w:p>
            <w:r>
              <w:rPr>
                <w:rFonts w:ascii="Arial" w:hAnsi="Arial"/>
                <w:color w:val="2D3748"/>
                <w:sz w:val="18"/>
              </w:rPr>
              <w:t>Gloss Units: Technical measurement scale for surface specular gloss reflectance (98+ GU represents diamond mirror shine).</w:t>
            </w:r>
          </w:p>
        </w:tc>
      </w:tr>
      <w:tr>
        <w:tc>
          <w:tcPr>
            <w:tcW w:type="dxa" w:w="2160"/>
            <w:shd w:fill="F8FAFC"/>
            <w:tcMar>
              <w:top w:w="100" w:type="dxa"/>
              <w:bottom w:w="100" w:type="dxa"/>
              <w:left w:w="140" w:type="dxa"/>
              <w:right w:w="140" w:type="dxa"/>
            </w:tcMar>
          </w:tcPr>
          <w:p>
            <w:r>
              <w:rPr>
                <w:rFonts w:ascii="Arial" w:hAnsi="Arial"/>
                <w:color w:val="2D3748"/>
                <w:sz w:val="18"/>
              </w:rPr>
              <w:t>IRATA</w:t>
            </w:r>
          </w:p>
        </w:tc>
        <w:tc>
          <w:tcPr>
            <w:tcW w:type="dxa" w:w="7200"/>
            <w:shd w:fill="F8FAFC"/>
            <w:tcMar>
              <w:top w:w="100" w:type="dxa"/>
              <w:bottom w:w="100" w:type="dxa"/>
              <w:left w:w="140" w:type="dxa"/>
              <w:right w:w="140" w:type="dxa"/>
            </w:tcMar>
          </w:tcPr>
          <w:p>
            <w:r>
              <w:rPr>
                <w:rFonts w:ascii="Arial" w:hAnsi="Arial"/>
                <w:color w:val="2D3748"/>
                <w:sz w:val="18"/>
              </w:rPr>
              <w:t>Industrial Rope Access Trade Association: The premier international body governing safe working at heights.</w:t>
            </w:r>
          </w:p>
        </w:tc>
      </w:tr>
    </w:tbl>
    <w:p>
      <w:r>
        <w:br w:type="page"/>
      </w:r>
    </w:p>
    <w:p>
      <w:pPr>
        <w:keepNext/>
        <w:spacing w:before="360" w:after="120"/>
      </w:pPr>
      <w:r>
        <w:rPr>
          <w:rFonts w:ascii="Arial" w:hAnsi="Arial"/>
          <w:b/>
          <w:color w:val="032147"/>
          <w:sz w:val="32"/>
        </w:rPr>
        <w:t>12.0 Source File Traceability &amp; Component Mapping Matrix</w:t>
      </w:r>
    </w:p>
    <w:p>
      <w:pPr>
        <w:spacing w:line="276" w:lineRule="auto" w:after="100"/>
      </w:pPr>
      <w:r>
        <w:rPr>
          <w:rFonts w:ascii="Arial" w:hAnsi="Arial"/>
          <w:color w:val="2D3748"/>
        </w:rPr>
        <w:t>Every chapter in this document is directly verifiable against active source code files in the project workspace:</w:t>
      </w:r>
    </w:p>
    <w:tbl>
      <w:tblPr>
        <w:tblW w:type="auto" w:w="0"/>
        <w:jc w:val="center"/>
        <w:tblLook w:firstColumn="1" w:firstRow="1" w:lastColumn="0" w:lastRow="0" w:noHBand="0" w:noVBand="1" w:val="04A0"/>
      </w:tblPr>
      <w:tblGrid>
        <w:gridCol w:w="3010"/>
        <w:gridCol w:w="3010"/>
        <w:gridCol w:w="3010"/>
      </w:tblGrid>
      <w:tr>
        <w:trPr>
          <w:tblHeader/>
        </w:trPr>
        <w:tc>
          <w:tcPr>
            <w:tcW w:type="dxa" w:w="2592"/>
            <w:shd w:fill="032147"/>
            <w:tcMar>
              <w:top w:w="120" w:type="dxa"/>
              <w:bottom w:w="120" w:type="dxa"/>
              <w:left w:w="140" w:type="dxa"/>
              <w:right w:w="140" w:type="dxa"/>
            </w:tcMar>
          </w:tcPr>
          <w:p>
            <w:r>
              <w:rPr>
                <w:rFonts w:ascii="Arial" w:hAnsi="Arial"/>
                <w:b/>
                <w:color w:val="FFFFFF"/>
                <w:sz w:val="19"/>
              </w:rPr>
              <w:t>Documented Chapter</w:t>
            </w:r>
          </w:p>
        </w:tc>
        <w:tc>
          <w:tcPr>
            <w:tcW w:type="dxa" w:w="3456"/>
            <w:shd w:fill="032147"/>
            <w:tcMar>
              <w:top w:w="120" w:type="dxa"/>
              <w:bottom w:w="120" w:type="dxa"/>
              <w:left w:w="140" w:type="dxa"/>
              <w:right w:w="140" w:type="dxa"/>
            </w:tcMar>
          </w:tcPr>
          <w:p>
            <w:r>
              <w:rPr>
                <w:rFonts w:ascii="Arial" w:hAnsi="Arial"/>
                <w:b/>
                <w:color w:val="FFFFFF"/>
                <w:sz w:val="19"/>
              </w:rPr>
              <w:t>Source Component File</w:t>
            </w:r>
          </w:p>
        </w:tc>
        <w:tc>
          <w:tcPr>
            <w:tcW w:type="dxa" w:w="3312"/>
            <w:shd w:fill="032147"/>
            <w:tcMar>
              <w:top w:w="120" w:type="dxa"/>
              <w:bottom w:w="120" w:type="dxa"/>
              <w:left w:w="140" w:type="dxa"/>
              <w:right w:w="140" w:type="dxa"/>
            </w:tcMar>
          </w:tcPr>
          <w:p>
            <w:r>
              <w:rPr>
                <w:rFonts w:ascii="Arial" w:hAnsi="Arial"/>
                <w:b/>
                <w:color w:val="FFFFFF"/>
                <w:sz w:val="19"/>
              </w:rPr>
              <w:t>Primary Asset / Integration</w:t>
            </w:r>
          </w:p>
        </w:tc>
      </w:tr>
      <w:tr>
        <w:tc>
          <w:tcPr>
            <w:tcW w:type="dxa" w:w="2592"/>
            <w:shd w:fill="FFFFFF"/>
            <w:tcMar>
              <w:top w:w="100" w:type="dxa"/>
              <w:bottom w:w="100" w:type="dxa"/>
              <w:left w:w="140" w:type="dxa"/>
              <w:right w:w="140" w:type="dxa"/>
            </w:tcMar>
          </w:tcPr>
          <w:p>
            <w:r>
              <w:rPr>
                <w:rFonts w:ascii="Arial" w:hAnsi="Arial"/>
                <w:color w:val="2D3748"/>
                <w:sz w:val="18"/>
              </w:rPr>
              <w:t>Hero &amp; Ambient Reel</w:t>
            </w:r>
          </w:p>
        </w:tc>
        <w:tc>
          <w:tcPr>
            <w:tcW w:type="dxa" w:w="3456"/>
            <w:shd w:fill="FFFFFF"/>
            <w:tcMar>
              <w:top w:w="100" w:type="dxa"/>
              <w:bottom w:w="100" w:type="dxa"/>
              <w:left w:w="140" w:type="dxa"/>
              <w:right w:w="140" w:type="dxa"/>
            </w:tcMar>
          </w:tcPr>
          <w:p>
            <w:r>
              <w:rPr>
                <w:rFonts w:ascii="Arial" w:hAnsi="Arial"/>
                <w:color w:val="2D3748"/>
                <w:sz w:val="18"/>
              </w:rPr>
              <w:t>src/components/Hero.tsx</w:t>
            </w:r>
          </w:p>
        </w:tc>
        <w:tc>
          <w:tcPr>
            <w:tcW w:type="dxa" w:w="3312"/>
            <w:shd w:fill="FFFFFF"/>
            <w:tcMar>
              <w:top w:w="100" w:type="dxa"/>
              <w:bottom w:w="100" w:type="dxa"/>
              <w:left w:w="140" w:type="dxa"/>
              <w:right w:w="140" w:type="dxa"/>
            </w:tcMar>
          </w:tcPr>
          <w:p>
            <w:r>
              <w:rPr>
                <w:rFonts w:ascii="Arial" w:hAnsi="Arial"/>
                <w:color w:val="2D3748"/>
                <w:sz w:val="18"/>
              </w:rPr>
              <w:t>public/videos/hero-singapore-skyline.mp4</w:t>
            </w:r>
          </w:p>
        </w:tc>
      </w:tr>
      <w:tr>
        <w:tc>
          <w:tcPr>
            <w:tcW w:type="dxa" w:w="2592"/>
            <w:shd w:fill="F8FAFC"/>
            <w:tcMar>
              <w:top w:w="100" w:type="dxa"/>
              <w:bottom w:w="100" w:type="dxa"/>
              <w:left w:w="140" w:type="dxa"/>
              <w:right w:w="140" w:type="dxa"/>
            </w:tcMar>
          </w:tcPr>
          <w:p>
            <w:r>
              <w:rPr>
                <w:rFonts w:ascii="Arial" w:hAnsi="Arial"/>
                <w:color w:val="2D3748"/>
                <w:sz w:val="18"/>
              </w:rPr>
              <w:t>Header &amp; Navigation</w:t>
            </w:r>
          </w:p>
        </w:tc>
        <w:tc>
          <w:tcPr>
            <w:tcW w:type="dxa" w:w="3456"/>
            <w:shd w:fill="F8FAFC"/>
            <w:tcMar>
              <w:top w:w="100" w:type="dxa"/>
              <w:bottom w:w="100" w:type="dxa"/>
              <w:left w:w="140" w:type="dxa"/>
              <w:right w:w="140" w:type="dxa"/>
            </w:tcMar>
          </w:tcPr>
          <w:p>
            <w:r>
              <w:rPr>
                <w:rFonts w:ascii="Arial" w:hAnsi="Arial"/>
                <w:color w:val="2D3748"/>
                <w:sz w:val="18"/>
              </w:rPr>
              <w:t>src/components/Nav.tsx</w:t>
            </w:r>
          </w:p>
        </w:tc>
        <w:tc>
          <w:tcPr>
            <w:tcW w:type="dxa" w:w="3312"/>
            <w:shd w:fill="F8FAFC"/>
            <w:tcMar>
              <w:top w:w="100" w:type="dxa"/>
              <w:bottom w:w="100" w:type="dxa"/>
              <w:left w:w="140" w:type="dxa"/>
              <w:right w:w="140" w:type="dxa"/>
            </w:tcMar>
          </w:tcPr>
          <w:p>
            <w:r>
              <w:rPr>
                <w:rFonts w:ascii="Arial" w:hAnsi="Arial"/>
                <w:color w:val="2D3748"/>
                <w:sz w:val="18"/>
              </w:rPr>
              <w:t>src/components/logo-navy.png</w:t>
            </w:r>
          </w:p>
        </w:tc>
      </w:tr>
      <w:tr>
        <w:tc>
          <w:tcPr>
            <w:tcW w:type="dxa" w:w="2592"/>
            <w:shd w:fill="FFFFFF"/>
            <w:tcMar>
              <w:top w:w="100" w:type="dxa"/>
              <w:bottom w:w="100" w:type="dxa"/>
              <w:left w:w="140" w:type="dxa"/>
              <w:right w:w="140" w:type="dxa"/>
            </w:tcMar>
          </w:tcPr>
          <w:p>
            <w:r>
              <w:rPr>
                <w:rFonts w:ascii="Arial" w:hAnsi="Arial"/>
                <w:color w:val="2D3748"/>
                <w:sz w:val="18"/>
              </w:rPr>
              <w:t>Social Proof Logos</w:t>
            </w:r>
          </w:p>
        </w:tc>
        <w:tc>
          <w:tcPr>
            <w:tcW w:type="dxa" w:w="3456"/>
            <w:shd w:fill="FFFFFF"/>
            <w:tcMar>
              <w:top w:w="100" w:type="dxa"/>
              <w:bottom w:w="100" w:type="dxa"/>
              <w:left w:w="140" w:type="dxa"/>
              <w:right w:w="140" w:type="dxa"/>
            </w:tcMar>
          </w:tcPr>
          <w:p>
            <w:r>
              <w:rPr>
                <w:rFonts w:ascii="Arial" w:hAnsi="Arial"/>
                <w:color w:val="2D3748"/>
                <w:sz w:val="18"/>
              </w:rPr>
              <w:t>src/components/Logos.tsx</w:t>
            </w:r>
          </w:p>
        </w:tc>
        <w:tc>
          <w:tcPr>
            <w:tcW w:type="dxa" w:w="3312"/>
            <w:shd w:fill="FFFFFF"/>
            <w:tcMar>
              <w:top w:w="100" w:type="dxa"/>
              <w:bottom w:w="100" w:type="dxa"/>
              <w:left w:w="140" w:type="dxa"/>
              <w:right w:w="140" w:type="dxa"/>
            </w:tcMar>
          </w:tcPr>
          <w:p>
            <w:r>
              <w:rPr>
                <w:rFonts w:ascii="Arial" w:hAnsi="Arial"/>
                <w:color w:val="2D3748"/>
                <w:sz w:val="18"/>
              </w:rPr>
              <w:t>public/images/venue-*.webp</w:t>
            </w:r>
          </w:p>
        </w:tc>
      </w:tr>
      <w:tr>
        <w:tc>
          <w:tcPr>
            <w:tcW w:type="dxa" w:w="2592"/>
            <w:shd w:fill="F8FAFC"/>
            <w:tcMar>
              <w:top w:w="100" w:type="dxa"/>
              <w:bottom w:w="100" w:type="dxa"/>
              <w:left w:w="140" w:type="dxa"/>
              <w:right w:w="140" w:type="dxa"/>
            </w:tcMar>
          </w:tcPr>
          <w:p>
            <w:r>
              <w:rPr>
                <w:rFonts w:ascii="Arial" w:hAnsi="Arial"/>
                <w:color w:val="2D3748"/>
                <w:sz w:val="18"/>
              </w:rPr>
              <w:t>OphronOS 5 Pillars</w:t>
            </w:r>
          </w:p>
        </w:tc>
        <w:tc>
          <w:tcPr>
            <w:tcW w:type="dxa" w:w="3456"/>
            <w:shd w:fill="F8FAFC"/>
            <w:tcMar>
              <w:top w:w="100" w:type="dxa"/>
              <w:bottom w:w="100" w:type="dxa"/>
              <w:left w:w="140" w:type="dxa"/>
              <w:right w:w="140" w:type="dxa"/>
            </w:tcMar>
          </w:tcPr>
          <w:p>
            <w:r>
              <w:rPr>
                <w:rFonts w:ascii="Arial" w:hAnsi="Arial"/>
                <w:color w:val="2D3748"/>
                <w:sz w:val="18"/>
              </w:rPr>
              <w:t>src/components/Approach.tsx</w:t>
            </w:r>
          </w:p>
        </w:tc>
        <w:tc>
          <w:tcPr>
            <w:tcW w:type="dxa" w:w="3312"/>
            <w:shd w:fill="F8FAFC"/>
            <w:tcMar>
              <w:top w:w="100" w:type="dxa"/>
              <w:bottom w:w="100" w:type="dxa"/>
              <w:left w:w="140" w:type="dxa"/>
              <w:right w:w="140" w:type="dxa"/>
            </w:tcMar>
          </w:tcPr>
          <w:p>
            <w:r>
              <w:rPr>
                <w:rFonts w:ascii="Arial" w:hAnsi="Arial"/>
                <w:color w:val="2D3748"/>
                <w:sz w:val="18"/>
              </w:rPr>
              <w:t>16:10 MacBook Pro responsive mockup</w:t>
            </w:r>
          </w:p>
        </w:tc>
      </w:tr>
      <w:tr>
        <w:tc>
          <w:tcPr>
            <w:tcW w:type="dxa" w:w="2592"/>
            <w:shd w:fill="FFFFFF"/>
            <w:tcMar>
              <w:top w:w="100" w:type="dxa"/>
              <w:bottom w:w="100" w:type="dxa"/>
              <w:left w:w="140" w:type="dxa"/>
              <w:right w:w="140" w:type="dxa"/>
            </w:tcMar>
          </w:tcPr>
          <w:p>
            <w:r>
              <w:rPr>
                <w:rFonts w:ascii="Arial" w:hAnsi="Arial"/>
                <w:color w:val="2D3748"/>
                <w:sz w:val="18"/>
              </w:rPr>
              <w:t>Problem Analysis</w:t>
            </w:r>
          </w:p>
        </w:tc>
        <w:tc>
          <w:tcPr>
            <w:tcW w:type="dxa" w:w="3456"/>
            <w:shd w:fill="FFFFFF"/>
            <w:tcMar>
              <w:top w:w="100" w:type="dxa"/>
              <w:bottom w:w="100" w:type="dxa"/>
              <w:left w:w="140" w:type="dxa"/>
              <w:right w:w="140" w:type="dxa"/>
            </w:tcMar>
          </w:tcPr>
          <w:p>
            <w:r>
              <w:rPr>
                <w:rFonts w:ascii="Arial" w:hAnsi="Arial"/>
                <w:color w:val="2D3748"/>
                <w:sz w:val="18"/>
              </w:rPr>
              <w:t>src/components/Problems.tsx</w:t>
            </w:r>
          </w:p>
        </w:tc>
        <w:tc>
          <w:tcPr>
            <w:tcW w:type="dxa" w:w="3312"/>
            <w:shd w:fill="FFFFFF"/>
            <w:tcMar>
              <w:top w:w="100" w:type="dxa"/>
              <w:bottom w:w="100" w:type="dxa"/>
              <w:left w:w="140" w:type="dxa"/>
              <w:right w:w="140" w:type="dxa"/>
            </w:tcMar>
          </w:tcPr>
          <w:p>
            <w:r>
              <w:rPr>
                <w:rFonts w:ascii="Arial" w:hAnsi="Arial"/>
                <w:color w:val="2D3748"/>
                <w:sz w:val="18"/>
              </w:rPr>
              <w:t>Vendor fragmentation breakdown</w:t>
            </w:r>
          </w:p>
        </w:tc>
      </w:tr>
      <w:tr>
        <w:tc>
          <w:tcPr>
            <w:tcW w:type="dxa" w:w="2592"/>
            <w:shd w:fill="F8FAFC"/>
            <w:tcMar>
              <w:top w:w="100" w:type="dxa"/>
              <w:bottom w:w="100" w:type="dxa"/>
              <w:left w:w="140" w:type="dxa"/>
              <w:right w:w="140" w:type="dxa"/>
            </w:tcMar>
          </w:tcPr>
          <w:p>
            <w:r>
              <w:rPr>
                <w:rFonts w:ascii="Arial" w:hAnsi="Arial"/>
                <w:color w:val="2D3748"/>
                <w:sz w:val="18"/>
              </w:rPr>
              <w:t>Solutions Grid</w:t>
            </w:r>
          </w:p>
        </w:tc>
        <w:tc>
          <w:tcPr>
            <w:tcW w:type="dxa" w:w="3456"/>
            <w:shd w:fill="F8FAFC"/>
            <w:tcMar>
              <w:top w:w="100" w:type="dxa"/>
              <w:bottom w:w="100" w:type="dxa"/>
              <w:left w:w="140" w:type="dxa"/>
              <w:right w:w="140" w:type="dxa"/>
            </w:tcMar>
          </w:tcPr>
          <w:p>
            <w:r>
              <w:rPr>
                <w:rFonts w:ascii="Arial" w:hAnsi="Arial"/>
                <w:color w:val="2D3748"/>
                <w:sz w:val="18"/>
              </w:rPr>
              <w:t>src/components/Solutions.tsx</w:t>
            </w:r>
          </w:p>
        </w:tc>
        <w:tc>
          <w:tcPr>
            <w:tcW w:type="dxa" w:w="3312"/>
            <w:shd w:fill="F8FAFC"/>
            <w:tcMar>
              <w:top w:w="100" w:type="dxa"/>
              <w:bottom w:w="100" w:type="dxa"/>
              <w:left w:w="140" w:type="dxa"/>
              <w:right w:w="140" w:type="dxa"/>
            </w:tcMar>
          </w:tcPr>
          <w:p>
            <w:r>
              <w:rPr>
                <w:rFonts w:ascii="Arial" w:hAnsi="Arial"/>
                <w:color w:val="2D3748"/>
                <w:sz w:val="18"/>
              </w:rPr>
              <w:t>4 core operational pillars</w:t>
            </w:r>
          </w:p>
        </w:tc>
      </w:tr>
      <w:tr>
        <w:tc>
          <w:tcPr>
            <w:tcW w:type="dxa" w:w="2592"/>
            <w:shd w:fill="FFFFFF"/>
            <w:tcMar>
              <w:top w:w="100" w:type="dxa"/>
              <w:bottom w:w="100" w:type="dxa"/>
              <w:left w:w="140" w:type="dxa"/>
              <w:right w:w="140" w:type="dxa"/>
            </w:tcMar>
          </w:tcPr>
          <w:p>
            <w:r>
              <w:rPr>
                <w:rFonts w:ascii="Arial" w:hAnsi="Arial"/>
                <w:color w:val="2D3748"/>
                <w:sz w:val="18"/>
              </w:rPr>
              <w:t>Project Showcase</w:t>
            </w:r>
          </w:p>
        </w:tc>
        <w:tc>
          <w:tcPr>
            <w:tcW w:type="dxa" w:w="3456"/>
            <w:shd w:fill="FFFFFF"/>
            <w:tcMar>
              <w:top w:w="100" w:type="dxa"/>
              <w:bottom w:w="100" w:type="dxa"/>
              <w:left w:w="140" w:type="dxa"/>
              <w:right w:w="140" w:type="dxa"/>
            </w:tcMar>
          </w:tcPr>
          <w:p>
            <w:r>
              <w:rPr>
                <w:rFonts w:ascii="Arial" w:hAnsi="Arial"/>
                <w:color w:val="2D3748"/>
                <w:sz w:val="18"/>
              </w:rPr>
              <w:t>src/components/Showcase.tsx</w:t>
            </w:r>
          </w:p>
        </w:tc>
        <w:tc>
          <w:tcPr>
            <w:tcW w:type="dxa" w:w="3312"/>
            <w:shd w:fill="FFFFFF"/>
            <w:tcMar>
              <w:top w:w="100" w:type="dxa"/>
              <w:bottom w:w="100" w:type="dxa"/>
              <w:left w:w="140" w:type="dxa"/>
              <w:right w:w="140" w:type="dxa"/>
            </w:tcMar>
          </w:tcPr>
          <w:p>
            <w:r>
              <w:rPr>
                <w:rFonts w:ascii="Arial" w:hAnsi="Arial"/>
                <w:color w:val="2D3748"/>
                <w:sz w:val="18"/>
              </w:rPr>
              <w:t>public/images/marble_diamond_shine_4k.webp</w:t>
            </w:r>
          </w:p>
        </w:tc>
      </w:tr>
      <w:tr>
        <w:tc>
          <w:tcPr>
            <w:tcW w:type="dxa" w:w="2592"/>
            <w:shd w:fill="F8FAFC"/>
            <w:tcMar>
              <w:top w:w="100" w:type="dxa"/>
              <w:bottom w:w="100" w:type="dxa"/>
              <w:left w:w="140" w:type="dxa"/>
              <w:right w:w="140" w:type="dxa"/>
            </w:tcMar>
          </w:tcPr>
          <w:p>
            <w:r>
              <w:rPr>
                <w:rFonts w:ascii="Arial" w:hAnsi="Arial"/>
                <w:color w:val="2D3748"/>
                <w:sz w:val="18"/>
              </w:rPr>
              <w:t>Why Us &amp; SLA</w:t>
            </w:r>
          </w:p>
        </w:tc>
        <w:tc>
          <w:tcPr>
            <w:tcW w:type="dxa" w:w="3456"/>
            <w:shd w:fill="F8FAFC"/>
            <w:tcMar>
              <w:top w:w="100" w:type="dxa"/>
              <w:bottom w:w="100" w:type="dxa"/>
              <w:left w:w="140" w:type="dxa"/>
              <w:right w:w="140" w:type="dxa"/>
            </w:tcMar>
          </w:tcPr>
          <w:p>
            <w:r>
              <w:rPr>
                <w:rFonts w:ascii="Arial" w:hAnsi="Arial"/>
                <w:color w:val="2D3748"/>
                <w:sz w:val="18"/>
              </w:rPr>
              <w:t>src/components/WhyUs.tsx</w:t>
            </w:r>
          </w:p>
        </w:tc>
        <w:tc>
          <w:tcPr>
            <w:tcW w:type="dxa" w:w="3312"/>
            <w:shd w:fill="F8FAFC"/>
            <w:tcMar>
              <w:top w:w="100" w:type="dxa"/>
              <w:bottom w:w="100" w:type="dxa"/>
              <w:left w:w="140" w:type="dxa"/>
              <w:right w:w="140" w:type="dxa"/>
            </w:tcMar>
          </w:tcPr>
          <w:p>
            <w:r>
              <w:rPr>
                <w:rFonts w:ascii="Arial" w:hAnsi="Arial"/>
                <w:color w:val="2D3748"/>
                <w:sz w:val="18"/>
              </w:rPr>
              <w:t>Comparative SLA tables</w:t>
            </w:r>
          </w:p>
        </w:tc>
      </w:tr>
      <w:tr>
        <w:tc>
          <w:tcPr>
            <w:tcW w:type="dxa" w:w="2592"/>
            <w:shd w:fill="FFFFFF"/>
            <w:tcMar>
              <w:top w:w="100" w:type="dxa"/>
              <w:bottom w:w="100" w:type="dxa"/>
              <w:left w:w="140" w:type="dxa"/>
              <w:right w:w="140" w:type="dxa"/>
            </w:tcMar>
          </w:tcPr>
          <w:p>
            <w:r>
              <w:rPr>
                <w:rFonts w:ascii="Arial" w:hAnsi="Arial"/>
                <w:color w:val="2D3748"/>
                <w:sz w:val="18"/>
              </w:rPr>
              <w:t>Client Testimonials</w:t>
            </w:r>
          </w:p>
        </w:tc>
        <w:tc>
          <w:tcPr>
            <w:tcW w:type="dxa" w:w="3456"/>
            <w:shd w:fill="FFFFFF"/>
            <w:tcMar>
              <w:top w:w="100" w:type="dxa"/>
              <w:bottom w:w="100" w:type="dxa"/>
              <w:left w:w="140" w:type="dxa"/>
              <w:right w:w="140" w:type="dxa"/>
            </w:tcMar>
          </w:tcPr>
          <w:p>
            <w:r>
              <w:rPr>
                <w:rFonts w:ascii="Arial" w:hAnsi="Arial"/>
                <w:color w:val="2D3748"/>
                <w:sz w:val="18"/>
              </w:rPr>
              <w:t>src/components/Testimonials.tsx</w:t>
            </w:r>
          </w:p>
        </w:tc>
        <w:tc>
          <w:tcPr>
            <w:tcW w:type="dxa" w:w="3312"/>
            <w:shd w:fill="FFFFFF"/>
            <w:tcMar>
              <w:top w:w="100" w:type="dxa"/>
              <w:bottom w:w="100" w:type="dxa"/>
              <w:left w:w="140" w:type="dxa"/>
              <w:right w:w="140" w:type="dxa"/>
            </w:tcMar>
          </w:tcPr>
          <w:p>
            <w:r>
              <w:rPr>
                <w:rFonts w:ascii="Arial" w:hAnsi="Arial"/>
                <w:color w:val="2D3748"/>
                <w:sz w:val="18"/>
              </w:rPr>
              <w:t>Client case study cards</w:t>
            </w:r>
          </w:p>
        </w:tc>
      </w:tr>
      <w:tr>
        <w:tc>
          <w:tcPr>
            <w:tcW w:type="dxa" w:w="2592"/>
            <w:shd w:fill="F8FAFC"/>
            <w:tcMar>
              <w:top w:w="100" w:type="dxa"/>
              <w:bottom w:w="100" w:type="dxa"/>
              <w:left w:w="140" w:type="dxa"/>
              <w:right w:w="140" w:type="dxa"/>
            </w:tcMar>
          </w:tcPr>
          <w:p>
            <w:r>
              <w:rPr>
                <w:rFonts w:ascii="Arial" w:hAnsi="Arial"/>
                <w:color w:val="2D3748"/>
                <w:sz w:val="18"/>
              </w:rPr>
              <w:t>Founder Leadership</w:t>
            </w:r>
          </w:p>
        </w:tc>
        <w:tc>
          <w:tcPr>
            <w:tcW w:type="dxa" w:w="3456"/>
            <w:shd w:fill="F8FAFC"/>
            <w:tcMar>
              <w:top w:w="100" w:type="dxa"/>
              <w:bottom w:w="100" w:type="dxa"/>
              <w:left w:w="140" w:type="dxa"/>
              <w:right w:w="140" w:type="dxa"/>
            </w:tcMar>
          </w:tcPr>
          <w:p>
            <w:r>
              <w:rPr>
                <w:rFonts w:ascii="Arial" w:hAnsi="Arial"/>
                <w:color w:val="2D3748"/>
                <w:sz w:val="18"/>
              </w:rPr>
              <w:t>src/components/Founder.tsx</w:t>
            </w:r>
          </w:p>
        </w:tc>
        <w:tc>
          <w:tcPr>
            <w:tcW w:type="dxa" w:w="3312"/>
            <w:shd w:fill="F8FAFC"/>
            <w:tcMar>
              <w:top w:w="100" w:type="dxa"/>
              <w:bottom w:w="100" w:type="dxa"/>
              <w:left w:w="140" w:type="dxa"/>
              <w:right w:w="140" w:type="dxa"/>
            </w:tcMar>
          </w:tcPr>
          <w:p>
            <w:r>
              <w:rPr>
                <w:rFonts w:ascii="Arial" w:hAnsi="Arial"/>
                <w:color w:val="2D3748"/>
                <w:sz w:val="18"/>
              </w:rPr>
              <w:t>Executive profile &amp; philosophy</w:t>
            </w:r>
          </w:p>
        </w:tc>
      </w:tr>
      <w:tr>
        <w:tc>
          <w:tcPr>
            <w:tcW w:type="dxa" w:w="2592"/>
            <w:shd w:fill="FFFFFF"/>
            <w:tcMar>
              <w:top w:w="100" w:type="dxa"/>
              <w:bottom w:w="100" w:type="dxa"/>
              <w:left w:w="140" w:type="dxa"/>
              <w:right w:w="140" w:type="dxa"/>
            </w:tcMar>
          </w:tcPr>
          <w:p>
            <w:r>
              <w:rPr>
                <w:rFonts w:ascii="Arial" w:hAnsi="Arial"/>
                <w:color w:val="2D3748"/>
                <w:sz w:val="18"/>
              </w:rPr>
              <w:t>Knowledge Base</w:t>
            </w:r>
          </w:p>
        </w:tc>
        <w:tc>
          <w:tcPr>
            <w:tcW w:type="dxa" w:w="3456"/>
            <w:shd w:fill="FFFFFF"/>
            <w:tcMar>
              <w:top w:w="100" w:type="dxa"/>
              <w:bottom w:w="100" w:type="dxa"/>
              <w:left w:w="140" w:type="dxa"/>
              <w:right w:w="140" w:type="dxa"/>
            </w:tcMar>
          </w:tcPr>
          <w:p>
            <w:r>
              <w:rPr>
                <w:rFonts w:ascii="Arial" w:hAnsi="Arial"/>
                <w:color w:val="2D3748"/>
                <w:sz w:val="18"/>
              </w:rPr>
              <w:t>src/components/Blog.tsx, AllArticles.tsx</w:t>
            </w:r>
          </w:p>
        </w:tc>
        <w:tc>
          <w:tcPr>
            <w:tcW w:type="dxa" w:w="3312"/>
            <w:shd w:fill="FFFFFF"/>
            <w:tcMar>
              <w:top w:w="100" w:type="dxa"/>
              <w:bottom w:w="100" w:type="dxa"/>
              <w:left w:w="140" w:type="dxa"/>
              <w:right w:w="140" w:type="dxa"/>
            </w:tcMar>
          </w:tcPr>
          <w:p>
            <w:r>
              <w:rPr>
                <w:rFonts w:ascii="Arial" w:hAnsi="Arial"/>
                <w:color w:val="2D3748"/>
                <w:sz w:val="18"/>
              </w:rPr>
              <w:t>Operational article catalog</w:t>
            </w:r>
          </w:p>
        </w:tc>
      </w:tr>
      <w:tr>
        <w:tc>
          <w:tcPr>
            <w:tcW w:type="dxa" w:w="2592"/>
            <w:shd w:fill="F8FAFC"/>
            <w:tcMar>
              <w:top w:w="100" w:type="dxa"/>
              <w:bottom w:w="100" w:type="dxa"/>
              <w:left w:w="140" w:type="dxa"/>
              <w:right w:w="140" w:type="dxa"/>
            </w:tcMar>
          </w:tcPr>
          <w:p>
            <w:r>
              <w:rPr>
                <w:rFonts w:ascii="Arial" w:hAnsi="Arial"/>
                <w:color w:val="2D3748"/>
                <w:sz w:val="18"/>
              </w:rPr>
              <w:t>Platform Audit Intake</w:t>
            </w:r>
          </w:p>
        </w:tc>
        <w:tc>
          <w:tcPr>
            <w:tcW w:type="dxa" w:w="3456"/>
            <w:shd w:fill="F8FAFC"/>
            <w:tcMar>
              <w:top w:w="100" w:type="dxa"/>
              <w:bottom w:w="100" w:type="dxa"/>
              <w:left w:w="140" w:type="dxa"/>
              <w:right w:w="140" w:type="dxa"/>
            </w:tcMar>
          </w:tcPr>
          <w:p>
            <w:r>
              <w:rPr>
                <w:rFonts w:ascii="Arial" w:hAnsi="Arial"/>
                <w:color w:val="2D3748"/>
                <w:sz w:val="18"/>
              </w:rPr>
              <w:t>src/components/Contact.tsx</w:t>
            </w:r>
          </w:p>
        </w:tc>
        <w:tc>
          <w:tcPr>
            <w:tcW w:type="dxa" w:w="3312"/>
            <w:shd w:fill="F8FAFC"/>
            <w:tcMar>
              <w:top w:w="100" w:type="dxa"/>
              <w:bottom w:w="100" w:type="dxa"/>
              <w:left w:w="140" w:type="dxa"/>
              <w:right w:w="140" w:type="dxa"/>
            </w:tcMar>
          </w:tcPr>
          <w:p>
            <w:r>
              <w:rPr>
                <w:rFonts w:ascii="Arial" w:hAnsi="Arial"/>
                <w:color w:val="2D3748"/>
                <w:sz w:val="18"/>
              </w:rPr>
              <w:t>VITE_FORM_ENDPOINT webhook</w:t>
            </w:r>
          </w:p>
        </w:tc>
      </w:tr>
      <w:tr>
        <w:tc>
          <w:tcPr>
            <w:tcW w:type="dxa" w:w="2592"/>
            <w:shd w:fill="FFFFFF"/>
            <w:tcMar>
              <w:top w:w="100" w:type="dxa"/>
              <w:bottom w:w="100" w:type="dxa"/>
              <w:left w:w="140" w:type="dxa"/>
              <w:right w:w="140" w:type="dxa"/>
            </w:tcMar>
          </w:tcPr>
          <w:p>
            <w:r>
              <w:rPr>
                <w:rFonts w:ascii="Arial" w:hAnsi="Arial"/>
                <w:color w:val="2D3748"/>
                <w:sz w:val="18"/>
              </w:rPr>
              <w:t>Corporate Footer</w:t>
            </w:r>
          </w:p>
        </w:tc>
        <w:tc>
          <w:tcPr>
            <w:tcW w:type="dxa" w:w="3456"/>
            <w:shd w:fill="FFFFFF"/>
            <w:tcMar>
              <w:top w:w="100" w:type="dxa"/>
              <w:bottom w:w="100" w:type="dxa"/>
              <w:left w:w="140" w:type="dxa"/>
              <w:right w:w="140" w:type="dxa"/>
            </w:tcMar>
          </w:tcPr>
          <w:p>
            <w:r>
              <w:rPr>
                <w:rFonts w:ascii="Arial" w:hAnsi="Arial"/>
                <w:color w:val="2D3748"/>
                <w:sz w:val="18"/>
              </w:rPr>
              <w:t>src/components/Footer.tsx</w:t>
            </w:r>
          </w:p>
        </w:tc>
        <w:tc>
          <w:tcPr>
            <w:tcW w:type="dxa" w:w="3312"/>
            <w:shd w:fill="FFFFFF"/>
            <w:tcMar>
              <w:top w:w="100" w:type="dxa"/>
              <w:bottom w:w="100" w:type="dxa"/>
              <w:left w:w="140" w:type="dxa"/>
              <w:right w:w="140" w:type="dxa"/>
            </w:tcMar>
          </w:tcPr>
          <w:p>
            <w:r>
              <w:rPr>
                <w:rFonts w:ascii="Arial" w:hAnsi="Arial"/>
                <w:color w:val="2D3748"/>
                <w:sz w:val="18"/>
              </w:rPr>
              <w:t>bizSAFE 3, NEA license badges</w:t>
            </w:r>
          </w:p>
        </w:tc>
      </w:tr>
      <w:tr>
        <w:tc>
          <w:tcPr>
            <w:tcW w:type="dxa" w:w="2592"/>
            <w:shd w:fill="F8FAFC"/>
            <w:tcMar>
              <w:top w:w="100" w:type="dxa"/>
              <w:bottom w:w="100" w:type="dxa"/>
              <w:left w:w="140" w:type="dxa"/>
              <w:right w:w="140" w:type="dxa"/>
            </w:tcMar>
          </w:tcPr>
          <w:p>
            <w:r>
              <w:rPr>
                <w:rFonts w:ascii="Arial" w:hAnsi="Arial"/>
                <w:color w:val="2D3748"/>
                <w:sz w:val="18"/>
              </w:rPr>
              <w:t>Mainframe Labs</w:t>
            </w:r>
          </w:p>
        </w:tc>
        <w:tc>
          <w:tcPr>
            <w:tcW w:type="dxa" w:w="3456"/>
            <w:shd w:fill="F8FAFC"/>
            <w:tcMar>
              <w:top w:w="100" w:type="dxa"/>
              <w:bottom w:w="100" w:type="dxa"/>
              <w:left w:w="140" w:type="dxa"/>
              <w:right w:w="140" w:type="dxa"/>
            </w:tcMar>
          </w:tcPr>
          <w:p>
            <w:r>
              <w:rPr>
                <w:rFonts w:ascii="Arial" w:hAnsi="Arial"/>
                <w:color w:val="2D3748"/>
                <w:sz w:val="18"/>
              </w:rPr>
              <w:t>src/components/MainframeHero.tsx</w:t>
            </w:r>
          </w:p>
        </w:tc>
        <w:tc>
          <w:tcPr>
            <w:tcW w:type="dxa" w:w="3312"/>
            <w:shd w:fill="F8FAFC"/>
            <w:tcMar>
              <w:top w:w="100" w:type="dxa"/>
              <w:bottom w:w="100" w:type="dxa"/>
              <w:left w:w="140" w:type="dxa"/>
              <w:right w:w="140" w:type="dxa"/>
            </w:tcMar>
          </w:tcPr>
          <w:p>
            <w:r>
              <w:rPr>
                <w:rFonts w:ascii="Arial" w:hAnsi="Arial"/>
                <w:color w:val="2D3748"/>
                <w:sz w:val="18"/>
              </w:rPr>
              <w:t>Labs R&amp;D studio module</w:t>
            </w:r>
          </w:p>
        </w:tc>
      </w:tr>
    </w:tbl>
    <w:sectPr w:rsidR="00FC693F" w:rsidRPr="0006063C" w:rsidSect="00034616">
      <w:headerReference w:type="default" r:id="rId10"/>
      <w:footerReference w:type="default" r:id="rId11"/>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18096"/>
        <w:sz w:val="16"/>
      </w:rPr>
      <w:t>CONFIDENTIAL · INTERNAL TL REVIEW · OPHRON SYSTEMS (SINGAPORE)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6"/>
      </w:rPr>
      <w:t>OPHRON Operational Platform — Complete Website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