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rPr>
        <w:t>User Guide for “analyze10x</w:t>
      </w:r>
      <w:r>
        <w:rPr>
          <w:rFonts w:hint="default" w:ascii="Times New Roman" w:hAnsi="Times New Roman" w:cs="Times New Roman"/>
          <w:b/>
          <w:bCs/>
          <w:sz w:val="22"/>
          <w:szCs w:val="22"/>
          <w:lang w:val="en-IN"/>
        </w:rPr>
        <w:t>g</w:t>
      </w:r>
      <w:r>
        <w:rPr>
          <w:rFonts w:hint="default" w:ascii="Times New Roman" w:hAnsi="Times New Roman" w:cs="Times New Roman"/>
          <w:b/>
          <w:bCs/>
          <w:sz w:val="22"/>
          <w:szCs w:val="22"/>
        </w:rPr>
        <w:t>enomCancer” Function</w:t>
      </w:r>
    </w:p>
    <w:p>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Overview</w:t>
      </w:r>
    </w:p>
    <w:p>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14:ligatures w14:val="standardContextual"/>
        </w:rPr>
      </w:pPr>
      <w:r>
        <w:rPr>
          <w:rFonts w:hint="default" w:ascii="Times New Roman" w:hAnsi="Times New Roman" w:cs="Times New Roman"/>
          <w:sz w:val="22"/>
          <w:szCs w:val="22"/>
        </w:rPr>
        <w:t xml:space="preserve">The </w:t>
      </w:r>
      <w:r>
        <w:rPr>
          <w:rFonts w:hint="default" w:ascii="Times New Roman" w:hAnsi="Times New Roman" w:cs="Times New Roman"/>
          <w:b/>
          <w:bCs/>
          <w:sz w:val="22"/>
          <w:szCs w:val="22"/>
        </w:rPr>
        <w:t>analyze10x</w:t>
      </w:r>
      <w:r>
        <w:rPr>
          <w:rFonts w:hint="default" w:ascii="Times New Roman" w:hAnsi="Times New Roman" w:cs="Times New Roman"/>
          <w:b/>
          <w:bCs/>
          <w:sz w:val="22"/>
          <w:szCs w:val="22"/>
          <w:lang w:val="en-IN"/>
        </w:rPr>
        <w:t>g</w:t>
      </w:r>
      <w:r>
        <w:rPr>
          <w:rFonts w:hint="default" w:ascii="Times New Roman" w:hAnsi="Times New Roman" w:cs="Times New Roman"/>
          <w:b/>
          <w:bCs/>
          <w:sz w:val="22"/>
          <w:szCs w:val="22"/>
        </w:rPr>
        <w:t>enomCancer</w:t>
      </w:r>
      <w:r>
        <w:rPr>
          <w:rFonts w:hint="default" w:ascii="Times New Roman" w:hAnsi="Times New Roman" w:cs="Times New Roman"/>
          <w:sz w:val="22"/>
          <w:szCs w:val="22"/>
        </w:rPr>
        <w:t xml:space="preserve"> function is designed to process 10x Genomics single-cell RNA-seq data, specifically aimed at cancer research. This function handles data loading, preprocessing, clustering, and visualization, along with advanced analyses like gene correlation network construction and the calculation of Hausdorff distances for cluster comparisons, and Cancer classification</w:t>
      </w:r>
      <w:r>
        <w:rPr>
          <w:rFonts w:hint="default" w:ascii="Times New Roman" w:hAnsi="Times New Roman" w:cs="Times New Roman"/>
          <w:sz w:val="22"/>
          <w:szCs w:val="22"/>
          <w:lang w:val="en-US"/>
        </w:rPr>
        <w:t xml:space="preserve">. </w:t>
      </w:r>
      <w:r>
        <w:rPr>
          <w:rFonts w:hint="default" w:ascii="Times New Roman" w:hAnsi="Times New Roman" w:eastAsia="SimSun" w:cs="Times New Roman"/>
          <w:kern w:val="0"/>
          <w:sz w:val="22"/>
          <w:szCs w:val="22"/>
          <w:lang w:val="en-US" w:eastAsia="zh-CN" w:bidi="ar"/>
          <w14:ligatures w14:val="standardContextual"/>
        </w:rPr>
        <w:t>By comparing the function’s output line plot and norm table with the stacked line plots and norm values from</w:t>
      </w:r>
      <w:r>
        <w:rPr>
          <w:rFonts w:hint="default" w:ascii="Times New Roman" w:hAnsi="Times New Roman" w:eastAsia="SimSun" w:cs="Times New Roman"/>
          <w:kern w:val="0"/>
          <w:sz w:val="22"/>
          <w:szCs w:val="22"/>
          <w:lang w:val="en-IN" w:eastAsia="zh-CN" w:bidi="ar"/>
          <w14:ligatures w14:val="standardContextual"/>
        </w:rPr>
        <w:t xml:space="preserve"> the</w:t>
      </w:r>
      <w:r>
        <w:rPr>
          <w:rFonts w:hint="default" w:ascii="Times New Roman" w:hAnsi="Times New Roman" w:eastAsia="SimSun" w:cs="Times New Roman"/>
          <w:kern w:val="0"/>
          <w:sz w:val="22"/>
          <w:szCs w:val="22"/>
          <w:lang w:val="en-US" w:eastAsia="zh-CN" w:bidi="ar"/>
          <w14:ligatures w14:val="standardContextual"/>
        </w:rPr>
        <w:t xml:space="preserve"> training datasets, cancer can be predicted.</w:t>
      </w:r>
    </w:p>
    <w:p>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Usage</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function can be used in a default mode with minimal required inputs but also allows for extensive customization through various parameters.</w:t>
      </w:r>
    </w:p>
    <w:p>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lang w:val="en-US"/>
        </w:rPr>
        <w:t xml:space="preserve">Input and </w:t>
      </w:r>
      <w:r>
        <w:rPr>
          <w:rFonts w:hint="default" w:ascii="Times New Roman" w:hAnsi="Times New Roman" w:cs="Times New Roman"/>
          <w:b/>
          <w:bCs/>
          <w:sz w:val="22"/>
          <w:szCs w:val="22"/>
        </w:rPr>
        <w:t>Parameters</w:t>
      </w:r>
    </w:p>
    <w:p>
      <w:pPr>
        <w:numPr>
          <w:ilvl w:val="0"/>
          <w:numId w:val="1"/>
        </w:numPr>
        <w:spacing w:line="240" w:lineRule="auto"/>
        <w:jc w:val="both"/>
        <w:rPr>
          <w:rFonts w:hint="default" w:ascii="Times New Roman" w:hAnsi="Times New Roman" w:cs="Times New Roman"/>
          <w:sz w:val="22"/>
          <w:szCs w:val="22"/>
        </w:rPr>
      </w:pPr>
      <w:r>
        <w:rPr>
          <w:rFonts w:hint="default" w:ascii="Times New Roman" w:hAnsi="Times New Roman" w:cs="Times New Roman"/>
          <w:b/>
          <w:bCs/>
          <w:sz w:val="22"/>
          <w:szCs w:val="22"/>
          <w:lang w:val="en-IN"/>
        </w:rPr>
        <w:t>Dataset</w:t>
      </w:r>
      <w:r>
        <w:rPr>
          <w:rFonts w:hint="default" w:ascii="Times New Roman" w:hAnsi="Times New Roman" w:cs="Times New Roman"/>
          <w:sz w:val="22"/>
          <w:szCs w:val="22"/>
          <w:lang w:val="en-IN"/>
        </w:rPr>
        <w:t xml:space="preserve">: 10x Genomics scRNAseq dataset of cancer </w:t>
      </w:r>
      <w:r>
        <w:rPr>
          <w:rFonts w:hint="default" w:ascii="Times New Roman" w:hAnsi="Times New Roman" w:cs="Times New Roman"/>
          <w:sz w:val="22"/>
          <w:szCs w:val="22"/>
        </w:rPr>
        <w:t>(HDF5 format)</w:t>
      </w:r>
      <w:r>
        <w:rPr>
          <w:rFonts w:hint="default" w:ascii="Times New Roman" w:hAnsi="Times New Roman" w:cs="Times New Roman"/>
          <w:sz w:val="22"/>
          <w:szCs w:val="22"/>
          <w:lang w:val="en-IN"/>
        </w:rPr>
        <w:t>.</w:t>
      </w:r>
    </w:p>
    <w:p>
      <w:pPr>
        <w:numPr>
          <w:ilvl w:val="0"/>
          <w:numId w:val="1"/>
        </w:numPr>
        <w:spacing w:line="24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file_path</w:t>
      </w:r>
      <w:r>
        <w:rPr>
          <w:rFonts w:hint="default" w:ascii="Times New Roman" w:hAnsi="Times New Roman" w:cs="Times New Roman"/>
          <w:sz w:val="22"/>
          <w:szCs w:val="22"/>
        </w:rPr>
        <w:t xml:space="preserve">: Path to the file containing the </w:t>
      </w:r>
      <w:r>
        <w:rPr>
          <w:rFonts w:hint="default" w:ascii="Times New Roman" w:hAnsi="Times New Roman" w:cs="Times New Roman"/>
          <w:sz w:val="22"/>
          <w:szCs w:val="22"/>
          <w:lang w:val="en-IN"/>
        </w:rPr>
        <w:t>10x Genomics scRNAseq dataset of cancer</w:t>
      </w:r>
      <w:r>
        <w:rPr>
          <w:rFonts w:hint="default" w:ascii="Times New Roman" w:hAnsi="Times New Roman" w:cs="Times New Roman"/>
          <w:sz w:val="22"/>
          <w:szCs w:val="22"/>
        </w:rPr>
        <w:t xml:space="preserve"> (HDF5 format).</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3"/>
        <w:gridCol w:w="1465"/>
        <w:gridCol w:w="1884"/>
        <w:gridCol w:w="3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bottom w:val="single" w:color="auto" w:sz="4" w:space="0"/>
            </w:tcBorders>
            <w:shd w:val="clear" w:color="auto" w:fill="E8E8E8" w:themeFill="background2"/>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Parameter</w:t>
            </w:r>
          </w:p>
        </w:tc>
        <w:tc>
          <w:tcPr>
            <w:tcW w:w="756" w:type="pct"/>
            <w:tcBorders>
              <w:bottom w:val="single" w:color="auto" w:sz="4" w:space="0"/>
            </w:tcBorders>
            <w:shd w:val="clear" w:color="auto" w:fill="E8E8E8" w:themeFill="background2"/>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Values</w:t>
            </w:r>
          </w:p>
        </w:tc>
        <w:tc>
          <w:tcPr>
            <w:tcW w:w="979" w:type="pct"/>
            <w:tcBorders>
              <w:bottom w:val="single" w:color="auto" w:sz="4" w:space="0"/>
            </w:tcBorders>
            <w:shd w:val="clear" w:color="auto" w:fill="E8E8E8" w:themeFill="background2"/>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Parameter type</w:t>
            </w:r>
          </w:p>
        </w:tc>
        <w:tc>
          <w:tcPr>
            <w:tcW w:w="1705" w:type="pct"/>
            <w:tcBorders>
              <w:bottom w:val="single" w:color="auto" w:sz="4" w:space="0"/>
            </w:tcBorders>
            <w:shd w:val="clear" w:color="auto" w:fill="E8E8E8" w:themeFill="background2"/>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single" w:color="auto" w:sz="4" w:space="0"/>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 xml:space="preserve">min.cells </w:t>
            </w:r>
          </w:p>
        </w:tc>
        <w:tc>
          <w:tcPr>
            <w:tcW w:w="756" w:type="pct"/>
            <w:tcBorders>
              <w:top w:val="single" w:color="auto" w:sz="4" w:space="0"/>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3</w:t>
            </w:r>
          </w:p>
        </w:tc>
        <w:tc>
          <w:tcPr>
            <w:tcW w:w="979" w:type="pct"/>
            <w:tcBorders>
              <w:top w:val="single" w:color="auto" w:sz="4" w:space="0"/>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Default</w:t>
            </w:r>
          </w:p>
        </w:tc>
        <w:tc>
          <w:tcPr>
            <w:tcW w:w="1705" w:type="pct"/>
            <w:tcBorders>
              <w:top w:val="single" w:color="auto" w:sz="4" w:space="0"/>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Seurat object 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min.features</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100</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Default</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Seurat object 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Min features threshold</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User defined</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Filtration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Max features threshold</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User defined</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Filtration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Mitochondrial genes % threshold</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User defined</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Filtration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Scale factor</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10000</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Default</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Data Normalization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nfeatures</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2000</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Default</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High variable features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 xml:space="preserve">dimension </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User defined</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Number of PCs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Resolution Parameter</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User defined</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Clustering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alpha</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0.05</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Default</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Correlation network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Gene correlation threshold</w:t>
            </w:r>
          </w:p>
        </w:tc>
        <w:tc>
          <w:tcPr>
            <w:tcW w:w="756"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0.50-0.68</w:t>
            </w:r>
          </w:p>
        </w:tc>
        <w:tc>
          <w:tcPr>
            <w:tcW w:w="979" w:type="pct"/>
            <w:tcBorders>
              <w:top w:val="nil"/>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Default</w:t>
            </w:r>
          </w:p>
        </w:tc>
        <w:tc>
          <w:tcPr>
            <w:tcW w:w="1705" w:type="pct"/>
            <w:tcBorders>
              <w:top w:val="nil"/>
              <w:left w:val="nil"/>
              <w:bottom w:val="nil"/>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One at a time with the increment of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558" w:type="pct"/>
            <w:tcBorders>
              <w:top w:val="nil"/>
              <w:left w:val="single" w:color="auto" w:sz="4" w:space="0"/>
              <w:bottom w:val="single" w:color="auto" w:sz="4" w:space="0"/>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Max possible RMSE value</w:t>
            </w:r>
          </w:p>
        </w:tc>
        <w:tc>
          <w:tcPr>
            <w:tcW w:w="756" w:type="pct"/>
            <w:tcBorders>
              <w:top w:val="nil"/>
              <w:left w:val="nil"/>
              <w:bottom w:val="single" w:color="auto" w:sz="4" w:space="0"/>
              <w:right w:val="nil"/>
            </w:tcBorders>
            <w:shd w:val="clear" w:color="auto" w:fill="auto"/>
            <w:noWrap/>
            <w:vAlign w:val="center"/>
          </w:tcPr>
          <w:p>
            <w:pPr>
              <w:spacing w:line="240" w:lineRule="auto"/>
              <w:jc w:val="both"/>
              <w:rPr>
                <w:rFonts w:hint="default" w:ascii="Times New Roman" w:hAnsi="Times New Roman" w:cs="Times New Roman"/>
                <w:sz w:val="22"/>
                <w:szCs w:val="22"/>
                <w:lang w:val="en-US" w:eastAsia="en-IN"/>
              </w:rPr>
            </w:pPr>
            <w:r>
              <w:rPr>
                <w:rFonts w:hint="default" w:ascii="Times New Roman" w:hAnsi="Times New Roman" w:cs="Times New Roman"/>
                <w:sz w:val="22"/>
                <w:szCs w:val="22"/>
                <w:lang w:val="en-US" w:eastAsia="en-IN"/>
              </w:rPr>
              <w:t>7</w:t>
            </w:r>
          </w:p>
        </w:tc>
        <w:tc>
          <w:tcPr>
            <w:tcW w:w="979" w:type="pct"/>
            <w:tcBorders>
              <w:top w:val="nil"/>
              <w:left w:val="nil"/>
              <w:bottom w:val="single" w:color="auto" w:sz="4" w:space="0"/>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Default</w:t>
            </w:r>
          </w:p>
        </w:tc>
        <w:tc>
          <w:tcPr>
            <w:tcW w:w="1705" w:type="pct"/>
            <w:tcBorders>
              <w:top w:val="nil"/>
              <w:left w:val="nil"/>
              <w:bottom w:val="single" w:color="auto" w:sz="4" w:space="0"/>
              <w:right w:val="single" w:color="auto" w:sz="4" w:space="0"/>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Outcome normalization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5000" w:type="pct"/>
            <w:gridSpan w:val="4"/>
            <w:tcBorders>
              <w:top w:val="single" w:color="auto" w:sz="4" w:space="0"/>
              <w:left w:val="nil"/>
              <w:bottom w:val="nil"/>
              <w:right w:val="nil"/>
            </w:tcBorders>
            <w:shd w:val="clear" w:color="auto" w:fill="auto"/>
            <w:noWrap/>
            <w:vAlign w:val="center"/>
          </w:tcPr>
          <w:p>
            <w:pPr>
              <w:spacing w:line="240" w:lineRule="auto"/>
              <w:jc w:val="both"/>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R function: analyze10xgenomCancer() takes the input (*) of the said parameters and all other parameters set with the default values</w:t>
            </w:r>
          </w:p>
        </w:tc>
      </w:tr>
    </w:tbl>
    <w:p>
      <w:pPr>
        <w:spacing w:line="240" w:lineRule="auto"/>
        <w:jc w:val="both"/>
        <w:rPr>
          <w:rFonts w:hint="default" w:ascii="Times New Roman" w:hAnsi="Times New Roman" w:cs="Times New Roman"/>
          <w:b/>
          <w:bCs/>
          <w:sz w:val="22"/>
          <w:szCs w:val="22"/>
        </w:rPr>
      </w:pPr>
    </w:p>
    <w:p>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Example Usage</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Here are two example commands to run the </w:t>
      </w:r>
      <w:r>
        <w:rPr>
          <w:rFonts w:hint="default" w:ascii="Times New Roman" w:hAnsi="Times New Roman" w:cs="Times New Roman"/>
          <w:b/>
          <w:bCs/>
          <w:sz w:val="22"/>
          <w:szCs w:val="22"/>
        </w:rPr>
        <w:t>analyze10x</w:t>
      </w:r>
      <w:r>
        <w:rPr>
          <w:rFonts w:hint="default" w:ascii="Times New Roman" w:hAnsi="Times New Roman" w:cs="Times New Roman"/>
          <w:b/>
          <w:bCs/>
          <w:sz w:val="22"/>
          <w:szCs w:val="22"/>
          <w:lang w:val="en-IN"/>
        </w:rPr>
        <w:t>g</w:t>
      </w:r>
      <w:r>
        <w:rPr>
          <w:rFonts w:hint="default" w:ascii="Times New Roman" w:hAnsi="Times New Roman" w:cs="Times New Roman"/>
          <w:b/>
          <w:bCs/>
          <w:sz w:val="22"/>
          <w:szCs w:val="22"/>
        </w:rPr>
        <w:t>enomCancer</w:t>
      </w:r>
      <w:r>
        <w:rPr>
          <w:rFonts w:hint="default" w:ascii="Times New Roman" w:hAnsi="Times New Roman" w:cs="Times New Roman"/>
          <w:sz w:val="22"/>
          <w:szCs w:val="22"/>
        </w:rPr>
        <w:t xml:space="preserve"> function based on different user needs:</w:t>
      </w:r>
    </w:p>
    <w:p>
      <w:pPr>
        <w:jc w:val="both"/>
        <w:rPr>
          <w:rFonts w:hint="default" w:ascii="Times New Roman" w:hAnsi="Times New Roman" w:cs="Times New Roman"/>
          <w:sz w:val="22"/>
          <w:szCs w:val="22"/>
        </w:rPr>
      </w:pPr>
      <w:r>
        <w:rPr>
          <w:rFonts w:hint="default" w:ascii="Times New Roman" w:hAnsi="Times New Roman" w:cs="Times New Roman"/>
          <w:sz w:val="22"/>
          <w:szCs w:val="22"/>
          <w:lang w:val="en-US"/>
        </w:rPr>
        <w:t>For a filtered dataset within the sample size range 2500-5000 obtained from the 10x Genomics Database, set the min_features=0, max_features= 25000, mt_threshold= 100 in the following R-function after running the function to use the whole dataset information. The ‘dims’ and ‘resolution’ are user defined parameters. In this example we chose a breast cancer dataset which is of size 3,813;</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lang w:val="en-US"/>
        </w:rPr>
        <w:t>so we set the parameters as mentioned above. We set dims=1:10 and resolution=0.2</w:t>
      </w:r>
      <w:r>
        <w:rPr>
          <w:rFonts w:hint="default" w:ascii="Times New Roman" w:hAnsi="Times New Roman" w:cs="Times New Roman"/>
          <w:sz w:val="22"/>
          <w:szCs w:val="22"/>
          <w:lang w:val="en-IN"/>
        </w:rPr>
        <w:t xml:space="preserve"> in the function as default value to illustrate this</w:t>
      </w:r>
      <w:r>
        <w:rPr>
          <w:rFonts w:hint="default" w:ascii="Times New Roman" w:hAnsi="Times New Roman" w:cs="Times New Roman"/>
          <w:sz w:val="22"/>
          <w:szCs w:val="22"/>
          <w:lang w:val="en-US"/>
        </w:rPr>
        <w:t xml:space="preserve"> particular example.</w:t>
      </w:r>
      <w:r>
        <w:rPr>
          <w:rFonts w:hint="default" w:ascii="Times New Roman" w:hAnsi="Times New Roman" w:cs="Times New Roman"/>
          <w:sz w:val="22"/>
          <w:szCs w:val="22"/>
        </w:rPr>
        <w:t xml:space="preserve"> In this case the following command will be fine:</w:t>
      </w:r>
    </w:p>
    <w:p>
      <w:pPr>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US"/>
        </w:rPr>
        <w:t>analyze10xgenomCancer(“</w:t>
      </w:r>
      <w:r>
        <w:rPr>
          <w:rFonts w:hint="default" w:ascii="Times New Roman" w:hAnsi="Times New Roman" w:cs="Times New Roman"/>
          <w:sz w:val="22"/>
          <w:szCs w:val="22"/>
        </w:rPr>
        <w:t>file_path \\V1_Breast_Cancer_Block_A_Section_1_filtered_feature_bc_matrix.h5</w:t>
      </w:r>
      <w:r>
        <w:rPr>
          <w:rFonts w:hint="default" w:ascii="Times New Roman" w:hAnsi="Times New Roman" w:cs="Times New Roman"/>
          <w:sz w:val="22"/>
          <w:szCs w:val="22"/>
          <w:lang w:val="en-US"/>
        </w:rPr>
        <w:t>”</w:t>
      </w:r>
      <w:r>
        <w:rPr>
          <w:rFonts w:hint="default" w:ascii="Times New Roman" w:hAnsi="Times New Roman" w:cs="Times New Roman"/>
          <w:sz w:val="22"/>
          <w:szCs w:val="22"/>
          <w:lang w:val="en-IN"/>
        </w:rPr>
        <w:t>)</w:t>
      </w:r>
    </w:p>
    <w:p>
      <w:pPr>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Or</w:t>
      </w:r>
    </w:p>
    <w:p>
      <w:pPr>
        <w:spacing w:line="240" w:lineRule="auto"/>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US"/>
        </w:rPr>
        <w:t>analyze10xgenomCancer(“</w:t>
      </w:r>
      <w:r>
        <w:rPr>
          <w:rFonts w:hint="default" w:ascii="Times New Roman" w:hAnsi="Times New Roman" w:cs="Times New Roman"/>
          <w:sz w:val="22"/>
          <w:szCs w:val="22"/>
        </w:rPr>
        <w:t>file_path \\V1_Breast_Cancer_Block_A_Section_1_filtered_feature_bc_matrix.h5</w:t>
      </w:r>
      <w:r>
        <w:rPr>
          <w:rFonts w:hint="default" w:ascii="Times New Roman" w:hAnsi="Times New Roman" w:cs="Times New Roman"/>
          <w:sz w:val="22"/>
          <w:szCs w:val="22"/>
          <w:lang w:val="en-US"/>
        </w:rPr>
        <w:t>”</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lang w:val="en-US"/>
        </w:rPr>
        <w:t>25000, 100, 1:10, 0.2</w:t>
      </w:r>
      <w:r>
        <w:rPr>
          <w:rFonts w:hint="default" w:ascii="Times New Roman" w:hAnsi="Times New Roman" w:cs="Times New Roman"/>
          <w:sz w:val="22"/>
          <w:szCs w:val="22"/>
          <w:lang w:val="en-IN"/>
        </w:rPr>
        <w:t>)</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rPr>
        <w:t xml:space="preserve">For a filtered dataset with the sample size larger than 5000 obtained from the 10x Genomics Database, the min_features, max_features, mt_threshold, dims and resolution all are user defined parameters. </w:t>
      </w:r>
      <w:r>
        <w:rPr>
          <w:rFonts w:hint="default" w:ascii="Times New Roman" w:hAnsi="Times New Roman" w:cs="Times New Roman"/>
          <w:sz w:val="22"/>
          <w:szCs w:val="22"/>
        </w:rPr>
        <w:t>In this case the following command will be ok with setting the parameters by the user (See Table 2, S1</w:t>
      </w:r>
      <w:r>
        <w:rPr>
          <w:rFonts w:hint="default" w:ascii="Times New Roman" w:hAnsi="Times New Roman" w:cs="Times New Roman"/>
          <w:sz w:val="22"/>
          <w:szCs w:val="22"/>
          <w:lang w:val="en-US"/>
        </w:rPr>
        <w:t xml:space="preserve"> from the paper “An integrated computational framework utilizing single-cell genomics for precise classification and prediction of multiple cancer types” by Sudarshan Gogoi, Soumen Bera and Amit Chakraborty</w:t>
      </w:r>
      <w:r>
        <w:rPr>
          <w:rFonts w:hint="default" w:ascii="Times New Roman" w:hAnsi="Times New Roman" w:cs="Times New Roman"/>
          <w:sz w:val="22"/>
          <w:szCs w:val="22"/>
        </w:rPr>
        <w:t xml:space="preserve"> for details).</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analyze10xgenomCancer</w:t>
      </w:r>
      <w:r>
        <w:rPr>
          <w:rFonts w:hint="default" w:ascii="Times New Roman" w:hAnsi="Times New Roman" w:cs="Times New Roman"/>
          <w:sz w:val="22"/>
          <w:szCs w:val="22"/>
          <w:lang w:val="en-US"/>
        </w:rPr>
        <w:t>(“</w:t>
      </w:r>
      <w:r>
        <w:rPr>
          <w:rFonts w:hint="default" w:ascii="Times New Roman" w:hAnsi="Times New Roman" w:cs="Times New Roman"/>
          <w:sz w:val="22"/>
          <w:szCs w:val="22"/>
        </w:rPr>
        <w:t>file_path \\V1_Breast_Cancer_Block_A_Section_1_filtered_feature_bc_matrix.h5</w:t>
      </w:r>
      <w:r>
        <w:rPr>
          <w:rFonts w:hint="default" w:ascii="Times New Roman" w:hAnsi="Times New Roman" w:cs="Times New Roman"/>
          <w:sz w:val="22"/>
          <w:szCs w:val="22"/>
          <w:lang w:val="en-US"/>
        </w:rPr>
        <w:t>”</w:t>
      </w:r>
      <w:r>
        <w:rPr>
          <w:rFonts w:hint="default" w:ascii="Times New Roman" w:hAnsi="Times New Roman" w:cs="Times New Roman"/>
          <w:sz w:val="22"/>
          <w:szCs w:val="22"/>
        </w:rPr>
        <w:t>, min_features, max_features, mt_threshold, dims, resolution)</w:t>
      </w:r>
    </w:p>
    <w:p>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Output</w:t>
      </w:r>
    </w:p>
    <w:p>
      <w:pPr>
        <w:spacing w:line="240" w:lineRule="auto"/>
        <w:jc w:val="both"/>
        <w:rPr>
          <w:rFonts w:hint="default" w:ascii="Times New Roman" w:hAnsi="Times New Roman" w:cs="Times New Roman"/>
          <w:b/>
          <w:bCs/>
          <w:sz w:val="22"/>
          <w:szCs w:val="22"/>
        </w:rPr>
      </w:pPr>
      <w:r>
        <w:rPr>
          <w:rFonts w:hint="default" w:ascii="Times New Roman" w:hAnsi="Times New Roman" w:cs="Times New Roman"/>
          <w:sz w:val="22"/>
          <w:szCs w:val="22"/>
        </w:rPr>
        <w:t xml:space="preserve">The above function will return a UMAP plot, a line plot and finally a </w:t>
      </w:r>
      <w:r>
        <w:rPr>
          <w:rFonts w:hint="default" w:ascii="Times New Roman" w:hAnsi="Times New Roman" w:cs="Times New Roman"/>
          <w:b w:val="0"/>
          <w:bCs/>
          <w:sz w:val="22"/>
          <w:szCs w:val="22"/>
        </w:rPr>
        <w:t>Frobenius norm</w:t>
      </w:r>
      <w:r>
        <w:rPr>
          <w:rFonts w:hint="default" w:ascii="Times New Roman" w:hAnsi="Times New Roman" w:cs="Times New Roman"/>
          <w:b w:val="0"/>
          <w:bCs/>
          <w:sz w:val="22"/>
          <w:szCs w:val="22"/>
          <w:lang w:val="en-IN"/>
        </w:rPr>
        <w:t>s</w:t>
      </w:r>
      <w:r>
        <w:rPr>
          <w:rFonts w:hint="default" w:ascii="Times New Roman" w:hAnsi="Times New Roman" w:cs="Times New Roman"/>
          <w:b w:val="0"/>
          <w:bCs/>
          <w:sz w:val="22"/>
          <w:szCs w:val="22"/>
        </w:rPr>
        <w:t xml:space="preserve"> table</w:t>
      </w:r>
      <w:r>
        <w:rPr>
          <w:rFonts w:hint="default" w:ascii="Times New Roman" w:hAnsi="Times New Roman" w:cs="Times New Roman"/>
          <w:sz w:val="22"/>
          <w:szCs w:val="22"/>
        </w:rPr>
        <w:t xml:space="preserve"> at different gene correlation thresholds. If something wrong happens, an error information will be displayed.</w:t>
      </w:r>
      <w:bookmarkStart w:id="0" w:name="_GoBack"/>
      <w:bookmarkEnd w:id="0"/>
    </w:p>
    <w:p>
      <w:pPr>
        <w:numPr>
          <w:ilvl w:val="0"/>
          <w:numId w:val="2"/>
        </w:numPr>
        <w:spacing w:line="24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UMAPPlot</w:t>
      </w:r>
      <w:r>
        <w:rPr>
          <w:rFonts w:hint="default" w:ascii="Times New Roman" w:hAnsi="Times New Roman" w:cs="Times New Roman"/>
          <w:sz w:val="22"/>
          <w:szCs w:val="22"/>
        </w:rPr>
        <w:t>: A plot object showing the UMAP visualization of the data.</w:t>
      </w:r>
    </w:p>
    <w:p>
      <w:pPr>
        <w:pStyle w:val="29"/>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hint="default" w:ascii="Times New Roman" w:hAnsi="Times New Roman" w:eastAsia="Times New Roman" w:cs="Times New Roman"/>
          <w:color w:val="000000"/>
          <w:kern w:val="0"/>
          <w:sz w:val="22"/>
          <w:szCs w:val="22"/>
          <w14:ligatures w14:val="none"/>
        </w:rPr>
      </w:pPr>
      <w:r>
        <w:rPr>
          <w:rFonts w:hint="default" w:ascii="Times New Roman" w:hAnsi="Times New Roman" w:eastAsia="Times New Roman" w:cs="Times New Roman"/>
          <w:b/>
          <w:bCs/>
          <w:color w:val="000000"/>
          <w:kern w:val="0"/>
          <w:sz w:val="22"/>
          <w:szCs w:val="22"/>
          <w14:ligatures w14:val="none"/>
        </w:rPr>
        <w:t>Frobenius Norm</w:t>
      </w:r>
      <w:r>
        <w:rPr>
          <w:rFonts w:hint="default" w:ascii="Times New Roman" w:hAnsi="Times New Roman" w:eastAsia="Times New Roman" w:cs="Times New Roman"/>
          <w:b/>
          <w:bCs/>
          <w:color w:val="000000"/>
          <w:kern w:val="0"/>
          <w:sz w:val="22"/>
          <w:szCs w:val="22"/>
          <w:lang w:val="en-US"/>
          <w14:ligatures w14:val="none"/>
        </w:rPr>
        <w:t xml:space="preserve"> Table</w:t>
      </w:r>
      <w:r>
        <w:rPr>
          <w:rFonts w:hint="default" w:ascii="Times New Roman" w:hAnsi="Times New Roman" w:eastAsia="Times New Roman" w:cs="Times New Roman"/>
          <w:b/>
          <w:bCs/>
          <w:color w:val="000000"/>
          <w:kern w:val="0"/>
          <w:sz w:val="22"/>
          <w:szCs w:val="22"/>
          <w14:ligatures w14:val="none"/>
        </w:rPr>
        <w:t>:</w:t>
      </w:r>
      <w:r>
        <w:rPr>
          <w:rFonts w:hint="default" w:ascii="Times New Roman" w:hAnsi="Times New Roman" w:eastAsia="Times New Roman" w:cs="Times New Roman"/>
          <w:b/>
          <w:bCs/>
          <w:color w:val="000000"/>
          <w:kern w:val="0"/>
          <w:sz w:val="22"/>
          <w:szCs w:val="22"/>
          <w:lang w:val="en-US"/>
          <w14:ligatures w14:val="none"/>
        </w:rPr>
        <w:t xml:space="preserve"> </w:t>
      </w:r>
      <w:r>
        <w:rPr>
          <w:rFonts w:hint="default" w:ascii="Times New Roman" w:hAnsi="Times New Roman" w:eastAsia="Times New Roman" w:cs="Times New Roman"/>
          <w:b w:val="0"/>
          <w:bCs w:val="0"/>
          <w:color w:val="000000"/>
          <w:kern w:val="0"/>
          <w:sz w:val="22"/>
          <w:szCs w:val="22"/>
          <w:lang w:val="en-US"/>
          <w14:ligatures w14:val="none"/>
        </w:rPr>
        <w:t>A table showing</w:t>
      </w:r>
      <w:r>
        <w:rPr>
          <w:rFonts w:hint="default" w:ascii="Times New Roman" w:hAnsi="Times New Roman" w:eastAsia="Times New Roman" w:cs="Times New Roman"/>
          <w:b/>
          <w:bCs/>
          <w:color w:val="000000"/>
          <w:kern w:val="0"/>
          <w:sz w:val="22"/>
          <w:szCs w:val="22"/>
          <w14:ligatures w14:val="none"/>
        </w:rPr>
        <w:t xml:space="preserve"> </w:t>
      </w:r>
      <w:r>
        <w:rPr>
          <w:rFonts w:hint="default" w:ascii="Times New Roman" w:hAnsi="Times New Roman" w:eastAsia="Times New Roman" w:cs="Times New Roman"/>
          <w:b/>
          <w:bCs/>
          <w:color w:val="000000"/>
          <w:kern w:val="0"/>
          <w:sz w:val="22"/>
          <w:szCs w:val="22"/>
          <w:lang w:val="en-US"/>
          <w14:ligatures w14:val="none"/>
        </w:rPr>
        <w:t>c</w:t>
      </w:r>
      <w:r>
        <w:rPr>
          <w:rFonts w:hint="default" w:ascii="Times New Roman" w:hAnsi="Times New Roman" w:eastAsia="Times New Roman" w:cs="Times New Roman"/>
          <w:color w:val="000000"/>
          <w:kern w:val="0"/>
          <w:sz w:val="22"/>
          <w:szCs w:val="22"/>
          <w14:ligatures w14:val="none"/>
        </w:rPr>
        <w:t xml:space="preserve">hanges of Frobenius Norm in different threshold. </w:t>
      </w:r>
    </w:p>
    <w:p>
      <w:pPr>
        <w:pStyle w:val="29"/>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leftChars="0"/>
        <w:jc w:val="both"/>
        <w:rPr>
          <w:rFonts w:hint="default" w:ascii="Times New Roman" w:hAnsi="Times New Roman" w:eastAsia="Times New Roman" w:cs="Times New Roman"/>
          <w:color w:val="000000"/>
          <w:kern w:val="0"/>
          <w:sz w:val="22"/>
          <w:szCs w:val="22"/>
          <w14:ligatures w14:val="none"/>
        </w:rPr>
      </w:pPr>
    </w:p>
    <w:p>
      <w:pPr>
        <w:pStyle w:val="29"/>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hint="default" w:ascii="Times New Roman" w:hAnsi="Times New Roman" w:eastAsia="Times New Roman" w:cs="Times New Roman"/>
          <w:color w:val="000000"/>
          <w:kern w:val="0"/>
          <w:sz w:val="22"/>
          <w:szCs w:val="22"/>
          <w14:ligatures w14:val="none"/>
        </w:rPr>
      </w:pPr>
      <w:r>
        <w:rPr>
          <w:rFonts w:hint="default" w:ascii="Times New Roman" w:hAnsi="Times New Roman" w:eastAsia="Times New Roman" w:cs="Times New Roman"/>
          <w:b/>
          <w:bCs/>
          <w:color w:val="000000"/>
          <w:kern w:val="0"/>
          <w:sz w:val="22"/>
          <w:szCs w:val="22"/>
          <w:lang w:val="en-IN"/>
          <w14:ligatures w14:val="none"/>
        </w:rPr>
        <w:t>LinePlot</w:t>
      </w:r>
      <w:r>
        <w:rPr>
          <w:rFonts w:hint="default" w:ascii="Times New Roman" w:hAnsi="Times New Roman" w:eastAsia="Times New Roman" w:cs="Times New Roman"/>
          <w:color w:val="000000"/>
          <w:kern w:val="0"/>
          <w:sz w:val="22"/>
          <w:szCs w:val="22"/>
          <w:lang w:val="en-IN"/>
          <w14:ligatures w14:val="none"/>
        </w:rPr>
        <w:t xml:space="preserve">: A plot object showing changes of </w:t>
      </w:r>
      <w:r>
        <w:rPr>
          <w:rFonts w:hint="default" w:ascii="Times New Roman" w:hAnsi="Times New Roman" w:eastAsia="Times New Roman" w:cs="Times New Roman"/>
          <w:color w:val="000000"/>
          <w:kern w:val="0"/>
          <w:sz w:val="22"/>
          <w:szCs w:val="22"/>
          <w14:ligatures w14:val="none"/>
        </w:rPr>
        <w:t>Frobenius Norm in different threshold.</w:t>
      </w:r>
    </w:p>
    <w:p>
      <w:pPr>
        <w:pStyle w:val="29"/>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leftChars="0"/>
        <w:jc w:val="both"/>
        <w:rPr>
          <w:rFonts w:hint="default" w:ascii="Times New Roman" w:hAnsi="Times New Roman" w:eastAsia="Times New Roman" w:cs="Times New Roman"/>
          <w:color w:val="000000"/>
          <w:kern w:val="0"/>
          <w:sz w:val="22"/>
          <w:szCs w:val="22"/>
          <w14:ligatures w14:val="none"/>
        </w:rPr>
      </w:pPr>
    </w:p>
    <w:p>
      <w:pPr>
        <w:pStyle w:val="29"/>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hint="default" w:ascii="Times New Roman" w:hAnsi="Times New Roman" w:eastAsia="Times New Roman" w:cs="Times New Roman"/>
          <w:color w:val="000000"/>
          <w:kern w:val="0"/>
          <w:sz w:val="22"/>
          <w:szCs w:val="22"/>
          <w14:ligatures w14:val="none"/>
        </w:rPr>
      </w:pPr>
      <w:r>
        <w:rPr>
          <w:rFonts w:hint="default" w:ascii="Times New Roman" w:hAnsi="Times New Roman" w:eastAsia="SimSun" w:cs="Times New Roman"/>
          <w:kern w:val="0"/>
          <w:sz w:val="22"/>
          <w:szCs w:val="22"/>
          <w:lang w:val="en-US" w:eastAsia="zh-CN" w:bidi="ar"/>
          <w14:ligatures w14:val="standardContextual"/>
        </w:rPr>
        <w:t xml:space="preserve">By comparing the function’s output </w:t>
      </w:r>
      <w:r>
        <w:rPr>
          <w:rFonts w:hint="default" w:ascii="Times New Roman" w:hAnsi="Times New Roman" w:eastAsia="SimSun" w:cs="Times New Roman"/>
          <w:b/>
          <w:bCs/>
          <w:kern w:val="0"/>
          <w:sz w:val="22"/>
          <w:szCs w:val="22"/>
          <w:lang w:val="en-IN" w:eastAsia="zh-CN" w:bidi="ar"/>
          <w14:ligatures w14:val="standardContextual"/>
        </w:rPr>
        <w:t>L</w:t>
      </w:r>
      <w:r>
        <w:rPr>
          <w:rFonts w:hint="default" w:ascii="Times New Roman" w:hAnsi="Times New Roman" w:eastAsia="SimSun" w:cs="Times New Roman"/>
          <w:b/>
          <w:bCs/>
          <w:kern w:val="0"/>
          <w:sz w:val="22"/>
          <w:szCs w:val="22"/>
          <w:lang w:val="en-US" w:eastAsia="zh-CN" w:bidi="ar"/>
          <w14:ligatures w14:val="standardContextual"/>
        </w:rPr>
        <w:t>ine</w:t>
      </w:r>
      <w:r>
        <w:rPr>
          <w:rFonts w:hint="default" w:ascii="Times New Roman" w:hAnsi="Times New Roman" w:eastAsia="SimSun" w:cs="Times New Roman"/>
          <w:b/>
          <w:bCs/>
          <w:kern w:val="0"/>
          <w:sz w:val="22"/>
          <w:szCs w:val="22"/>
          <w:lang w:val="en-IN" w:eastAsia="zh-CN" w:bidi="ar"/>
          <w14:ligatures w14:val="standardContextual"/>
        </w:rPr>
        <w:t>P</w:t>
      </w:r>
      <w:r>
        <w:rPr>
          <w:rFonts w:hint="default" w:ascii="Times New Roman" w:hAnsi="Times New Roman" w:eastAsia="SimSun" w:cs="Times New Roman"/>
          <w:b/>
          <w:bCs/>
          <w:kern w:val="0"/>
          <w:sz w:val="22"/>
          <w:szCs w:val="22"/>
          <w:lang w:val="en-US" w:eastAsia="zh-CN" w:bidi="ar"/>
          <w14:ligatures w14:val="standardContextual"/>
        </w:rPr>
        <w:t>lot</w:t>
      </w:r>
      <w:r>
        <w:rPr>
          <w:rFonts w:hint="default" w:ascii="Times New Roman" w:hAnsi="Times New Roman" w:eastAsia="SimSun" w:cs="Times New Roman"/>
          <w:kern w:val="0"/>
          <w:sz w:val="22"/>
          <w:szCs w:val="22"/>
          <w:lang w:val="en-US" w:eastAsia="zh-CN" w:bidi="ar"/>
          <w14:ligatures w14:val="standardContextual"/>
        </w:rPr>
        <w:t xml:space="preserve"> and </w:t>
      </w:r>
      <w:r>
        <w:rPr>
          <w:rFonts w:hint="default" w:ascii="Times New Roman" w:hAnsi="Times New Roman" w:eastAsia="Times New Roman" w:cs="Times New Roman"/>
          <w:b/>
          <w:bCs/>
          <w:color w:val="000000"/>
          <w:kern w:val="0"/>
          <w:sz w:val="22"/>
          <w:szCs w:val="22"/>
          <w14:ligatures w14:val="none"/>
        </w:rPr>
        <w:t>Frobenius Norm</w:t>
      </w:r>
      <w:r>
        <w:rPr>
          <w:rFonts w:hint="default" w:ascii="Times New Roman" w:hAnsi="Times New Roman" w:eastAsia="Times New Roman" w:cs="Times New Roman"/>
          <w:b/>
          <w:bCs/>
          <w:color w:val="000000"/>
          <w:kern w:val="0"/>
          <w:sz w:val="22"/>
          <w:szCs w:val="22"/>
          <w:lang w:val="en-US"/>
          <w14:ligatures w14:val="none"/>
        </w:rPr>
        <w:t xml:space="preserve"> Table</w:t>
      </w:r>
      <w:r>
        <w:rPr>
          <w:rFonts w:hint="default" w:ascii="Times New Roman" w:hAnsi="Times New Roman" w:eastAsia="SimSun" w:cs="Times New Roman"/>
          <w:kern w:val="0"/>
          <w:sz w:val="22"/>
          <w:szCs w:val="22"/>
          <w:lang w:val="en-US" w:eastAsia="zh-CN" w:bidi="ar"/>
          <w14:ligatures w14:val="standardContextual"/>
        </w:rPr>
        <w:t xml:space="preserve"> with the stacked line </w:t>
      </w:r>
      <w:r>
        <w:rPr>
          <w:rFonts w:hint="default" w:ascii="Times New Roman" w:hAnsi="Times New Roman" w:eastAsia="SimSun" w:cs="Times New Roman"/>
          <w:kern w:val="0"/>
          <w:sz w:val="22"/>
          <w:szCs w:val="22"/>
          <w:lang w:val="en-IN" w:eastAsia="zh-CN" w:bidi="ar"/>
          <w14:ligatures w14:val="standardContextual"/>
        </w:rPr>
        <w:t xml:space="preserve"> p</w:t>
      </w:r>
      <w:r>
        <w:rPr>
          <w:rFonts w:hint="default" w:ascii="Times New Roman" w:hAnsi="Times New Roman" w:eastAsia="SimSun" w:cs="Times New Roman"/>
          <w:kern w:val="0"/>
          <w:sz w:val="22"/>
          <w:szCs w:val="22"/>
          <w:lang w:val="en-US" w:eastAsia="zh-CN" w:bidi="ar"/>
          <w14:ligatures w14:val="standardContextual"/>
        </w:rPr>
        <w:t>lots and norm values from</w:t>
      </w:r>
      <w:r>
        <w:rPr>
          <w:rFonts w:hint="default" w:ascii="Times New Roman" w:hAnsi="Times New Roman" w:eastAsia="SimSun" w:cs="Times New Roman"/>
          <w:kern w:val="0"/>
          <w:sz w:val="22"/>
          <w:szCs w:val="22"/>
          <w:lang w:val="en-IN" w:eastAsia="zh-CN" w:bidi="ar"/>
          <w14:ligatures w14:val="standardContextual"/>
        </w:rPr>
        <w:t xml:space="preserve"> the</w:t>
      </w:r>
      <w:r>
        <w:rPr>
          <w:rFonts w:hint="default" w:ascii="Times New Roman" w:hAnsi="Times New Roman" w:eastAsia="SimSun" w:cs="Times New Roman"/>
          <w:kern w:val="0"/>
          <w:sz w:val="22"/>
          <w:szCs w:val="22"/>
          <w:lang w:val="en-US" w:eastAsia="zh-CN" w:bidi="ar"/>
          <w14:ligatures w14:val="standardContextual"/>
        </w:rPr>
        <w:t xml:space="preserve"> training datasets, cancer can be predicted.</w:t>
      </w:r>
    </w:p>
    <w:p>
      <w:pPr>
        <w:spacing w:line="240" w:lineRule="auto"/>
        <w:jc w:val="both"/>
        <w:rPr>
          <w:rFonts w:hint="default" w:ascii="Times New Roman" w:hAnsi="Times New Roman" w:cs="Times New Roman"/>
          <w:b/>
          <w:bCs/>
          <w:sz w:val="22"/>
          <w:szCs w:val="22"/>
        </w:rPr>
      </w:pPr>
    </w:p>
    <w:p>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Error Handling</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If there is an issue with the data input or during any of the processing steps, the function will return an error message detailing what went wrong, ensuring that users can make necessary adjustments.</w:t>
      </w:r>
    </w:p>
    <w:p>
      <w:pPr>
        <w:spacing w:line="240" w:lineRule="auto"/>
        <w:jc w:val="both"/>
        <w:rPr>
          <w:rFonts w:hint="default" w:ascii="Times New Roman" w:hAnsi="Times New Roman" w:cs="Times New Roman"/>
          <w:sz w:val="22"/>
          <w:szCs w:val="22"/>
        </w:rPr>
      </w:pPr>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410D0"/>
    <w:multiLevelType w:val="multilevel"/>
    <w:tmpl w:val="2AA410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640012AD"/>
    <w:multiLevelType w:val="multilevel"/>
    <w:tmpl w:val="640012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92"/>
    <w:rsid w:val="00413857"/>
    <w:rsid w:val="0056029D"/>
    <w:rsid w:val="00DA20E1"/>
    <w:rsid w:val="00EA2B92"/>
    <w:rsid w:val="03FD2598"/>
    <w:rsid w:val="05931D71"/>
    <w:rsid w:val="0A4A63EE"/>
    <w:rsid w:val="1EEE03CC"/>
    <w:rsid w:val="20485A47"/>
    <w:rsid w:val="4BB64606"/>
    <w:rsid w:val="598675EF"/>
    <w:rsid w:val="5D377727"/>
    <w:rsid w:val="6CE118EC"/>
    <w:rsid w:val="703F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autoRedefine/>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autoRedefine/>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autoRedefine/>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HTML Preformatted"/>
    <w:basedOn w:val="1"/>
    <w:link w:val="34"/>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14">
    <w:name w:val="Subtitle"/>
    <w:basedOn w:val="1"/>
    <w:next w:val="1"/>
    <w:link w:val="26"/>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autoRedefine/>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autoRedefine/>
    <w:semiHidden/>
    <w:qFormat/>
    <w:uiPriority w:val="9"/>
    <w:rPr>
      <w:rFonts w:eastAsiaTheme="majorEastAsia" w:cstheme="majorBidi"/>
      <w:i/>
      <w:iCs/>
      <w:color w:val="104862" w:themeColor="accent1" w:themeShade="BF"/>
    </w:rPr>
  </w:style>
  <w:style w:type="character" w:customStyle="1" w:styleId="20">
    <w:name w:val="Heading 5 Char"/>
    <w:basedOn w:val="11"/>
    <w:link w:val="6"/>
    <w:autoRedefine/>
    <w:semiHidden/>
    <w:qFormat/>
    <w:uiPriority w:val="9"/>
    <w:rPr>
      <w:rFonts w:eastAsiaTheme="majorEastAsia" w:cstheme="majorBidi"/>
      <w:color w:val="104862" w:themeColor="accent1" w:themeShade="BF"/>
    </w:rPr>
  </w:style>
  <w:style w:type="character" w:customStyle="1" w:styleId="21">
    <w:name w:val="Heading 6 Char"/>
    <w:basedOn w:val="11"/>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autoRedefine/>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autoRedefine/>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autoRedefine/>
    <w:qFormat/>
    <w:uiPriority w:val="34"/>
    <w:pPr>
      <w:ind w:left="720"/>
      <w:contextualSpacing/>
    </w:pPr>
  </w:style>
  <w:style w:type="character" w:customStyle="1" w:styleId="30">
    <w:name w:val="Intense Emphasis"/>
    <w:basedOn w:val="11"/>
    <w:autoRedefine/>
    <w:qFormat/>
    <w:uiPriority w:val="21"/>
    <w:rPr>
      <w:i/>
      <w:iCs/>
      <w:color w:val="104862" w:themeColor="accent1" w:themeShade="BF"/>
    </w:rPr>
  </w:style>
  <w:style w:type="paragraph" w:styleId="31">
    <w:name w:val="Intense Quote"/>
    <w:basedOn w:val="1"/>
    <w:next w:val="1"/>
    <w:link w:val="32"/>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autoRedefine/>
    <w:qFormat/>
    <w:uiPriority w:val="30"/>
    <w:rPr>
      <w:i/>
      <w:iCs/>
      <w:color w:val="104862" w:themeColor="accent1" w:themeShade="BF"/>
    </w:rPr>
  </w:style>
  <w:style w:type="character" w:customStyle="1" w:styleId="33">
    <w:name w:val="Intense Reference"/>
    <w:basedOn w:val="11"/>
    <w:autoRedefine/>
    <w:qFormat/>
    <w:uiPriority w:val="32"/>
    <w:rPr>
      <w:b/>
      <w:bCs/>
      <w:smallCaps/>
      <w:color w:val="104862" w:themeColor="accent1" w:themeShade="BF"/>
      <w:spacing w:val="5"/>
    </w:rPr>
  </w:style>
  <w:style w:type="character" w:customStyle="1" w:styleId="34">
    <w:name w:val="HTML Preformatted Char"/>
    <w:basedOn w:val="11"/>
    <w:link w:val="13"/>
    <w:autoRedefine/>
    <w:semiHidden/>
    <w:qFormat/>
    <w:uiPriority w:val="99"/>
    <w:rPr>
      <w:rFonts w:ascii="Courier New" w:hAnsi="Courier New" w:eastAsia="Times New Roman" w:cs="Courier New"/>
      <w:kern w:val="0"/>
      <w:sz w:val="20"/>
      <w:szCs w:val="20"/>
      <w14:ligatures w14:val="none"/>
    </w:rPr>
  </w:style>
  <w:style w:type="character" w:customStyle="1" w:styleId="35">
    <w:name w:val="gnvwddmdn3b"/>
    <w:basedOn w:val="11"/>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380</Words>
  <Characters>2168</Characters>
  <Lines>18</Lines>
  <Paragraphs>5</Paragraphs>
  <TotalTime>4</TotalTime>
  <ScaleCrop>false</ScaleCrop>
  <LinksUpToDate>false</LinksUpToDate>
  <CharactersWithSpaces>2543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2024-04-28T22:03:00Z</dcterms:created>
  <dc:creator>Bera, Soumen</dc:creator>
  <cp:lastModifiedBy>WPS_1666001072</cp:lastModifiedBy>
  <dcterms:modified xsi:type="dcterms:W3CDTF">2024-05-01T17:20:28Z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A28304A37B644FD6A3F6D9F93058349A_13</vt:lpwstr>
  </property>
</Properties>
</file>