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b/>
          <w:bCs/>
        </w:rPr>
      </w:pPr>
      <w:r>
        <w:rPr>
          <w:rFonts w:ascii="Arial" w:hAnsi="Arial" w:cs="Arial"/>
          <w:b/>
          <w:bCs/>
        </w:rPr>
        <w:t>User Guide for “analyze10x</w:t>
      </w:r>
      <w:r>
        <w:rPr>
          <w:rFonts w:hint="default" w:ascii="Arial" w:hAnsi="Arial" w:cs="Arial"/>
          <w:b/>
          <w:bCs/>
          <w:lang w:val="en-IN"/>
        </w:rPr>
        <w:t>g</w:t>
      </w:r>
      <w:r>
        <w:rPr>
          <w:rFonts w:ascii="Arial" w:hAnsi="Arial" w:cs="Arial"/>
          <w:b/>
          <w:bCs/>
        </w:rPr>
        <w:t>enomCancer” Function</w:t>
      </w:r>
    </w:p>
    <w:p>
      <w:pPr>
        <w:rPr>
          <w:rFonts w:ascii="Arial" w:hAnsi="Arial" w:cs="Arial"/>
          <w:b/>
          <w:bCs/>
        </w:rPr>
      </w:pPr>
      <w:r>
        <w:rPr>
          <w:rFonts w:ascii="Arial" w:hAnsi="Arial" w:cs="Arial"/>
          <w:b/>
          <w:bCs/>
        </w:rPr>
        <w:t>Overview</w:t>
      </w:r>
    </w:p>
    <w:p>
      <w:pPr>
        <w:rPr>
          <w:rFonts w:ascii="Arial" w:hAnsi="Arial" w:cs="Arial"/>
        </w:rPr>
      </w:pPr>
      <w:r>
        <w:rPr>
          <w:rFonts w:ascii="Arial" w:hAnsi="Arial" w:cs="Arial"/>
        </w:rPr>
        <w:t xml:space="preserve">The </w:t>
      </w:r>
      <w:r>
        <w:rPr>
          <w:rFonts w:ascii="Arial" w:hAnsi="Arial" w:cs="Arial"/>
          <w:b/>
          <w:bCs/>
        </w:rPr>
        <w:t>analyze10x</w:t>
      </w:r>
      <w:r>
        <w:rPr>
          <w:rFonts w:hint="default" w:ascii="Arial" w:hAnsi="Arial" w:cs="Arial"/>
          <w:b/>
          <w:bCs/>
          <w:lang w:val="en-IN"/>
        </w:rPr>
        <w:t>g</w:t>
      </w:r>
      <w:r>
        <w:rPr>
          <w:rFonts w:ascii="Arial" w:hAnsi="Arial" w:cs="Arial"/>
          <w:b/>
          <w:bCs/>
        </w:rPr>
        <w:t>enomCancer</w:t>
      </w:r>
      <w:r>
        <w:rPr>
          <w:rFonts w:ascii="Arial" w:hAnsi="Arial" w:cs="Arial"/>
        </w:rPr>
        <w:t xml:space="preserve"> function is designed to process 10x Genomics single-cell RNA-seq data, specifically aimed at cancer research. This function handles data loading, preprocessing, clustering, and visualization, along with advanced analyses like gene correlation network construction and the calculation of Hausdorff distances for cluster comparisons, and Cancer classification.</w:t>
      </w:r>
    </w:p>
    <w:p>
      <w:pPr>
        <w:rPr>
          <w:rFonts w:ascii="Arial" w:hAnsi="Arial" w:cs="Arial"/>
          <w:b/>
          <w:bCs/>
        </w:rPr>
      </w:pPr>
      <w:r>
        <w:rPr>
          <w:rFonts w:ascii="Arial" w:hAnsi="Arial" w:cs="Arial"/>
          <w:b/>
          <w:bCs/>
        </w:rPr>
        <w:t>Usage</w:t>
      </w:r>
    </w:p>
    <w:p>
      <w:pPr>
        <w:rPr>
          <w:rFonts w:ascii="Arial" w:hAnsi="Arial" w:cs="Arial"/>
        </w:rPr>
      </w:pPr>
      <w:r>
        <w:rPr>
          <w:rFonts w:ascii="Arial" w:hAnsi="Arial" w:cs="Arial"/>
        </w:rPr>
        <w:t>The function can be used in a default mode with minimal required inputs but also allows for extensive customization through various parameters.</w:t>
      </w:r>
    </w:p>
    <w:p>
      <w:pPr>
        <w:rPr>
          <w:rFonts w:ascii="Arial" w:hAnsi="Arial" w:cs="Arial"/>
          <w:b/>
          <w:bCs/>
        </w:rPr>
      </w:pPr>
      <w:r>
        <w:rPr>
          <w:rFonts w:ascii="Arial" w:hAnsi="Arial" w:cs="Arial"/>
          <w:b/>
          <w:bCs/>
        </w:rPr>
        <w:t>Parameters</w:t>
      </w:r>
    </w:p>
    <w:p>
      <w:pPr>
        <w:numPr>
          <w:ilvl w:val="0"/>
          <w:numId w:val="1"/>
        </w:numPr>
        <w:rPr>
          <w:rFonts w:ascii="Arial" w:hAnsi="Arial" w:cs="Arial"/>
        </w:rPr>
      </w:pPr>
      <w:r>
        <w:rPr>
          <w:rFonts w:ascii="Arial" w:hAnsi="Arial" w:cs="Arial"/>
          <w:b/>
          <w:bCs/>
        </w:rPr>
        <w:t>file_path</w:t>
      </w:r>
      <w:r>
        <w:rPr>
          <w:rFonts w:ascii="Arial" w:hAnsi="Arial" w:cs="Arial"/>
        </w:rPr>
        <w:t>: Path to the file containing the gene expression matrix (HDF5 format).</w:t>
      </w:r>
    </w:p>
    <w:p>
      <w:pPr>
        <w:numPr>
          <w:ilvl w:val="0"/>
          <w:numId w:val="1"/>
        </w:numPr>
        <w:rPr>
          <w:rFonts w:ascii="Arial" w:hAnsi="Arial" w:cs="Arial"/>
        </w:rPr>
      </w:pPr>
      <w:r>
        <w:rPr>
          <w:rFonts w:ascii="Arial" w:hAnsi="Arial" w:cs="Arial"/>
          <w:b/>
          <w:bCs/>
        </w:rPr>
        <w:t>min_features</w:t>
      </w:r>
      <w:r>
        <w:rPr>
          <w:rFonts w:ascii="Arial" w:hAnsi="Arial" w:cs="Arial"/>
        </w:rPr>
        <w:t xml:space="preserve"> (default = 0): Minimum number of features (genes) to filter cells.</w:t>
      </w:r>
    </w:p>
    <w:p>
      <w:pPr>
        <w:numPr>
          <w:ilvl w:val="0"/>
          <w:numId w:val="1"/>
        </w:numPr>
        <w:rPr>
          <w:rFonts w:ascii="Arial" w:hAnsi="Arial" w:cs="Arial"/>
        </w:rPr>
      </w:pPr>
      <w:r>
        <w:rPr>
          <w:rFonts w:ascii="Arial" w:hAnsi="Arial" w:cs="Arial"/>
          <w:b/>
          <w:bCs/>
        </w:rPr>
        <w:t>max_features</w:t>
      </w:r>
      <w:r>
        <w:rPr>
          <w:rFonts w:ascii="Arial" w:hAnsi="Arial" w:cs="Arial"/>
        </w:rPr>
        <w:t xml:space="preserve"> (default = </w:t>
      </w:r>
      <w:r>
        <w:rPr>
          <w:rFonts w:hint="default" w:ascii="Arial" w:hAnsi="Arial" w:cs="Arial"/>
          <w:lang w:val="en-IN"/>
        </w:rPr>
        <w:t>25</w:t>
      </w:r>
      <w:r>
        <w:rPr>
          <w:rFonts w:ascii="Arial" w:hAnsi="Arial" w:cs="Arial"/>
        </w:rPr>
        <w:t>000): Maximum number of features (genes) for cell filtering.</w:t>
      </w:r>
    </w:p>
    <w:p>
      <w:pPr>
        <w:numPr>
          <w:ilvl w:val="0"/>
          <w:numId w:val="1"/>
        </w:numPr>
        <w:rPr>
          <w:rFonts w:ascii="Arial" w:hAnsi="Arial" w:cs="Arial"/>
        </w:rPr>
      </w:pPr>
      <w:r>
        <w:rPr>
          <w:rFonts w:ascii="Arial" w:hAnsi="Arial" w:cs="Arial"/>
          <w:b/>
          <w:bCs/>
        </w:rPr>
        <w:t>mt_threshold</w:t>
      </w:r>
      <w:r>
        <w:rPr>
          <w:rFonts w:ascii="Arial" w:hAnsi="Arial" w:cs="Arial"/>
        </w:rPr>
        <w:t xml:space="preserve"> (default = 100): Threshold for mitochondrial content filtering. Cells above this threshold will be excluded.</w:t>
      </w:r>
    </w:p>
    <w:p>
      <w:pPr>
        <w:numPr>
          <w:ilvl w:val="0"/>
          <w:numId w:val="1"/>
        </w:numPr>
        <w:rPr>
          <w:rFonts w:ascii="Arial" w:hAnsi="Arial" w:cs="Arial"/>
        </w:rPr>
      </w:pPr>
      <w:r>
        <w:rPr>
          <w:rFonts w:ascii="Arial" w:hAnsi="Arial" w:cs="Arial"/>
          <w:b/>
          <w:bCs/>
        </w:rPr>
        <w:t>dims</w:t>
      </w:r>
      <w:r>
        <w:rPr>
          <w:rFonts w:ascii="Arial" w:hAnsi="Arial" w:cs="Arial"/>
        </w:rPr>
        <w:t xml:space="preserve"> (default = 1:10): Dimensions to use for PCA and UMAP.</w:t>
      </w:r>
    </w:p>
    <w:p>
      <w:pPr>
        <w:numPr>
          <w:ilvl w:val="0"/>
          <w:numId w:val="1"/>
        </w:numPr>
        <w:rPr>
          <w:rFonts w:ascii="Arial" w:hAnsi="Arial" w:cs="Arial"/>
        </w:rPr>
      </w:pPr>
      <w:r>
        <w:rPr>
          <w:rFonts w:ascii="Arial" w:hAnsi="Arial" w:cs="Arial"/>
          <w:b/>
          <w:bCs/>
        </w:rPr>
        <w:t>resolution</w:t>
      </w:r>
      <w:r>
        <w:rPr>
          <w:rFonts w:ascii="Arial" w:hAnsi="Arial" w:cs="Arial"/>
        </w:rPr>
        <w:t xml:space="preserve"> (default = 0.2): Clustering resolution for identifying cell populations.</w:t>
      </w:r>
    </w:p>
    <w:p>
      <w:pPr>
        <w:rPr>
          <w:rFonts w:ascii="Arial" w:hAnsi="Arial" w:cs="Arial"/>
          <w:b/>
          <w:bCs/>
        </w:rPr>
      </w:pPr>
      <w:r>
        <w:rPr>
          <w:rFonts w:ascii="Arial" w:hAnsi="Arial" w:cs="Arial"/>
          <w:b/>
          <w:bCs/>
        </w:rPr>
        <w:t>Example Usage</w:t>
      </w:r>
    </w:p>
    <w:p>
      <w:pPr>
        <w:rPr>
          <w:rFonts w:ascii="Arial" w:hAnsi="Arial" w:cs="Arial"/>
        </w:rPr>
      </w:pPr>
      <w:r>
        <w:rPr>
          <w:rFonts w:ascii="Arial" w:hAnsi="Arial" w:cs="Arial"/>
        </w:rPr>
        <w:t xml:space="preserve">Here are two example commands to run the </w:t>
      </w:r>
      <w:r>
        <w:rPr>
          <w:rFonts w:ascii="Arial" w:hAnsi="Arial" w:cs="Arial"/>
          <w:b/>
          <w:bCs/>
        </w:rPr>
        <w:t>analyze10x</w:t>
      </w:r>
      <w:r>
        <w:rPr>
          <w:rFonts w:hint="default" w:ascii="Arial" w:hAnsi="Arial" w:cs="Arial"/>
          <w:b/>
          <w:bCs/>
          <w:lang w:val="en-IN"/>
        </w:rPr>
        <w:t>g</w:t>
      </w:r>
      <w:r>
        <w:rPr>
          <w:rFonts w:ascii="Arial" w:hAnsi="Arial" w:cs="Arial"/>
          <w:b/>
          <w:bCs/>
        </w:rPr>
        <w:t>enomCancer</w:t>
      </w:r>
      <w:r>
        <w:rPr>
          <w:rFonts w:ascii="Arial" w:hAnsi="Arial" w:cs="Arial"/>
        </w:rPr>
        <w:t xml:space="preserve"> function based on different user needs:</w:t>
      </w:r>
    </w:p>
    <w:p>
      <w:pPr>
        <w:numPr>
          <w:ilvl w:val="0"/>
          <w:numId w:val="2"/>
        </w:numPr>
        <w:rPr>
          <w:rFonts w:ascii="Arial" w:hAnsi="Arial" w:cs="Arial"/>
        </w:rPr>
      </w:pPr>
      <w:r>
        <w:rPr>
          <w:rFonts w:ascii="Arial" w:hAnsi="Arial" w:cs="Arial"/>
          <w:b/>
          <w:bCs/>
        </w:rPr>
        <w:t>Basic Usage</w:t>
      </w:r>
      <w:r>
        <w:rPr>
          <w:rFonts w:ascii="Arial" w:hAnsi="Arial" w:cs="Arial"/>
        </w:rPr>
        <w:t xml:space="preserve"> (no advanced configurations, just data processing):</w:t>
      </w:r>
    </w:p>
    <w:p>
      <w:pPr>
        <w:rPr>
          <w:rFonts w:ascii="Arial" w:hAnsi="Arial" w:cs="Arial"/>
        </w:rPr>
      </w:pPr>
      <w:r>
        <w:rPr>
          <w:rFonts w:ascii="Arial" w:hAnsi="Arial" w:cs="Arial"/>
        </w:rPr>
        <w:t>analyze10x</w:t>
      </w:r>
      <w:r>
        <w:rPr>
          <w:rFonts w:hint="default" w:ascii="Arial" w:hAnsi="Arial" w:cs="Arial"/>
          <w:lang w:val="en-IN"/>
        </w:rPr>
        <w:t>g</w:t>
      </w:r>
      <w:r>
        <w:rPr>
          <w:rFonts w:ascii="Arial" w:hAnsi="Arial" w:cs="Arial"/>
        </w:rPr>
        <w:t xml:space="preserve">enomCancer("file_path \\V1_Breast_Cancer_Block_A_Section_1_filtered_feature_bc_matrix.h5") </w:t>
      </w:r>
    </w:p>
    <w:p>
      <w:pPr>
        <w:numPr>
          <w:ilvl w:val="0"/>
          <w:numId w:val="2"/>
        </w:numPr>
        <w:rPr>
          <w:rFonts w:ascii="Arial" w:hAnsi="Arial" w:cs="Arial"/>
        </w:rPr>
      </w:pPr>
      <w:r>
        <w:rPr>
          <w:rFonts w:ascii="Arial" w:hAnsi="Arial" w:cs="Arial"/>
          <w:b/>
          <w:bCs/>
        </w:rPr>
        <w:t>Advanced Usage</w:t>
      </w:r>
      <w:r>
        <w:rPr>
          <w:rFonts w:ascii="Arial" w:hAnsi="Arial" w:cs="Arial"/>
        </w:rPr>
        <w:t xml:space="preserve"> (with custom configurations for detailed analysis):</w:t>
      </w:r>
    </w:p>
    <w:p>
      <w:pPr>
        <w:rPr>
          <w:rFonts w:ascii="Arial" w:hAnsi="Arial" w:cs="Arial"/>
        </w:rPr>
      </w:pPr>
      <w:r>
        <w:rPr>
          <w:rFonts w:ascii="Arial" w:hAnsi="Arial" w:cs="Arial"/>
        </w:rPr>
        <w:t>analyze10x</w:t>
      </w:r>
      <w:r>
        <w:rPr>
          <w:rFonts w:hint="default" w:ascii="Arial" w:hAnsi="Arial" w:cs="Arial"/>
          <w:lang w:val="en-IN"/>
        </w:rPr>
        <w:t>g</w:t>
      </w:r>
      <w:r>
        <w:rPr>
          <w:rFonts w:ascii="Arial" w:hAnsi="Arial" w:cs="Arial"/>
        </w:rPr>
        <w:t xml:space="preserve">enomCancer( file_path = "file_path \\V1_Breast_Cancer_Block_A_Section_1_filtered_feature_bc_matrix.h5", min_features = 200, max_features = </w:t>
      </w:r>
      <w:r>
        <w:rPr>
          <w:rFonts w:hint="default" w:ascii="Arial" w:hAnsi="Arial" w:cs="Arial"/>
          <w:lang w:val="en-IN"/>
        </w:rPr>
        <w:t>6</w:t>
      </w:r>
      <w:r>
        <w:rPr>
          <w:rFonts w:ascii="Arial" w:hAnsi="Arial" w:cs="Arial"/>
        </w:rPr>
        <w:t xml:space="preserve">000, mt_threshold = </w:t>
      </w:r>
      <w:r>
        <w:rPr>
          <w:rFonts w:hint="default" w:ascii="Arial" w:hAnsi="Arial" w:cs="Arial"/>
          <w:lang w:val="en-IN"/>
        </w:rPr>
        <w:t>10</w:t>
      </w:r>
      <w:r>
        <w:rPr>
          <w:rFonts w:ascii="Arial" w:hAnsi="Arial" w:cs="Arial"/>
        </w:rPr>
        <w:t xml:space="preserve">, dims = 1:15, resolution = 0.3 ) </w:t>
      </w:r>
    </w:p>
    <w:p>
      <w:pPr>
        <w:rPr>
          <w:rFonts w:ascii="Arial" w:hAnsi="Arial" w:cs="Arial"/>
          <w:b/>
          <w:bCs/>
        </w:rPr>
      </w:pPr>
      <w:r>
        <w:rPr>
          <w:rFonts w:ascii="Arial" w:hAnsi="Arial" w:cs="Arial"/>
          <w:b/>
          <w:bCs/>
        </w:rPr>
        <w:t>Output</w:t>
      </w:r>
    </w:p>
    <w:p>
      <w:pPr>
        <w:numPr>
          <w:ilvl w:val="0"/>
          <w:numId w:val="3"/>
        </w:numPr>
        <w:rPr>
          <w:rFonts w:ascii="Arial" w:hAnsi="Arial" w:cs="Arial"/>
        </w:rPr>
      </w:pPr>
      <w:r>
        <w:rPr>
          <w:rFonts w:ascii="Arial" w:hAnsi="Arial" w:cs="Arial"/>
          <w:b/>
          <w:bCs/>
        </w:rPr>
        <w:t>SeuratObject</w:t>
      </w:r>
      <w:r>
        <w:rPr>
          <w:rFonts w:ascii="Arial" w:hAnsi="Arial" w:cs="Arial"/>
        </w:rPr>
        <w:t>: A Seurat object containing the processed single-cell data.</w:t>
      </w:r>
    </w:p>
    <w:p>
      <w:pPr>
        <w:numPr>
          <w:ilvl w:val="0"/>
          <w:numId w:val="3"/>
        </w:numPr>
        <w:rPr>
          <w:rFonts w:ascii="Arial" w:hAnsi="Arial" w:cs="Arial"/>
        </w:rPr>
      </w:pPr>
      <w:r>
        <w:rPr>
          <w:rFonts w:ascii="Arial" w:hAnsi="Arial" w:cs="Arial"/>
          <w:b/>
          <w:bCs/>
        </w:rPr>
        <w:t>UMAPPlot</w:t>
      </w:r>
      <w:r>
        <w:rPr>
          <w:rFonts w:ascii="Arial" w:hAnsi="Arial" w:cs="Arial"/>
        </w:rPr>
        <w:t>: A plot object showing the UMAP visualization of the data.</w:t>
      </w:r>
    </w:p>
    <w:p>
      <w:pPr>
        <w:numPr>
          <w:ilvl w:val="0"/>
          <w:numId w:val="3"/>
        </w:numPr>
        <w:rPr>
          <w:rFonts w:ascii="Arial" w:hAnsi="Arial" w:cs="Arial"/>
        </w:rPr>
      </w:pPr>
      <w:r>
        <w:rPr>
          <w:rFonts w:ascii="Arial" w:hAnsi="Arial" w:cs="Arial"/>
          <w:b/>
          <w:bCs/>
        </w:rPr>
        <w:t xml:space="preserve">Hausdorff distance matrices: </w:t>
      </w:r>
      <w:r>
        <w:rPr>
          <w:rFonts w:ascii="Arial" w:hAnsi="Arial" w:cs="Arial"/>
        </w:rPr>
        <w:t>Distance matrix in different threshold</w:t>
      </w:r>
    </w:p>
    <w:p>
      <w:pPr>
        <w:pStyle w:val="29"/>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eastAsia="Times New Roman" w:cs="Arial"/>
          <w:color w:val="000000"/>
          <w:kern w:val="0"/>
          <w14:ligatures w14:val="none"/>
        </w:rPr>
      </w:pPr>
      <w:r>
        <w:rPr>
          <w:rFonts w:ascii="Arial" w:hAnsi="Arial" w:eastAsia="Times New Roman" w:cs="Arial"/>
          <w:b/>
          <w:bCs/>
          <w:color w:val="000000"/>
          <w:kern w:val="0"/>
          <w14:ligatures w14:val="none"/>
        </w:rPr>
        <w:t xml:space="preserve">Distribution of Frobenius Norm: </w:t>
      </w:r>
      <w:r>
        <w:rPr>
          <w:rFonts w:ascii="Arial" w:hAnsi="Arial" w:eastAsia="Times New Roman" w:cs="Arial"/>
          <w:color w:val="000000"/>
          <w:kern w:val="0"/>
          <w14:ligatures w14:val="none"/>
        </w:rPr>
        <w:t xml:space="preserve">Changes of Frobenius Norm in different threshold. </w:t>
      </w:r>
    </w:p>
    <w:p>
      <w:pPr>
        <w:pStyle w:val="29"/>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eastAsia="Times New Roman" w:cs="Arial"/>
          <w:color w:val="000000"/>
          <w:kern w:val="0"/>
          <w14:ligatures w14:val="none"/>
        </w:rPr>
      </w:pPr>
      <w:r>
        <w:rPr>
          <w:rFonts w:hint="default" w:ascii="Arial" w:hAnsi="Arial" w:eastAsia="Times New Roman" w:cs="Arial"/>
          <w:b/>
          <w:bCs/>
          <w:color w:val="000000"/>
          <w:kern w:val="0"/>
          <w:lang w:val="en-IN"/>
          <w14:ligatures w14:val="none"/>
        </w:rPr>
        <w:t>LinePlot</w:t>
      </w:r>
      <w:r>
        <w:rPr>
          <w:rFonts w:hint="default" w:ascii="Arial" w:hAnsi="Arial" w:eastAsia="Times New Roman" w:cs="Arial"/>
          <w:color w:val="000000"/>
          <w:kern w:val="0"/>
          <w:lang w:val="en-IN"/>
          <w14:ligatures w14:val="none"/>
        </w:rPr>
        <w:t xml:space="preserve">: A plot object showing changes of </w:t>
      </w:r>
      <w:r>
        <w:rPr>
          <w:rFonts w:ascii="Arial" w:hAnsi="Arial" w:eastAsia="Times New Roman" w:cs="Arial"/>
          <w:color w:val="000000"/>
          <w:kern w:val="0"/>
          <w14:ligatures w14:val="none"/>
        </w:rPr>
        <w:t>Frobenius Norm in different threshold.</w:t>
      </w:r>
      <w:bookmarkStart w:id="0" w:name="_GoBack"/>
      <w:bookmarkEnd w:id="0"/>
    </w:p>
    <w:p>
      <w:pPr>
        <w:rPr>
          <w:rFonts w:ascii="Arial" w:hAnsi="Arial" w:cs="Arial"/>
        </w:rPr>
      </w:pPr>
    </w:p>
    <w:p>
      <w:pPr>
        <w:rPr>
          <w:rFonts w:ascii="Arial" w:hAnsi="Arial" w:cs="Arial"/>
          <w:b/>
          <w:bCs/>
        </w:rPr>
      </w:pPr>
      <w:r>
        <w:rPr>
          <w:rFonts w:ascii="Arial" w:hAnsi="Arial" w:cs="Arial"/>
          <w:b/>
          <w:bCs/>
        </w:rPr>
        <w:t>Files Generated</w:t>
      </w:r>
    </w:p>
    <w:p>
      <w:pPr>
        <w:numPr>
          <w:ilvl w:val="0"/>
          <w:numId w:val="4"/>
        </w:numPr>
        <w:rPr>
          <w:rFonts w:ascii="Arial" w:hAnsi="Arial" w:cs="Arial"/>
        </w:rPr>
      </w:pPr>
      <w:r>
        <w:rPr>
          <w:rFonts w:ascii="Arial" w:hAnsi="Arial" w:cs="Arial"/>
          <w:b/>
          <w:bCs/>
        </w:rPr>
        <w:t>SigGenes.txt</w:t>
      </w:r>
      <w:r>
        <w:rPr>
          <w:rFonts w:ascii="Arial" w:hAnsi="Arial" w:cs="Arial"/>
        </w:rPr>
        <w:t xml:space="preserve"> and </w:t>
      </w:r>
      <w:r>
        <w:rPr>
          <w:rFonts w:ascii="Arial" w:hAnsi="Arial" w:cs="Arial"/>
          <w:b/>
          <w:bCs/>
        </w:rPr>
        <w:t>SigClusters.txt</w:t>
      </w:r>
      <w:r>
        <w:rPr>
          <w:rFonts w:ascii="Arial" w:hAnsi="Arial" w:cs="Arial"/>
        </w:rPr>
        <w:t>: These files will contain significant genes and clusters identified during the analysis, formatted based on the specified FDR level in subsequent versions of the function that might handle statistical testing.</w:t>
      </w:r>
    </w:p>
    <w:p>
      <w:pPr>
        <w:rPr>
          <w:rFonts w:ascii="Arial" w:hAnsi="Arial" w:cs="Arial"/>
          <w:b/>
          <w:bCs/>
        </w:rPr>
      </w:pPr>
      <w:r>
        <w:rPr>
          <w:rFonts w:ascii="Arial" w:hAnsi="Arial" w:cs="Arial"/>
          <w:b/>
          <w:bCs/>
        </w:rPr>
        <w:t>Error Handling</w:t>
      </w:r>
    </w:p>
    <w:p>
      <w:pPr>
        <w:rPr>
          <w:rFonts w:ascii="Arial" w:hAnsi="Arial" w:cs="Arial"/>
        </w:rPr>
      </w:pPr>
      <w:r>
        <w:rPr>
          <w:rFonts w:ascii="Arial" w:hAnsi="Arial" w:cs="Arial"/>
        </w:rPr>
        <w:t>If there is an issue with the data input or during any of the processing steps, the function will return an error message detailing what went wrong, ensuring that users can make necessary adjustments.</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5D19AF"/>
    <w:multiLevelType w:val="multilevel"/>
    <w:tmpl w:val="165D19A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AA410D0"/>
    <w:multiLevelType w:val="multilevel"/>
    <w:tmpl w:val="2AA410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640012AD"/>
    <w:multiLevelType w:val="multilevel"/>
    <w:tmpl w:val="640012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7BDB54BB"/>
    <w:multiLevelType w:val="multilevel"/>
    <w:tmpl w:val="7BDB54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B92"/>
    <w:rsid w:val="00413857"/>
    <w:rsid w:val="0056029D"/>
    <w:rsid w:val="00DA20E1"/>
    <w:rsid w:val="00EA2B92"/>
    <w:rsid w:val="03FD2598"/>
    <w:rsid w:val="05931D71"/>
    <w:rsid w:val="6CE11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autoRedefine/>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autoRedefine/>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autoRedefine/>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autoRedefine/>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HTML Preformatted"/>
    <w:basedOn w:val="1"/>
    <w:link w:val="34"/>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14:ligatures w14:val="none"/>
    </w:rPr>
  </w:style>
  <w:style w:type="paragraph" w:styleId="14">
    <w:name w:val="Subtitle"/>
    <w:basedOn w:val="1"/>
    <w:next w:val="1"/>
    <w:link w:val="26"/>
    <w:autoRedefine/>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autoRedefine/>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autoRedefine/>
    <w:qFormat/>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autoRedefine/>
    <w:semiHidden/>
    <w:qFormat/>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autoRedefine/>
    <w:semiHidden/>
    <w:qFormat/>
    <w:uiPriority w:val="9"/>
    <w:rPr>
      <w:rFonts w:eastAsiaTheme="majorEastAsia" w:cstheme="majorBidi"/>
      <w:color w:val="104862" w:themeColor="accent1" w:themeShade="BF"/>
      <w:sz w:val="28"/>
      <w:szCs w:val="28"/>
    </w:rPr>
  </w:style>
  <w:style w:type="character" w:customStyle="1" w:styleId="19">
    <w:name w:val="Heading 4 Char"/>
    <w:basedOn w:val="11"/>
    <w:link w:val="5"/>
    <w:autoRedefine/>
    <w:semiHidden/>
    <w:qFormat/>
    <w:uiPriority w:val="9"/>
    <w:rPr>
      <w:rFonts w:eastAsiaTheme="majorEastAsia" w:cstheme="majorBidi"/>
      <w:i/>
      <w:iCs/>
      <w:color w:val="104862" w:themeColor="accent1" w:themeShade="BF"/>
    </w:rPr>
  </w:style>
  <w:style w:type="character" w:customStyle="1" w:styleId="20">
    <w:name w:val="Heading 5 Char"/>
    <w:basedOn w:val="11"/>
    <w:link w:val="6"/>
    <w:autoRedefine/>
    <w:semiHidden/>
    <w:qFormat/>
    <w:uiPriority w:val="9"/>
    <w:rPr>
      <w:rFonts w:eastAsiaTheme="majorEastAsia" w:cstheme="majorBidi"/>
      <w:color w:val="104862" w:themeColor="accent1" w:themeShade="BF"/>
    </w:rPr>
  </w:style>
  <w:style w:type="character" w:customStyle="1" w:styleId="21">
    <w:name w:val="Heading 6 Char"/>
    <w:basedOn w:val="11"/>
    <w:link w:val="7"/>
    <w:autoRedefine/>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autoRedefine/>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autoRedefine/>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autoRedefine/>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autoRedefine/>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autoRedefine/>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autoRedefine/>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autoRedefine/>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autoRedefine/>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autoRedefine/>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1"/>
    <w:link w:val="31"/>
    <w:autoRedefine/>
    <w:qFormat/>
    <w:uiPriority w:val="30"/>
    <w:rPr>
      <w:i/>
      <w:iCs/>
      <w:color w:val="104862" w:themeColor="accent1" w:themeShade="BF"/>
    </w:rPr>
  </w:style>
  <w:style w:type="character" w:customStyle="1" w:styleId="33">
    <w:name w:val="Intense Reference"/>
    <w:basedOn w:val="11"/>
    <w:autoRedefine/>
    <w:qFormat/>
    <w:uiPriority w:val="32"/>
    <w:rPr>
      <w:b/>
      <w:bCs/>
      <w:smallCaps/>
      <w:color w:val="104862" w:themeColor="accent1" w:themeShade="BF"/>
      <w:spacing w:val="5"/>
    </w:rPr>
  </w:style>
  <w:style w:type="character" w:customStyle="1" w:styleId="34">
    <w:name w:val="HTML Preformatted Char"/>
    <w:basedOn w:val="11"/>
    <w:link w:val="13"/>
    <w:autoRedefine/>
    <w:semiHidden/>
    <w:qFormat/>
    <w:uiPriority w:val="99"/>
    <w:rPr>
      <w:rFonts w:ascii="Courier New" w:hAnsi="Courier New" w:eastAsia="Times New Roman" w:cs="Courier New"/>
      <w:kern w:val="0"/>
      <w:sz w:val="20"/>
      <w:szCs w:val="20"/>
      <w14:ligatures w14:val="none"/>
    </w:rPr>
  </w:style>
  <w:style w:type="character" w:customStyle="1" w:styleId="35">
    <w:name w:val="gnvwddmdn3b"/>
    <w:basedOn w:val="11"/>
    <w:autoRedefine/>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380</Words>
  <Characters>2168</Characters>
  <Lines>18</Lines>
  <Paragraphs>5</Paragraphs>
  <TotalTime>11</TotalTime>
  <ScaleCrop>false</ScaleCrop>
  <LinksUpToDate>false</LinksUpToDate>
  <CharactersWithSpaces>2543</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2024-04-28T22:03:00Z</dcterms:created>
  <dc:creator>Bera, Soumen</dc:creator>
  <cp:lastModifiedBy>Sudarshan Gogoi</cp:lastModifiedBy>
  <dcterms:modified xsi:type="dcterms:W3CDTF">2024-04-30T04:54:38Z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A2497DA7804944F3BC9D0A80BADC8692_12</vt:lpwstr>
  </property>
</Properties>
</file>