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Personal Code of Ethics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Family and the environment I grew up in affected my perspective of the world the most. Growing up in China and moving to the U.S. later on made me experience and be influenced by both cultures. My code of ethics is then containing traditional Chinese values as well as western values. The traditional Chinese values heavily shaped the family part of my code of ethics. The rest of the code is influenced by the western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Canons: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Family: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the duty of filial piety.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 Confucian philosophy, filial piety refers to the moral obligation of the children: respect to, take care of, and bring frame for their parents. I believe in performing the duties defined by filial piety and so I think it is our obligation to financially support parents, take care of them when they get older, and live up to their expect.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2.   Respect for family member’s privacy.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 Chinese family, it is really common for family members to scrutinize other members’ privacy. However, I believe that family members should respect each other’s privacy. Just because you are a family does not mean you should look at others’ private things such as dairy without permission.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Academic:</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Honesty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 every student code of conduct, honesty is the most addressed value. I acknowledge that academic honesty should be followed. It ensures a fair environment for people to acquire knowledge and compete with their knowledge.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2.   Obey the rules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 any academic settings there exist rules. Obey the rules should be the priority.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Social and Career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Honesty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 this context, honesty means be true to people. It is unacceptable to stab others in the back while pretending to be their friends. In the business or industry context, it is important to act honestly to colleagues and even competitors.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2.   Do what we are competent of.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Know the personal limits and should not gover it. Going over limits not only harm one physically and mentally but also may cause bad consequence for the society, especially for careers in medicine and engineering.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3.   Be Nice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This means generally do not intentionally harm others and don’t be intentionally mean to others.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