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 xml:space="preserve"> 20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NM2023TMID11</w:t>
            </w:r>
            <w:r>
              <w:rPr>
                <w:rFonts w:hint="default"/>
                <w:lang w:val="en-IN"/>
              </w:rPr>
              <w:t>307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Project - Estimation  and prediction of hospitalization and medical care costs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Brainstorm &amp; Idea Prioritization :</w:t>
      </w:r>
    </w:p>
    <w:p>
      <w:pPr>
        <w:pStyle w:val="20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 Collection and Analysis:</w:t>
      </w:r>
    </w:p>
    <w:p>
      <w:pPr>
        <w:pStyle w:val="20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Gather data from healthcare systems, insurance providers, and government agencies to estimate healthcare expenditures related to obesity.</w:t>
      </w:r>
    </w:p>
    <w:p>
      <w:pPr>
        <w:pStyle w:val="20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Analyze healthcare claims data, hospital records, and population surveys to assess the impact of obesity on healthcare costs</w:t>
      </w:r>
    </w:p>
    <w:p>
      <w:pPr>
        <w:pStyle w:val="20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Prioritize data collection from diverse populations to ensure a comprehensive understanding of the problem.</w:t>
      </w:r>
    </w:p>
    <w:p>
      <w:pPr>
        <w:pStyle w:val="20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Identification and Categorization of Costs:</w:t>
      </w:r>
    </w:p>
    <w:p>
      <w:pPr>
        <w:pStyle w:val="20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Categorize healthcare expenditures into direct costs (e.g., medical treatments, hospitalizations, medications) and indirect costs (e.g., productivity loss, disability-adjusted life years).</w:t>
      </w:r>
    </w:p>
    <w:p>
      <w:pPr>
        <w:pStyle w:val="20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Break down costs by different healthcare components such as outpatient care, inpatient care, emergency department visits, and preventive services.</w:t>
      </w:r>
    </w:p>
    <w:p>
      <w:pPr>
        <w:pStyle w:val="20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Identify costs specifically associated with obesity-related conditions, including diabetes, cardiovascular diseases, musculoskeletal disorders, certain cancers, and mental health conditions.</w:t>
      </w:r>
    </w:p>
    <w:p>
      <w:pPr>
        <w:pStyle w:val="20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Comparison with Non-Obese Population:</w:t>
      </w:r>
    </w:p>
    <w:p>
      <w:pPr>
        <w:pStyle w:val="20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Obtain healthcare expenditure data for the non-obese population to compare the additional costs attributable to obesity.</w:t>
      </w:r>
    </w:p>
    <w:p>
      <w:pPr>
        <w:pStyle w:val="20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Analyze the cost difference in various healthcare components between the obese and non-obese populations.</w:t>
      </w:r>
    </w:p>
    <w:p>
      <w:pPr>
        <w:pStyle w:val="20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 the potential cost savings achievable through effective obesity prevention strategies.</w:t>
      </w:r>
    </w:p>
    <w:p>
      <w:pPr>
        <w:pStyle w:val="20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Cost-Effectiveness Analysis:</w:t>
      </w:r>
    </w:p>
    <w:p>
      <w:pPr>
        <w:pStyle w:val="20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Conduct a cost-effectiveness analysis of different prevention strategies, considering primary and secondary prevention measures.</w:t>
      </w:r>
    </w:p>
    <w:p>
      <w:pPr>
        <w:pStyle w:val="20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Evaluate interventions such as community-based programs, education campaigns, healthy lifestyle promotion, and policy interventions to identify the most cost-effective options.</w:t>
      </w:r>
    </w:p>
    <w:p>
      <w:pPr>
        <w:pStyle w:val="20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Estimate the potential return on investment (ROI) for each prevention strategy to prioritize the most impactful and economically viable approaches.</w:t>
      </w:r>
    </w:p>
    <w:p>
      <w:pPr>
        <w:pStyle w:val="20"/>
        <w:ind w:left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.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  <w:r>
        <w:drawing>
          <wp:inline distT="0" distB="0" distL="0" distR="0">
            <wp:extent cx="5731510" cy="3827780"/>
            <wp:effectExtent l="0" t="0" r="0" b="0"/>
            <wp:docPr id="8" name="image1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09975" cy="3333750"/>
            <wp:effectExtent l="0" t="0" r="9525" b="0"/>
            <wp:docPr id="7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33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247C0"/>
    <w:multiLevelType w:val="multilevel"/>
    <w:tmpl w:val="162247C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C113645"/>
    <w:multiLevelType w:val="multilevel"/>
    <w:tmpl w:val="2C11364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669B04E1"/>
    <w:multiLevelType w:val="multilevel"/>
    <w:tmpl w:val="669B04E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D377C"/>
    <w:multiLevelType w:val="multilevel"/>
    <w:tmpl w:val="6C2D377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7A1E310C"/>
    <w:multiLevelType w:val="multilevel"/>
    <w:tmpl w:val="7A1E310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F1353E"/>
    <w:rsid w:val="0031104C"/>
    <w:rsid w:val="00330B14"/>
    <w:rsid w:val="004B32F1"/>
    <w:rsid w:val="00EA5A2B"/>
    <w:rsid w:val="00F1353E"/>
    <w:rsid w:val="2359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8">
    <w:name w:val="_Style 16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331</Words>
  <Characters>1892</Characters>
  <Lines>15</Lines>
  <Paragraphs>4</Paragraphs>
  <TotalTime>6</TotalTime>
  <ScaleCrop>false</ScaleCrop>
  <LinksUpToDate>false</LinksUpToDate>
  <CharactersWithSpaces>2219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2023-05-23T10:09:00Z</dcterms:created>
  <dc:creator>Amarender Katkam</dc:creator>
  <cp:lastModifiedBy>sudarshana v</cp:lastModifiedBy>
  <dcterms:modified xsi:type="dcterms:W3CDTF">2023-05-24T09:16:14Z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365A59A9AF7A47DCA39CC806AA4CD933</vt:lpwstr>
  </property>
</Properties>
</file>