
<file path=[Content_Types].xml><?xml version="1.0" encoding="utf-8"?>
<Types xmlns="http://schemas.openxmlformats.org/package/2006/content-types">
  <Default Extension="png" ContentType="image/pn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24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 xml:space="preserve">pappu sudarshini (individual participant)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 xml:space="preserve">Medical Diagnostic Centre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keepNext w:val="1"/>
        <w:spacing w:before="240" w:after="120"/>
      </w:pPr>
      <w:r>
        <w:rPr>
          <w:b/>
        </w:rPr>
        <w:t xml:space="preserve">Solution Architecture Diagram: Medical Diagnostic Centre</w:t>
      </w:r>
    </w:p>
    <w:p>
      <w:pPr>
        <w:keepNext w:val="1"/>
      </w:pPr>
      <w:r>
        <w:drawing>
          <wp:inline distT="0" distB="0" distL="0" distR="0">
            <wp:extent cx="5731000" cy="3554612"/>
            <wp:effectExtent l="0" t="0" r="0" b="0"/>
            <wp:docPr id="50" name="image2.png" descr="Solution architecture of the Medical Diagnostic Centre on ServiceN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olution architecture of the Medical Diagnostic Centre on ServiceNow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000" cy="3554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2: Architecture and data flow of the Medical Diagnostic Centre application on ServiceNow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30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