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b/>
          <w:bCs/>
          <w:color w:val="1F4E4C"/>
        </w:rPr>
        <w:t xml:space="preserve">CDR – Biochar</w:t>
      </w:r>
    </w:p>
    <w:p>
      <w:pPr>
        <w:pBdr>
          <w:bottom w:val="single" w:color="BFBFBF" w:sz="6" w:space="8"/>
        </w:pBdr>
        <w:spacing w:after="200"/>
      </w:pPr>
      <w:r>
        <w:rPr>
          <w:b/>
          <w:bCs/>
          <w:color w:val="444444"/>
          <w:sz w:val="26"/>
          <w:szCs w:val="26"/>
        </w:rPr>
        <w:t xml:space="preserve">e-LMS Storyboard Brief — 20 Hours, 5 Modules</w:t>
      </w:r>
    </w:p>
    <w:p>
      <w:pPr>
        <w:spacing w:after="300"/>
      </w:pPr>
      <w:r>
        <w:rPr>
          <w:color w:val="555555"/>
        </w:rPr>
        <w:t xml:space="preserve">Every module runs on a fixed Part A / Part B / Part C pattern — Part B and Part C are 15 minutes each, and Part A carries the remaining module time.</w:t>
      </w:r>
    </w:p>
    <w:tbl>
      <w:tblPr>
        <w:tblW w:type="dxa" w:w="93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Module 1: INTRODUCTION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2 Hours</w:t>
            </w:r>
          </w:p>
        </w:tc>
      </w:tr>
      <w:tr>
        <w:trPr>
          <w:cantSplit/>
        </w:trPr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A:  </w:t>
            </w:r>
            <w:r>
              <w:rPr>
                <w:color w:val="1F1F1F"/>
              </w:rPr>
              <w:t xml:space="preserve">1 hr 30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B:  </w:t>
            </w:r>
            <w:r>
              <w:rPr>
                <w:color w:val="1F1F1F"/>
              </w:rPr>
              <w:t xml:space="preserve">15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C:  </w:t>
            </w:r>
            <w:r>
              <w:rPr>
                <w:color w:val="1F1F1F"/>
              </w:rPr>
              <w:t xml:space="preserve">15 min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1F1F"/>
              </w:rPr>
              <w:t xml:space="preserve">1.1  Introduction to Climate Challenge &amp; Policy Interventions</w:t>
            </w:r>
          </w:p>
          <w:p>
            <w:pPr>
              <w:spacing w:after="160"/>
            </w:pPr>
            <w:r>
              <w:rPr>
                <w:b w:val="false"/>
                <w:bCs w:val="false"/>
                <w:color w:val="1F1F1F"/>
              </w:rPr>
              <w:t xml:space="preserve">ghg_accounting_and_sustainability_reporting_storyboard (Module 1: Introduction to the Climate Challenge and Policy Action)</w:t>
            </w:r>
          </w:p>
          <w:p>
            <w:pPr>
              <w:spacing w:after="60"/>
            </w:pPr>
            <w:r>
              <w:rPr>
                <w:b/>
                <w:bCs/>
                <w:color w:val="1F1F1F"/>
              </w:rPr>
              <w:t xml:space="preserve">1.2  Circular Carbon Economy &amp; Voluntary Carbon Markets</w:t>
            </w:r>
          </w:p>
          <w:p>
            <w:pPr>
              <w:spacing w:after="80"/>
            </w:pPr>
            <w:r>
              <w:rPr>
                <w:b w:val="false"/>
                <w:bCs w:val="false"/>
                <w:color w:val="1F1F1F"/>
              </w:rPr>
              <w:t xml:space="preserve">Supporting documents: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1b-1_circular_carbon_economy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1b-2_overview_cdr_co2_direct_removal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1b-3_carbon_credits_for_offsets_share_of_cdr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1b-4_india_carbon_market_ccts_vcm_india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1b-5_voluntary_carbon_offsets_and_challenges_in_ccts</w:t>
            </w:r>
          </w:p>
        </w:tc>
      </w:tr>
    </w:tbl>
    <w:p>
      <w:pPr>
        <w:spacing w:after="260"/>
      </w:pPr>
    </w:p>
    <w:tbl>
      <w:tblPr>
        <w:tblW w:type="dxa" w:w="93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Module 2: AGRI RESIDUES SUPPLY CHAIN MANAGEMENT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 Hours</w:t>
            </w:r>
          </w:p>
        </w:tc>
      </w:tr>
      <w:tr>
        <w:trPr>
          <w:cantSplit/>
        </w:trPr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A:  </w:t>
            </w:r>
            <w:r>
              <w:rPr>
                <w:color w:val="1F1F1F"/>
              </w:rPr>
              <w:t xml:space="preserve">2 hr 30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B:  </w:t>
            </w:r>
            <w:r>
              <w:rPr>
                <w:color w:val="1F1F1F"/>
              </w:rPr>
              <w:t xml:space="preserve">15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C:  </w:t>
            </w:r>
            <w:r>
              <w:rPr>
                <w:color w:val="1F1F1F"/>
              </w:rPr>
              <w:t xml:space="preserve">15 min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F1F1F"/>
              </w:rPr>
              <w:t xml:space="preserve">agri_residues_aggregator_participant_handbook (Chapter 1, Units 1.1–1.2):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Unit 1.1 (Sections 1.1.1–1.1.2): Farm Waste &amp; Its Types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Unit 1.1 (Sections 1.1.2–1.1.3): Sources &amp; Market for Agricultural Residue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Unit 1.1 (Section 1.1.4) &amp; Unit 1.2 (Section 1.2.1): Benefits of Managing Agricultural Residues &amp; the Open-Burning Problem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Unit 1.2 (Sections 1.2.1–1.2.2): Aggregator's Role &amp; Biomass Supply Chain Management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Unit 1.2 (Sections 1.2.3–1.2.5): Duties, Skill Set &amp; Tools/Equipment of the Aggregator</w:t>
            </w:r>
          </w:p>
        </w:tc>
      </w:tr>
    </w:tbl>
    <w:p>
      <w:pPr>
        <w:spacing w:after="260"/>
      </w:pPr>
    </w:p>
    <w:tbl>
      <w:tblPr>
        <w:tblW w:type="dxa" w:w="93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Module 3: BIOCHAR &amp; BIO-OIL PRODUCTION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 Hours</w:t>
            </w:r>
          </w:p>
        </w:tc>
      </w:tr>
      <w:tr>
        <w:trPr>
          <w:cantSplit/>
        </w:trPr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A:  </w:t>
            </w:r>
            <w:r>
              <w:rPr>
                <w:color w:val="1F1F1F"/>
              </w:rPr>
              <w:t xml:space="preserve">5 hr 30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B:  </w:t>
            </w:r>
            <w:r>
              <w:rPr>
                <w:color w:val="1F1F1F"/>
              </w:rPr>
              <w:t xml:space="preserve">15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C:  </w:t>
            </w:r>
            <w:r>
              <w:rPr>
                <w:color w:val="1F1F1F"/>
              </w:rPr>
              <w:t xml:space="preserve">15 min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F1F1F"/>
              </w:rPr>
              <w:t xml:space="preserve">Generic content (not Mandya-specific), extracted from: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3a_biochar_production_technology_and_process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3b_dpr_for_biochar_production_1_tph_biomass_feedstock (Sections 6–7: Feedstock Receipt, Processing &amp; Storage; Main Plant &amp; Machinery)</w:t>
            </w:r>
          </w:p>
        </w:tc>
      </w:tr>
    </w:tbl>
    <w:p>
      <w:pPr>
        <w:spacing w:after="260"/>
      </w:pPr>
    </w:p>
    <w:tbl>
      <w:tblPr>
        <w:tblW w:type="dxa" w:w="93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Module 4: BIOCHAR SEQUESTRATION, CARBON REMOVALS &amp; DIGITAL MRV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6 Hours</w:t>
            </w:r>
          </w:p>
        </w:tc>
      </w:tr>
      <w:tr>
        <w:trPr>
          <w:cantSplit/>
        </w:trPr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A:  </w:t>
            </w:r>
            <w:r>
              <w:rPr>
                <w:color w:val="1F1F1F"/>
              </w:rPr>
              <w:t xml:space="preserve">5 hr 30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B:  </w:t>
            </w:r>
            <w:r>
              <w:rPr>
                <w:color w:val="1F1F1F"/>
              </w:rPr>
              <w:t xml:space="preserve">15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C:  </w:t>
            </w:r>
            <w:r>
              <w:rPr>
                <w:color w:val="1F1F1F"/>
              </w:rPr>
              <w:t xml:space="preserve">15 min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F1F1F"/>
              </w:rPr>
              <w:t xml:space="preserve">Generic content (not Mandya-specific), extracted from: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4a_dpr_for_supply_chain_and_biochar_sequestration (Section 4.1–4.2: sequestration fundamentals; Section 4.4: Digital MRV &amp; Dashboard)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4b_carbon_removal_and_biochar_credits (includes reference to the accompanying 40-minute video — additional video content to be considered)</w:t>
            </w:r>
          </w:p>
        </w:tc>
      </w:tr>
    </w:tbl>
    <w:p>
      <w:pPr>
        <w:spacing w:after="260"/>
      </w:pPr>
    </w:p>
    <w:tbl>
      <w:tblPr>
        <w:tblW w:type="dxa" w:w="935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gridSpan w:val="2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60"/>
              <w:bottom w:type="dxa" w:w="12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4"/>
                <w:szCs w:val="24"/>
              </w:rPr>
              <w:t xml:space="preserve">Module 5: CASE STUDY – MANDYA PROJECT</w:t>
            </w:r>
          </w:p>
        </w:tc>
        <w:tc>
          <w:tcPr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1F4E4C" w:val="clear"/>
            <w:tcMar>
              <w:top w:type="dxa" w:w="120"/>
              <w:left w:type="dxa" w:w="120"/>
              <w:bottom w:type="dxa" w:w="120"/>
              <w:right w:type="dxa" w:w="16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24"/>
                <w:szCs w:val="24"/>
              </w:rPr>
              <w:t xml:space="preserve">3 Hours</w:t>
            </w:r>
          </w:p>
        </w:tc>
      </w:tr>
      <w:tr>
        <w:trPr>
          <w:cantSplit/>
        </w:trPr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A:  </w:t>
            </w:r>
            <w:r>
              <w:rPr>
                <w:color w:val="1F1F1F"/>
              </w:rPr>
              <w:t xml:space="preserve">2 hr 30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B:  </w:t>
            </w:r>
            <w:r>
              <w:rPr>
                <w:color w:val="1F1F1F"/>
              </w:rPr>
              <w:t xml:space="preserve">15 min</w:t>
            </w:r>
          </w:p>
        </w:tc>
        <w:tc>
          <w:tcPr>
            <w:tcW w:type="dxa" w:w="3117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EDEDED" w:val="clear"/>
            <w:tcMar>
              <w:top w:type="dxa" w:w="140"/>
              <w:left w:type="dxa" w:w="160"/>
              <w:bottom w:type="dxa" w:w="140"/>
              <w:right w:type="dxa" w:w="120"/>
            </w:tcMar>
            <w:vAlign w:val="center"/>
          </w:tcPr>
          <w:p>
            <w:r>
              <w:rPr>
                <w:b/>
                <w:bCs/>
                <w:color w:val="1F1F1F"/>
              </w:rPr>
              <w:t xml:space="preserve">Part C:  </w:t>
            </w:r>
            <w:r>
              <w:rPr>
                <w:color w:val="1F1F1F"/>
              </w:rPr>
              <w:t xml:space="preserve">15 min</w:t>
            </w:r>
          </w:p>
        </w:tc>
      </w:tr>
      <w:tr>
        <w:trPr>
          <w:cantSplit/>
        </w:trPr>
        <w:tc>
          <w:tcPr>
            <w:gridSpan w:val="3"/>
            <w:tcBorders>
              <w:top w:val="single" w:color="D9D9D9" w:sz="4"/>
              <w:left w:val="single" w:color="D9D9D9" w:sz="4"/>
              <w:bottom w:val="single" w:color="D9D9D9" w:sz="4"/>
              <w:right w:val="single" w:color="D9D9D9" w:sz="4"/>
            </w:tcBorders>
            <w:shd w:fill="FAFAFA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80"/>
            </w:pPr>
            <w:r>
              <w:rPr>
                <w:b w:val="false"/>
                <w:bCs w:val="false"/>
                <w:color w:val="1F1F1F"/>
              </w:rPr>
              <w:t xml:space="preserve">Mandya project as illustration of Modules 3 &amp; 4 — split evenly across the 3 base documents (~50 min each):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3b_dpr_for_biochar_production_1_tph_biomass_feedstock (Mandya/K.R. Pet plant data, Sections 6–7)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4a_dpr_for_supply_chain_and_biochar_sequestration (Section 4.2–4.5 – Mandya-specific application &amp; MRV)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  <w:ind w:left="420"/>
            </w:pPr>
            <w:r>
              <w:rPr>
                <w:color w:val="1F1F1F"/>
              </w:rPr>
              <w:t xml:space="preserve">5_pdd_and_methodology_for_ghg_mitigation (Sections 1.1, 3.1, 3.4, 4.4)</w:t>
            </w:r>
          </w:p>
        </w:tc>
      </w:tr>
    </w:tbl>
    <w:p>
      <w:pPr>
        <w:spacing w:after="260"/>
      </w:pPr>
    </w:p>
    <w:sectPr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2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2026-08-20T06:24:19.015Z</dcterms:created>
  <dcterms:modified xsi:type="dcterms:W3CDTF">2026-08-20T06:24:19.041Z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