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jc w:val="center"/>
      </w:pPr>
      <w:r>
        <w:rPr>
          <w:rFonts w:ascii="Times New Roman" w:cs="Times New Roman" w:eastAsia="Times New Roman" w:hAnsi="Times New Roman"/>
          <w:b/>
          <w:bCs/>
          <w:sz w:val="28"/>
          <w:szCs w:val="28"/>
        </w:rPr>
        <w:t xml:space="preserve">ZeroSight: Behavioral Anomaly Detection for Zero-Day Protocol Exploits</w:t>
      </w:r>
    </w:p>
    <w:p>
      <w:pPr>
        <w:spacing w:before="80" w:after="80"/>
        <w:jc w:val="center"/>
      </w:pPr>
      <w:r>
        <w:rPr>
          <w:rFonts w:ascii="Times New Roman" w:cs="Times New Roman" w:eastAsia="Times New Roman" w:hAnsi="Times New Roman"/>
          <w:b/>
          <w:bCs/>
          <w:sz w:val="28"/>
          <w:szCs w:val="28"/>
        </w:rPr>
        <w:t xml:space="preserve">Using Network Flow Fingerprinting with Explainable AI</w:t>
      </w:r>
    </w:p>
    <w:p>
      <w:pPr>
        <w:spacing w:before="0" w:after="0"/>
      </w:pPr>
      <w:r>
        <w:t xml:space="preserve"/>
      </w:r>
    </w:p>
    <w:p>
      <w:pPr>
        <w:spacing w:before="60" w:after="60"/>
        <w:jc w:val="center"/>
      </w:pPr>
      <w:r>
        <w:rPr>
          <w:rFonts w:ascii="Times New Roman" w:cs="Times New Roman" w:eastAsia="Times New Roman" w:hAnsi="Times New Roman"/>
          <w:i w:val="false"/>
          <w:iCs w:val="false"/>
          <w:sz w:val="22"/>
          <w:szCs w:val="22"/>
        </w:rPr>
        <w:t xml:space="preserve">Sudeep R</w:t>
      </w:r>
    </w:p>
    <w:p>
      <w:pPr>
        <w:spacing w:before="60" w:after="60"/>
        <w:jc w:val="center"/>
      </w:pPr>
      <w:r>
        <w:rPr>
          <w:rFonts w:ascii="Times New Roman" w:cs="Times New Roman" w:eastAsia="Times New Roman" w:hAnsi="Times New Roman"/>
          <w:i/>
          <w:iCs/>
          <w:sz w:val="20"/>
          <w:szCs w:val="20"/>
        </w:rPr>
        <w:t xml:space="preserve">INFO-I520: Security for Networked Systems</w:t>
      </w:r>
    </w:p>
    <w:p>
      <w:pPr>
        <w:spacing w:before="60" w:after="60"/>
        <w:jc w:val="center"/>
      </w:pPr>
      <w:r>
        <w:rPr>
          <w:rFonts w:ascii="Times New Roman" w:cs="Times New Roman" w:eastAsia="Times New Roman" w:hAnsi="Times New Roman"/>
          <w:i/>
          <w:iCs/>
          <w:sz w:val="20"/>
          <w:szCs w:val="20"/>
        </w:rPr>
        <w:t xml:space="preserve">Luddy School of Informatics, Computing, and Engineering</w:t>
      </w:r>
    </w:p>
    <w:p>
      <w:pPr>
        <w:spacing w:before="60" w:after="60"/>
        <w:jc w:val="center"/>
      </w:pPr>
      <w:r>
        <w:rPr>
          <w:rFonts w:ascii="Times New Roman" w:cs="Times New Roman" w:eastAsia="Times New Roman" w:hAnsi="Times New Roman"/>
          <w:i/>
          <w:iCs/>
          <w:sz w:val="20"/>
          <w:szCs w:val="20"/>
        </w:rPr>
        <w:t xml:space="preserve">Indiana University Bloomington, Indiana, USA</w:t>
      </w:r>
    </w:p>
    <w:p>
      <w:pPr>
        <w:spacing w:before="0" w:after="0"/>
      </w:pPr>
      <w:r>
        <w:t xml:space="preserve"/>
      </w:r>
    </w:p>
    <w:p>
      <w:pPr>
        <w:pBdr>
          <w:bottom w:val="single" w:color="000000" w:sz="3" w:space="1"/>
        </w:pBdr>
        <w:spacing w:before="0" w:after="0"/>
      </w:pPr>
      <w:r>
        <w:t xml:space="preserve"/>
      </w:r>
    </w:p>
    <w:p>
      <w:pPr>
        <w:spacing w:before="0" w:after="0"/>
      </w:pPr>
      <w:r>
        <w:t xml:space="preserve"/>
      </w:r>
    </w:p>
    <w:p>
      <w:pPr>
        <w:spacing w:before="80" w:after="80"/>
        <w:jc w:val="center"/>
      </w:pPr>
      <w:r>
        <w:rPr>
          <w:rFonts w:ascii="Times New Roman" w:cs="Times New Roman" w:eastAsia="Times New Roman" w:hAnsi="Times New Roman"/>
          <w:b/>
          <w:bCs/>
          <w:sz w:val="22"/>
          <w:szCs w:val="22"/>
        </w:rPr>
        <w:t xml:space="preserve">Abstract</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Network intrusion detection systems traditionally rely on signature-based methods that fail against zero-day and polymorphic attacks. We present ZeroSight, a behavioral anomaly detection engine that combines unsupervised Isolation Forest (IF) analysis with a supervised Random Forest (RF) classifier, trained on a 19,950-sample synthetic CICIDS2017 dataset spanning 17 attack categories. ZeroSight operates on 31 network flow features extracted from raw PCAP captures, computing a normalized threat score and providing SHAP-style explainability through feature attribution. The Isolation Forest achieves 89.6% accuracy and 89.9% F1-score in anomaly detection, while the Random Forest achieves 90.8% accuracy with 94.4% macro-average recall across 18 traffic classes. Live PCAP capture experiments validate the system against real browser traffic, and a full-stack web dashboard provides interactive flow analysis, batch PCAP upload, and per-flow deviation reporting. ZeroSight is open-source and deployable as a local REST API service.</w:t>
      </w:r>
    </w:p>
    <w:p>
      <w:pPr>
        <w:spacing w:before="0" w:after="0"/>
      </w:pPr>
      <w:r>
        <w:t xml:space="preserve"/>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Keywords: Network Intrusion Detection, Isolation Forest, Explainable AI, CICIDS2017, Flow Fingerprinting, Zero-Day Detection, SHAP Attribution</w:t>
      </w:r>
    </w:p>
    <w:p>
      <w:pPr>
        <w:spacing w:before="0" w:after="0"/>
      </w:pPr>
      <w:r>
        <w:t xml:space="preserve"/>
      </w:r>
    </w:p>
    <w:p>
      <w:pPr>
        <w:pBdr>
          <w:bottom w:val="single" w:color="000000" w:sz="3" w:space="1"/>
        </w:pBdr>
        <w:spacing w:before="0" w:after="0"/>
      </w:pPr>
      <w:r>
        <w:t xml:space="preserve"/>
      </w:r>
    </w:p>
    <w:p>
      <w:pPr>
        <w:pStyle w:val="Heading1"/>
        <w:spacing w:before="280" w:after="140"/>
      </w:pPr>
      <w:r>
        <w:rPr>
          <w:rFonts w:ascii="Times New Roman" w:cs="Times New Roman" w:eastAsia="Times New Roman" w:hAnsi="Times New Roman"/>
          <w:b/>
          <w:bCs/>
          <w:sz w:val="24"/>
          <w:szCs w:val="24"/>
        </w:rPr>
        <w:t xml:space="preserve">1   Introduction</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Modern network environments generate enormous volumes of traffic, creating both the opportunity and the necessity for automated anomaly detection. Signature-based intrusion detection systems (IDS) such as Snort and Suricata remain widely deployed, but their fundamental limitation is well-established: they cannot detect attacks for which no signature exists [1]. Zero-day exploits, protocol behavioral anomalies, and novel attack variants consistently evade these systems until signature updates are released, often days or weeks after initial compromise.</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Machine learning-based approaches address this gap by learning statistical models of normal network behavior, flagging deviations as potential anomalies without requiring prior knowledge of attack structure [2]. Unsupervised methods such as Isolation Forest are particularly attractive for this task because they require no labeled attack data during training, instead modeling the distribution of benign traffic and treating isolated points as anomalous [3]. The challenge lies in making such systems operationally useful: raw anomaly scores must be translated into actionable security intelligence, and the reasoning behind detections must be interpretable to security operators.</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Explainable AI (XAI) has emerged as a critical requirement in security-sensitive deployments [4]. A model that flags traffic as malicious without identifying which features drive that classification offers limited operational value. SHAP (SHapley Additive exPlanations) and related techniques provide feature attribution that connects model decisions to observable network characteristics, enabling analysts to understand, validate, and act on detections [5].</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We present ZeroSight, a dual-model behavioral fingerprinting engine that combines Isolation Forest anomaly scoring with Random Forest attack classification and SHAP-style feature attribution. The system extracts 31 CICIDS2017 flow features from raw PCAP captures, scores each bidirectional flow on a 0-100 threat scale, and provides per-feature deviation analysis through an interactive web dashboard. The following are the primary contributions of this work:</w:t>
      </w:r>
    </w:p>
    <w:p>
      <w:pPr>
        <w:pStyle w:val="ListParagraph"/>
        <w:numPr>
          <w:ilvl w:val="0"/>
          <w:numId w:val="2"/>
        </w:numPr>
        <w:spacing w:before="60" w:after="60"/>
      </w:pPr>
      <w:r>
        <w:rPr>
          <w:rFonts w:ascii="Times New Roman" w:cs="Times New Roman" w:eastAsia="Times New Roman" w:hAnsi="Times New Roman"/>
          <w:sz w:val="22"/>
          <w:szCs w:val="22"/>
        </w:rPr>
        <w:t xml:space="preserve">A hybrid dual-model architecture combining unsupervised anomaly detection (Isolation Forest) with supervised attack classification (Random Forest), trained on a 19,950-sample synthetic CICIDS2017 dataset covering 17 attack categories.</w:t>
      </w:r>
    </w:p>
    <w:p>
      <w:pPr>
        <w:pStyle w:val="ListParagraph"/>
        <w:numPr>
          <w:ilvl w:val="0"/>
          <w:numId w:val="2"/>
        </w:numPr>
        <w:spacing w:before="60" w:after="60"/>
      </w:pPr>
      <w:r>
        <w:rPr>
          <w:rFonts w:ascii="Times New Roman" w:cs="Times New Roman" w:eastAsia="Times New Roman" w:hAnsi="Times New Roman"/>
          <w:sz w:val="22"/>
          <w:szCs w:val="22"/>
        </w:rPr>
        <w:t xml:space="preserve">A PCAP-native flow parser that extracts bidirectional flows with real timestamps, proper inter-arrival time computation, and 31 CICIDS2017-compatible features directly in the browser without server-side file upload.</w:t>
      </w:r>
    </w:p>
    <w:p>
      <w:pPr>
        <w:pStyle w:val="ListParagraph"/>
        <w:numPr>
          <w:ilvl w:val="0"/>
          <w:numId w:val="2"/>
        </w:numPr>
        <w:spacing w:before="60" w:after="60"/>
      </w:pPr>
      <w:r>
        <w:rPr>
          <w:rFonts w:ascii="Times New Roman" w:cs="Times New Roman" w:eastAsia="Times New Roman" w:hAnsi="Times New Roman"/>
          <w:sz w:val="22"/>
          <w:szCs w:val="22"/>
        </w:rPr>
        <w:t xml:space="preserve">A SHAP-style explainability layer providing per-flow feature attribution that identifies the primary drivers of each anomaly detection decision, presented through an interactive dashboard.</w:t>
      </w:r>
    </w:p>
    <w:p>
      <w:pPr>
        <w:pStyle w:val="ListParagraph"/>
        <w:numPr>
          <w:ilvl w:val="0"/>
          <w:numId w:val="2"/>
        </w:numPr>
        <w:spacing w:before="60" w:after="60"/>
      </w:pPr>
      <w:r>
        <w:rPr>
          <w:rFonts w:ascii="Times New Roman" w:cs="Times New Roman" w:eastAsia="Times New Roman" w:hAnsi="Times New Roman"/>
          <w:sz w:val="22"/>
          <w:szCs w:val="22"/>
        </w:rPr>
        <w:t xml:space="preserve">Empirical validation on live network captures from a standard browsing session, demonstrating real-world applicability and documenting false-positive behavior with root-cause analysis.</w:t>
      </w:r>
    </w:p>
    <w:p>
      <w:pPr>
        <w:pStyle w:val="ListParagraph"/>
        <w:numPr>
          <w:ilvl w:val="0"/>
          <w:numId w:val="2"/>
        </w:numPr>
        <w:spacing w:before="60" w:after="60"/>
      </w:pPr>
      <w:r>
        <w:rPr>
          <w:rFonts w:ascii="Times New Roman" w:cs="Times New Roman" w:eastAsia="Times New Roman" w:hAnsi="Times New Roman"/>
          <w:sz w:val="22"/>
          <w:szCs w:val="22"/>
        </w:rPr>
        <w:t xml:space="preserve">A threshold calibration methodology based on the 90th percentile of BENIGN training scores, balancing false-positive rate with detection sensitivity.</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The remainder of this paper is organized as follows. Section 2 reviews related work in ML-based intrusion detection and explainability. Section 3 describes the ZeroSight architecture and its components. Section 4 presents experimental results and analysis. Section 5 discusses limitations and future directions, and Section 6 concludes.</w:t>
      </w:r>
    </w:p>
    <w:p>
      <w:pPr>
        <w:pStyle w:val="Heading1"/>
        <w:spacing w:before="280" w:after="140"/>
      </w:pPr>
      <w:r>
        <w:rPr>
          <w:rFonts w:ascii="Times New Roman" w:cs="Times New Roman" w:eastAsia="Times New Roman" w:hAnsi="Times New Roman"/>
          <w:b/>
          <w:bCs/>
          <w:sz w:val="24"/>
          <w:szCs w:val="24"/>
        </w:rPr>
        <w:t xml:space="preserve">2   Related Work</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Research in network intrusion detection has progressively shifted from rule-based systems toward machine learning approaches. Early statistical methods and threshold-based detectors were effective against known attack patterns but could not adapt to novel threats. The CICIDS2017 dataset introduced by Sharafaldin et al. [6] established a comprehensive benchmark for evaluating flow-based IDS systems, providing labeled traffic for 14 attack categories generated in a controlled network environment.</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Unsupervised anomaly detection using Isolation Forest was introduced by Liu et al. [3] and has been applied to network intrusion detection with strong results on high-dimensional flow data. The key insight is that anomalous samples are easier to isolate in random recursive partitioning, requiring fewer splits on average than normal samples. This property makes IF computationally efficient and naturally suited to detecting rare events such as network attacks.</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Supervised classification approaches using Random Forest have consistently achieved high accuracy on the CICIDS2017 benchmark [7]. However, pure supervised systems require labeled attack samples and fail against unseen attack variants. Hybrid approaches that combine unsupervised anomaly scoring with supervised label classification offer complementary strengths: the IF component handles novel attacks while the RF component provides specific attack categorization for known threat types.</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The need for interpretable security systems has been addressed through SHAP-based attribution [5], LIME [8], and attention visualization in deep learning models. In network security contexts, feature attribution directly supports analyst workflows by identifying which flow characteristics triggered an alert, enabling faster triage and reducing alert fatigue. ZeroSight implements a computationally efficient SHAP approximation that scales to real-time per-flow analysis.</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Prior work on browser-side PCAP analysis has focused primarily on visualization tools. ZeroSight differs by performing full ML inference in the browser through a local REST API, enabling deployment in air-gapped environments and eliminating the privacy concerns associated with uploading network captures to cloud services.</w:t>
      </w:r>
    </w:p>
    <w:p>
      <w:pPr>
        <w:pStyle w:val="Heading1"/>
        <w:spacing w:before="280" w:after="140"/>
      </w:pPr>
      <w:r>
        <w:rPr>
          <w:rFonts w:ascii="Times New Roman" w:cs="Times New Roman" w:eastAsia="Times New Roman" w:hAnsi="Times New Roman"/>
          <w:b/>
          <w:bCs/>
          <w:sz w:val="24"/>
          <w:szCs w:val="24"/>
        </w:rPr>
        <w:t xml:space="preserve">3   System Architecture</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ZeroSight is structured as a three-tier system comprising a data generation and training pipeline, a FastAPI inference server, and a browser-based dashboard. Figure 1 shows the high-level architecture. The system operates on 31 CICIDS2017 network flow features, mapping raw packet captures to a normalized threat score through a two-model inference pipeline.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200"/>
              <w:left w:type="dxa" w:w="200"/>
              <w:bottom w:type="dxa" w:w="200"/>
              <w:right w:type="dxa" w:w="200"/>
            </w:tcMar>
          </w:tcPr>
          <w:p>
            <w:pPr>
              <w:spacing w:before="60" w:after="60"/>
              <w:jc w:val="center"/>
            </w:pPr>
            <w:r>
              <w:rPr>
                <w:rFonts w:ascii="Times New Roman" w:cs="Times New Roman" w:eastAsia="Times New Roman" w:hAnsi="Times New Roman"/>
                <w:i/>
                <w:iCs/>
                <w:color w:val="666666"/>
                <w:sz w:val="20"/>
                <w:szCs w:val="20"/>
              </w:rPr>
              <w:t xml:space="preserve">[ ZeroSight Architecture Diagram ]</w:t>
            </w:r>
          </w:p>
          <w:p>
            <w:pPr>
              <w:spacing w:before="0" w:after="60"/>
              <w:jc w:val="center"/>
            </w:pPr>
            <w:r>
              <w:rPr>
                <w:rFonts w:ascii="Times New Roman" w:cs="Times New Roman" w:eastAsia="Times New Roman" w:hAnsi="Times New Roman"/>
                <w:color w:val="444444"/>
                <w:sz w:val="18"/>
                <w:szCs w:val="18"/>
              </w:rPr>
              <w:t xml:space="preserve">PCAP Upload  →  Browser Parser  →  REST API  →  Isolation Forest + Random Forest  →  XAI Attribution  →  Dashboard</w:t>
            </w:r>
          </w:p>
        </w:tc>
      </w:tr>
    </w:tbl>
    <w:p>
      <w:pPr>
        <w:spacing w:before="80" w:after="120"/>
        <w:jc w:val="center"/>
      </w:pPr>
      <w:r>
        <w:rPr>
          <w:rFonts w:ascii="Times New Roman" w:cs="Times New Roman" w:eastAsia="Times New Roman" w:hAnsi="Times New Roman"/>
          <w:i/>
          <w:iCs/>
          <w:sz w:val="20"/>
          <w:szCs w:val="20"/>
        </w:rPr>
        <w:t xml:space="preserve">Fig. 1: ZeroSight system architecture</w:t>
      </w:r>
    </w:p>
    <w:p>
      <w:pPr>
        <w:pStyle w:val="Heading2"/>
        <w:spacing w:before="200" w:after="100"/>
      </w:pPr>
      <w:r>
        <w:rPr>
          <w:rFonts w:ascii="Times New Roman" w:cs="Times New Roman" w:eastAsia="Times New Roman" w:hAnsi="Times New Roman"/>
          <w:b/>
          <w:bCs/>
          <w:sz w:val="22"/>
          <w:szCs w:val="22"/>
        </w:rPr>
        <w:t xml:space="preserve">3.1   Synthetic Dataset Generation</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ZeroSight trains on a synthetic dataset generated to replicate the statistical properties of CICIDS2017 flow records. The dataset comprises 19,950 samples: 9,750 BENIGN flows and 600 samples per 17 attack class. BENIGN traffic is modeled as a mixture of four traffic subtypes to capture realistic heterogeneity:</w:t>
      </w:r>
    </w:p>
    <w:p>
      <w:pPr>
        <w:pStyle w:val="ListParagraph"/>
        <w:numPr>
          <w:ilvl w:val="0"/>
          <w:numId w:val="2"/>
        </w:numPr>
        <w:spacing w:before="60" w:after="60"/>
      </w:pPr>
      <w:r>
        <w:rPr>
          <w:rFonts w:ascii="Times New Roman" w:cs="Times New Roman" w:eastAsia="Times New Roman" w:hAnsi="Times New Roman"/>
          <w:sz w:val="22"/>
          <w:szCs w:val="22"/>
        </w:rPr>
        <w:t xml:space="preserve">Web traffic (50%): 5-30M microsecond duration, 500-1460 byte packets, asymmetric backward bandwidth.</w:t>
      </w:r>
    </w:p>
    <w:p>
      <w:pPr>
        <w:pStyle w:val="ListParagraph"/>
        <w:numPr>
          <w:ilvl w:val="0"/>
          <w:numId w:val="2"/>
        </w:numPr>
        <w:spacing w:before="60" w:after="60"/>
      </w:pPr>
      <w:r>
        <w:rPr>
          <w:rFonts w:ascii="Times New Roman" w:cs="Times New Roman" w:eastAsia="Times New Roman" w:hAnsi="Times New Roman"/>
          <w:sz w:val="22"/>
          <w:szCs w:val="22"/>
        </w:rPr>
        <w:t xml:space="preserve">Bulk transfer traffic (12.5%): high-throughput flows with backward packet rates up to 2,000 packets/s and flow bytes up to 15 MB/s.</w:t>
      </w:r>
    </w:p>
    <w:p>
      <w:pPr>
        <w:pStyle w:val="ListParagraph"/>
        <w:numPr>
          <w:ilvl w:val="0"/>
          <w:numId w:val="2"/>
        </w:numPr>
        <w:spacing w:before="60" w:after="60"/>
      </w:pPr>
      <w:r>
        <w:rPr>
          <w:rFonts w:ascii="Times New Roman" w:cs="Times New Roman" w:eastAsia="Times New Roman" w:hAnsi="Times New Roman"/>
          <w:sz w:val="22"/>
          <w:szCs w:val="22"/>
        </w:rPr>
        <w:t xml:space="preserve">Interactive traffic (25%): short packets of 20-300 bytes with low inter-arrival times, representative of SSH and terminal sessions.</w:t>
      </w:r>
    </w:p>
    <w:p>
      <w:pPr>
        <w:pStyle w:val="ListParagraph"/>
        <w:numPr>
          <w:ilvl w:val="0"/>
          <w:numId w:val="2"/>
        </w:numPr>
        <w:spacing w:before="60" w:after="60"/>
      </w:pPr>
      <w:r>
        <w:rPr>
          <w:rFonts w:ascii="Times New Roman" w:cs="Times New Roman" w:eastAsia="Times New Roman" w:hAnsi="Times New Roman"/>
          <w:sz w:val="22"/>
          <w:szCs w:val="22"/>
        </w:rPr>
        <w:t xml:space="preserve">UDP/DNS traffic (12.5%): short flows of 1-6 packets with zero TCP flag counts, representative of DNS queries.</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Flag counts are assigned proportionally to packet counts rather than as binary indicators, addressing a critical false-positive source identified during PCAP validation: ACK flag counts of approximately 82% of total packets, PSH counts of approximately 14%. Attack classes are generated with feature profiles derived from published CICIDS2017 statistics, with sufficient intra-class variance to prevent trivial separation.</w:t>
      </w:r>
    </w:p>
    <w:p>
      <w:pPr>
        <w:pStyle w:val="Heading2"/>
        <w:spacing w:before="200" w:after="100"/>
      </w:pPr>
      <w:r>
        <w:rPr>
          <w:rFonts w:ascii="Times New Roman" w:cs="Times New Roman" w:eastAsia="Times New Roman" w:hAnsi="Times New Roman"/>
          <w:b/>
          <w:bCs/>
          <w:sz w:val="22"/>
          <w:szCs w:val="22"/>
        </w:rPr>
        <w:t xml:space="preserve">3.2   Dual-Model Inference Pipeline</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The inference pipeline processes each flow through two sequential models. The Isolation Forest operates in an unsupervised capacity, trained exclusively on BENIGN flows to model the normal traffic distribution. At inference time, the raw IF score (negative mean path length) is compared against a calibrated threshold to produce a binary anomaly decision.</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Threshold calibration uses the 90th percentile of BENIGN validation scores, establishing a 10% false-positive rate on training data. This is preferable to the default IF contamination-based threshold, which assumes a known attack ratio. The normalized threat score is computed as:</w:t>
      </w:r>
    </w:p>
    <w:p>
      <w:pPr>
        <w:spacing w:before="0" w:after="0"/>
      </w:pPr>
      <w:r>
        <w:t xml:space="preserve"/>
      </w:r>
    </w:p>
    <w:p>
      <w:pPr>
        <w:spacing w:before="80" w:after="80"/>
        <w:jc w:val="center"/>
      </w:pPr>
      <w:r>
        <w:rPr>
          <w:rFonts w:ascii="Courier New" w:cs="Courier New" w:eastAsia="Courier New" w:hAnsi="Courier New"/>
          <w:b/>
          <w:bCs/>
          <w:sz w:val="22"/>
          <w:szCs w:val="22"/>
        </w:rPr>
        <w:t xml:space="preserve">ThreatScore = clip((IF_raw - θ) / δ × 100,  0, 100)</w:t>
      </w:r>
    </w:p>
    <w:p>
      <w:pPr>
        <w:spacing w:before="0" w:after="0"/>
      </w:pPr>
      <w:r>
        <w:t xml:space="preserve"/>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where θ is the 90th-percentile BENIGN threshold and δ is the span from θ to the 95th percentile of attack scores on the test set. This mapping ensures that clearly benign flows score near 0 and confirmed attacks score near 100, with the full dynamic range occupied by borderline and ambiguous flows.</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The Random Forest classifier is trained on the full labeled dataset (BENIGN plus 17 attack classes) with Gaussian noise augmentation (std = 0.30 in scaled space) to improve generalization. The RF provides a per-class label and confidence score. When the RF classifies a flow as BENIGN with high confidence (≥85%), the threat score is capped at 25 regardless of the IF score, implementing a cross-model false-positive suppression mechanism.</w:t>
      </w:r>
    </w:p>
    <w:p>
      <w:pPr>
        <w:pStyle w:val="Heading2"/>
        <w:spacing w:before="200" w:after="100"/>
      </w:pPr>
      <w:r>
        <w:rPr>
          <w:rFonts w:ascii="Times New Roman" w:cs="Times New Roman" w:eastAsia="Times New Roman" w:hAnsi="Times New Roman"/>
          <w:b/>
          <w:bCs/>
          <w:sz w:val="22"/>
          <w:szCs w:val="22"/>
        </w:rPr>
        <w:t xml:space="preserve">3.3   SHAP-Style Feature Attribution</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ZeroSight implements an efficient approximation of SHAP feature attribution for per-flow explainability. The contribution of feature i is computed as:</w:t>
      </w:r>
    </w:p>
    <w:p>
      <w:pPr>
        <w:spacing w:before="0" w:after="0"/>
      </w:pPr>
      <w:r>
        <w:t xml:space="preserve"/>
      </w:r>
    </w:p>
    <w:p>
      <w:pPr>
        <w:spacing w:before="80" w:after="80"/>
        <w:jc w:val="center"/>
      </w:pPr>
      <w:r>
        <w:rPr>
          <w:rFonts w:ascii="Courier New" w:cs="Courier New" w:eastAsia="Courier New" w:hAnsi="Courier New"/>
          <w:b/>
          <w:bCs/>
          <w:sz w:val="22"/>
          <w:szCs w:val="22"/>
        </w:rPr>
        <w:t xml:space="preserve">contributionᵢ = |scaled_valueᵢ| × RF_importanceᵢ</w:t>
      </w:r>
    </w:p>
    <w:p>
      <w:pPr>
        <w:spacing w:before="0" w:after="0"/>
      </w:pPr>
      <w:r>
        <w:t xml:space="preserve"/>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where scaled_value is the StandardScaler-normalized feature value and RF_importance is the Gini impurity-based feature importance from the trained Random Forest. This formulation captures both the magnitude of deviation from the training mean (through the scaled value) and the global discriminative power of the feature (through the RF importance). The top-15 features by contribution are returned with each prediction, and four key rate features (Flow Packets/s, Flow Bytes/s, Bwd Packets/s, Fwd Packets/s) are always included to ensure the Protocol Deviation Analysis table displays complete information.</w:t>
      </w:r>
    </w:p>
    <w:p>
      <w:pPr>
        <w:pStyle w:val="Heading2"/>
        <w:spacing w:before="200" w:after="100"/>
      </w:pPr>
      <w:r>
        <w:rPr>
          <w:rFonts w:ascii="Times New Roman" w:cs="Times New Roman" w:eastAsia="Times New Roman" w:hAnsi="Times New Roman"/>
          <w:b/>
          <w:bCs/>
          <w:sz w:val="22"/>
          <w:szCs w:val="22"/>
        </w:rPr>
        <w:t xml:space="preserve">3.4   PCAP Flow Parser</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The browser-side PCAP parser reads raw binary PCAP files without server-side upload, preserving network privacy. The parser implements the following processing pipeline:</w:t>
      </w:r>
    </w:p>
    <w:p>
      <w:pPr>
        <w:pStyle w:val="ListParagraph"/>
        <w:numPr>
          <w:ilvl w:val="0"/>
          <w:numId w:val="2"/>
        </w:numPr>
        <w:spacing w:before="60" w:after="60"/>
      </w:pPr>
      <w:r>
        <w:rPr>
          <w:rFonts w:ascii="Times New Roman" w:cs="Times New Roman" w:eastAsia="Times New Roman" w:hAnsi="Times New Roman"/>
          <w:sz w:val="22"/>
          <w:szCs w:val="22"/>
        </w:rPr>
        <w:t xml:space="preserve">Binary PCAP header parsing: reads global header (magic number, link type) and per-packet record headers with real timestamps (ts_sec × 10⁶ + ts_usec microseconds).</w:t>
      </w:r>
    </w:p>
    <w:p>
      <w:pPr>
        <w:pStyle w:val="ListParagraph"/>
        <w:numPr>
          <w:ilvl w:val="0"/>
          <w:numId w:val="2"/>
        </w:numPr>
        <w:spacing w:before="60" w:after="60"/>
      </w:pPr>
      <w:r>
        <w:rPr>
          <w:rFonts w:ascii="Times New Roman" w:cs="Times New Roman" w:eastAsia="Times New Roman" w:hAnsi="Times New Roman"/>
          <w:sz w:val="22"/>
          <w:szCs w:val="22"/>
        </w:rPr>
        <w:t xml:space="preserve">Bidirectional flow grouping: flows are identified by canonical 5-tuple keys where source/destination endpoints are ordered to ensure A→B and B→A packets map to the same flow.</w:t>
      </w:r>
    </w:p>
    <w:p>
      <w:pPr>
        <w:pStyle w:val="ListParagraph"/>
        <w:numPr>
          <w:ilvl w:val="0"/>
          <w:numId w:val="2"/>
        </w:numPr>
        <w:spacing w:before="60" w:after="60"/>
      </w:pPr>
      <w:r>
        <w:rPr>
          <w:rFonts w:ascii="Times New Roman" w:cs="Times New Roman" w:eastAsia="Times New Roman" w:hAnsi="Times New Roman"/>
          <w:sz w:val="22"/>
          <w:szCs w:val="22"/>
        </w:rPr>
        <w:t xml:space="preserve">Directional tracking: forward and backward packet sizes, timestamps, and TCP window sizes are tracked separately for asymmetric feature computation.</w:t>
      </w:r>
    </w:p>
    <w:p>
      <w:pPr>
        <w:pStyle w:val="ListParagraph"/>
        <w:numPr>
          <w:ilvl w:val="0"/>
          <w:numId w:val="2"/>
        </w:numPr>
        <w:spacing w:before="60" w:after="60"/>
      </w:pPr>
      <w:r>
        <w:rPr>
          <w:rFonts w:ascii="Times New Roman" w:cs="Times New Roman" w:eastAsia="Times New Roman" w:hAnsi="Times New Roman"/>
          <w:sz w:val="22"/>
          <w:szCs w:val="22"/>
        </w:rPr>
        <w:t xml:space="preserve">IAT computation: inter-arrival times are computed from sorted real timestamps, enabling accurate Flow IAT Mean, Std, and Max calculation.</w:t>
      </w:r>
    </w:p>
    <w:p>
      <w:pPr>
        <w:pStyle w:val="ListParagraph"/>
        <w:numPr>
          <w:ilvl w:val="0"/>
          <w:numId w:val="2"/>
        </w:numPr>
        <w:spacing w:before="60" w:after="60"/>
      </w:pPr>
      <w:r>
        <w:rPr>
          <w:rFonts w:ascii="Times New Roman" w:cs="Times New Roman" w:eastAsia="Times New Roman" w:hAnsi="Times New Roman"/>
          <w:sz w:val="22"/>
          <w:szCs w:val="22"/>
        </w:rPr>
        <w:t xml:space="preserve">Active/Idle separation: gaps ≥1 second are classified as idle periods; gaps &lt;1 second contribute to active statistics.</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Flows with fewer than 2 packets are discarded before feature extraction. The parser produces 31-feature CICIDS2017-compatible flow records that are submitted to the inference API for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5F5F5" w:val="clear"/>
            <w:tcMar>
              <w:top w:type="dxa" w:w="80"/>
              <w:left w:type="dxa" w:w="200"/>
              <w:bottom w:type="dxa" w:w="80"/>
              <w:right w:type="dxa" w:w="200"/>
            </w:tcMar>
          </w:tcPr>
          <w:p>
            <w:pPr>
              <w:spacing w:before="60" w:after="80"/>
            </w:pPr>
            <w:r>
              <w:rPr>
                <w:rFonts w:ascii="Courier New" w:cs="Courier New" w:eastAsia="Courier New" w:hAnsi="Courier New"/>
                <w:b/>
                <w:bCs/>
                <w:sz w:val="20"/>
                <w:szCs w:val="20"/>
              </w:rPr>
              <w:t xml:space="preserve">Algorithm 1: ZeroSightFlowScoring(flow)</w:t>
            </w:r>
          </w:p>
          <w:p>
            <w:pPr>
              <w:spacing w:before="0" w:after="0"/>
            </w:pPr>
            <w:r>
              <w:rPr>
                <w:rFonts w:ascii="Courier New" w:cs="Courier New" w:eastAsia="Courier New" w:hAnsi="Courier New"/>
                <w:sz w:val="18"/>
                <w:szCs w:val="18"/>
              </w:rPr>
              <w:t xml:space="preserve">Input:  Raw flow features f (31 CICIDS2017 features)</w:t>
            </w:r>
          </w:p>
          <w:p>
            <w:pPr>
              <w:spacing w:before="0" w:after="0"/>
            </w:pPr>
            <w:r>
              <w:rPr>
                <w:rFonts w:ascii="Courier New" w:cs="Courier New" w:eastAsia="Courier New" w:hAnsi="Courier New"/>
                <w:sz w:val="18"/>
                <w:szCs w:val="18"/>
              </w:rPr>
              <w:t xml:space="preserve">Output: ThreatScore, severity, attack_label, top_features</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1:  Standardize f: f_scaled ← StandardScaler.transform(f)</w:t>
            </w:r>
          </w:p>
          <w:p>
            <w:pPr>
              <w:spacing w:before="0" w:after="0"/>
            </w:pPr>
            <w:r>
              <w:rPr>
                <w:rFonts w:ascii="Courier New" w:cs="Courier New" w:eastAsia="Courier New" w:hAnsi="Courier New"/>
                <w:sz w:val="18"/>
                <w:szCs w:val="18"/>
              </w:rPr>
              <w:t xml:space="preserve">2:  Compute IF raw score: if_raw ← -IsolationForest.score_samples(f_scaled)</w:t>
            </w:r>
          </w:p>
          <w:p>
            <w:pPr>
              <w:spacing w:before="0" w:after="0"/>
            </w:pPr>
            <w:r>
              <w:rPr>
                <w:rFonts w:ascii="Courier New" w:cs="Courier New" w:eastAsia="Courier New" w:hAnsi="Courier New"/>
                <w:sz w:val="18"/>
                <w:szCs w:val="18"/>
              </w:rPr>
              <w:t xml:space="preserve">3:  Apply threshold: if_pred ← (if_raw ≥ θ₉₀)</w:t>
            </w:r>
          </w:p>
          <w:p>
            <w:pPr>
              <w:spacing w:before="0" w:after="0"/>
            </w:pPr>
            <w:r>
              <w:rPr>
                <w:rFonts w:ascii="Courier New" w:cs="Courier New" w:eastAsia="Courier New" w:hAnsi="Courier New"/>
                <w:sz w:val="18"/>
                <w:szCs w:val="18"/>
              </w:rPr>
              <w:t xml:space="preserve">4:  Compute normalized score: score ← clip((if_raw - θ) / δ × 100, 0, 100)</w:t>
            </w:r>
          </w:p>
          <w:p>
            <w:pPr>
              <w:spacing w:before="0" w:after="0"/>
            </w:pPr>
            <w:r>
              <w:rPr>
                <w:rFonts w:ascii="Courier New" w:cs="Courier New" w:eastAsia="Courier New" w:hAnsi="Courier New"/>
                <w:sz w:val="18"/>
                <w:szCs w:val="18"/>
              </w:rPr>
              <w:t xml:space="preserve">5:  Classify with RF: rf_label, rf_conf ← RandomForest.predict_proba(f_scaled)</w:t>
            </w:r>
          </w:p>
          <w:p>
            <w:pPr>
              <w:spacing w:before="0" w:after="0"/>
            </w:pPr>
            <w:r>
              <w:rPr>
                <w:rFonts w:ascii="Courier New" w:cs="Courier New" w:eastAsia="Courier New" w:hAnsi="Courier New"/>
                <w:sz w:val="18"/>
                <w:szCs w:val="18"/>
              </w:rPr>
              <w:t xml:space="preserve">6:  if if_pred and rf_label == BENIGN and rf_conf ≥ 0.85 then</w:t>
            </w:r>
          </w:p>
          <w:p>
            <w:pPr>
              <w:spacing w:before="0" w:after="0"/>
            </w:pPr>
            <w:r>
              <w:rPr>
                <w:rFonts w:ascii="Courier New" w:cs="Courier New" w:eastAsia="Courier New" w:hAnsi="Courier New"/>
                <w:sz w:val="18"/>
                <w:szCs w:val="18"/>
              </w:rPr>
              <w:t xml:space="preserve">7:      score ← min(score, 25)   // cross-model FP suppression</w:t>
            </w:r>
          </w:p>
          <w:p>
            <w:pPr>
              <w:spacing w:before="0" w:after="0"/>
            </w:pPr>
            <w:r>
              <w:rPr>
                <w:rFonts w:ascii="Courier New" w:cs="Courier New" w:eastAsia="Courier New" w:hAnsi="Courier New"/>
                <w:sz w:val="18"/>
                <w:szCs w:val="18"/>
              </w:rPr>
              <w:t xml:space="preserve">8:  end if</w:t>
            </w:r>
          </w:p>
          <w:p>
            <w:pPr>
              <w:spacing w:before="0" w:after="0"/>
            </w:pPr>
            <w:r>
              <w:rPr>
                <w:rFonts w:ascii="Courier New" w:cs="Courier New" w:eastAsia="Courier New" w:hAnsi="Courier New"/>
                <w:sz w:val="18"/>
                <w:szCs w:val="18"/>
              </w:rPr>
              <w:t xml:space="preserve">9:  Compute contributions: cᵢ ← |f_scaledᵢ| × importanceᵢ  for all i</w:t>
            </w:r>
          </w:p>
          <w:p>
            <w:pPr>
              <w:spacing w:before="0" w:after="0"/>
            </w:pPr>
            <w:r>
              <w:rPr>
                <w:rFonts w:ascii="Courier New" w:cs="Courier New" w:eastAsia="Courier New" w:hAnsi="Courier New"/>
                <w:sz w:val="18"/>
                <w:szCs w:val="18"/>
              </w:rPr>
              <w:t xml:space="preserve">10: Sort by cᵢ descending; append must-show rate features</w:t>
            </w:r>
          </w:p>
          <w:p>
            <w:pPr>
              <w:spacing w:before="0" w:after="0"/>
            </w:pPr>
            <w:r>
              <w:rPr>
                <w:rFonts w:ascii="Courier New" w:cs="Courier New" w:eastAsia="Courier New" w:hAnsi="Courier New"/>
                <w:sz w:val="18"/>
                <w:szCs w:val="18"/>
              </w:rPr>
              <w:t xml:space="preserve">11: Map score to severity: {CLEAN, LOW, MEDIUM, HIGH, CRITICAL}</w:t>
            </w:r>
          </w:p>
          <w:p>
            <w:pPr>
              <w:spacing w:before="0" w:after="0"/>
            </w:pPr>
            <w:r>
              <w:rPr>
                <w:rFonts w:ascii="Courier New" w:cs="Courier New" w:eastAsia="Courier New" w:hAnsi="Courier New"/>
                <w:sz w:val="18"/>
                <w:szCs w:val="18"/>
              </w:rPr>
              <w:t xml:space="preserve">12: return score, severity, rf_label, top_15_features</w:t>
            </w:r>
          </w:p>
        </w:tc>
      </w:tr>
    </w:tbl>
    <w:p>
      <w:pPr>
        <w:spacing w:before="80" w:after="120"/>
        <w:jc w:val="center"/>
      </w:pPr>
      <w:r>
        <w:rPr>
          <w:rFonts w:ascii="Times New Roman" w:cs="Times New Roman" w:eastAsia="Times New Roman" w:hAnsi="Times New Roman"/>
          <w:i/>
          <w:iCs/>
          <w:sz w:val="20"/>
          <w:szCs w:val="20"/>
        </w:rPr>
        <w:t xml:space="preserve">Algorithm 1: ZeroSight per-flow threat scoring</w:t>
      </w:r>
    </w:p>
    <w:p>
      <w:pPr>
        <w:pStyle w:val="Heading2"/>
        <w:spacing w:before="200" w:after="100"/>
      </w:pPr>
      <w:r>
        <w:rPr>
          <w:rFonts w:ascii="Times New Roman" w:cs="Times New Roman" w:eastAsia="Times New Roman" w:hAnsi="Times New Roman"/>
          <w:b/>
          <w:bCs/>
          <w:sz w:val="22"/>
          <w:szCs w:val="22"/>
        </w:rPr>
        <w:t xml:space="preserve">3.5   Web Dashboard</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The ZeroSight dashboard is implemented as a single-page web application served by the FastAPI backend. It provides six operational panels: PCAP Upload for batch flow analysis, Manual/Preset for individual flow testing, Results + XAI for detailed per-flow attribution, Batch Results for comparative flow scoring, Protocol Table for deviation analysis, and Model Info for training metadata and feature importances.</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The Protocol Behavioral Deviation Analysis table presents per-feature observed values against normal baselines derived from training statistics. Baselines are dynamically computed where appropriate: the ACK flag baseline is shown as approximately 82% of total packet count rather than a static range, reflecting the proportional flag count model used in training. The IF contribution column shows SHAP attribution values for all features including rate features, ensuring that the primary anomaly drivers are always visible in the deviation table.</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Severity thresholds map normalized threat scores to operational categories: CLEAN (≤5), LOW (6-34), MEDIUM (35-59), HIGH (60-79), and CRITICAL (≥80). The RF attack label is used to escalate severity by one level when the supervised classifier agrees with the IF anomaly detection, providing a conservative confirmation mechanism.</w:t>
      </w:r>
    </w:p>
    <w:p>
      <w:pPr>
        <w:pStyle w:val="Heading1"/>
        <w:spacing w:before="280" w:after="140"/>
      </w:pPr>
      <w:r>
        <w:rPr>
          <w:rFonts w:ascii="Times New Roman" w:cs="Times New Roman" w:eastAsia="Times New Roman" w:hAnsi="Times New Roman"/>
          <w:b/>
          <w:bCs/>
          <w:sz w:val="24"/>
          <w:szCs w:val="24"/>
        </w:rPr>
        <w:t xml:space="preserve">4   Experimental Results and Analysis</w:t>
      </w:r>
    </w:p>
    <w:p>
      <w:pPr>
        <w:pStyle w:val="Heading2"/>
        <w:spacing w:before="200" w:after="100"/>
      </w:pPr>
      <w:r>
        <w:rPr>
          <w:rFonts w:ascii="Times New Roman" w:cs="Times New Roman" w:eastAsia="Times New Roman" w:hAnsi="Times New Roman"/>
          <w:b/>
          <w:bCs/>
          <w:sz w:val="22"/>
          <w:szCs w:val="22"/>
        </w:rPr>
        <w:t xml:space="preserve">4.1   Dataset and Experimental Setup</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The synthetic CICIDS2017 dataset comprises 19,950 labeled flow records: 9,750 BENIGN and 600 samples per 17 attack class, covering DoS Hulk, DoS GoldenEye, DoS Slowhttptest, DoS slowloris, DDoS, PortScan, Bot, Infiltration, Heartbleed, SSH-Patator, FTP-Patator, MSSQL Bruteforce, ICMP Flood, DNS Tunneling, and three Web Attack variants (Brute Force, SQL Injection, XSS). The dataset is split 75/25 into training and test sets using stratified sampling. The Isolation Forest is trained on the 7,312 BENIGN-only training samples. All experiments are implemented in Python using scikit-learn 1.3, FastAPI, and NumPy. The inference server runs on localhost:8000. Live capture experiments used tcpdump on Kali Linux 2024.1, capturing 500 packets of Firefox HTTPS browsing traffic.</w:t>
      </w:r>
    </w:p>
    <w:p>
      <w:pPr>
        <w:pStyle w:val="Heading2"/>
        <w:spacing w:before="200" w:after="100"/>
      </w:pPr>
      <w:r>
        <w:rPr>
          <w:rFonts w:ascii="Times New Roman" w:cs="Times New Roman" w:eastAsia="Times New Roman" w:hAnsi="Times New Roman"/>
          <w:b/>
          <w:bCs/>
          <w:sz w:val="22"/>
          <w:szCs w:val="22"/>
        </w:rPr>
        <w:t xml:space="preserve">4.2   Anomaly Detection Performance</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Table 1 presents the classification metrics for the Isolation Forest component. The IF achieves 89.6% accuracy and 89.9% F1-score on the held-out test set, with 90.3% recall indicating that approximately 1 in 10 attack flows is missed. These metrics are computed using the 90th-percentile BENIGN threshold, which was chosen over the default contamination-based threshold to reduce false positives on live traffic.</w:t>
      </w:r>
    </w:p>
    <w:p>
      <w:pPr>
        <w:spacing w:before="0" w:after="0"/>
      </w:pPr>
      <w:r>
        <w:t xml:space="preserve"/>
      </w:r>
    </w:p>
    <w:p>
      <w:pPr>
        <w:spacing w:before="120" w:after="60"/>
        <w:jc w:val="center"/>
      </w:pPr>
      <w:r>
        <w:rPr>
          <w:rFonts w:ascii="Times New Roman" w:cs="Times New Roman" w:eastAsia="Times New Roman" w:hAnsi="Times New Roman"/>
          <w:b/>
          <w:bCs/>
          <w:sz w:val="20"/>
          <w:szCs w:val="20"/>
        </w:rPr>
        <w:t xml:space="preserve">Table 1: Isolation Forest Classification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Metric</w:t>
            </w:r>
          </w:p>
        </w:tc>
        <w:tc>
          <w:tcPr>
            <w:tcW w:type="dxa" w:w="336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Value</w:t>
            </w:r>
          </w:p>
        </w:tc>
      </w:tr>
      <w:tr>
        <w:tc>
          <w:tcPr>
            <w:tcW w:type="dxa" w:w="6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Accuracy</w:t>
            </w:r>
          </w:p>
        </w:tc>
        <w:tc>
          <w:tcPr>
            <w:tcW w:type="dxa" w:w="33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89.6%</w:t>
            </w:r>
          </w:p>
        </w:tc>
      </w:tr>
      <w:tr>
        <w:tc>
          <w:tcPr>
            <w:tcW w:type="dxa" w:w="6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Precision</w:t>
            </w:r>
          </w:p>
        </w:tc>
        <w:tc>
          <w:tcPr>
            <w:tcW w:type="dxa" w:w="33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0"/>
                <w:szCs w:val="20"/>
              </w:rPr>
              <w:t xml:space="preserve">89.4%</w:t>
            </w:r>
          </w:p>
        </w:tc>
      </w:tr>
      <w:tr>
        <w:tc>
          <w:tcPr>
            <w:tcW w:type="dxa" w:w="6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Recall</w:t>
            </w:r>
          </w:p>
        </w:tc>
        <w:tc>
          <w:tcPr>
            <w:tcW w:type="dxa" w:w="33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0"/>
                <w:szCs w:val="20"/>
              </w:rPr>
              <w:t xml:space="preserve">90.3%</w:t>
            </w:r>
          </w:p>
        </w:tc>
      </w:tr>
      <w:tr>
        <w:tc>
          <w:tcPr>
            <w:tcW w:type="dxa" w:w="6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F1 Score</w:t>
            </w:r>
          </w:p>
        </w:tc>
        <w:tc>
          <w:tcPr>
            <w:tcW w:type="dxa" w:w="33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0"/>
                <w:szCs w:val="20"/>
              </w:rPr>
              <w:t xml:space="preserve">89.9%</w:t>
            </w:r>
          </w:p>
        </w:tc>
      </w:tr>
      <w:tr>
        <w:tc>
          <w:tcPr>
            <w:tcW w:type="dxa" w:w="6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Score Threshold (90th pct BENIGN)</w:t>
            </w:r>
          </w:p>
        </w:tc>
        <w:tc>
          <w:tcPr>
            <w:tcW w:type="dxa" w:w="33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0"/>
                <w:szCs w:val="20"/>
              </w:rPr>
              <w:t xml:space="preserve">0.50043</w:t>
            </w:r>
          </w:p>
        </w:tc>
      </w:tr>
      <w:tr>
        <w:tc>
          <w:tcPr>
            <w:tcW w:type="dxa" w:w="6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Score Divisor (attack p95 - threshold)</w:t>
            </w:r>
          </w:p>
        </w:tc>
        <w:tc>
          <w:tcPr>
            <w:tcW w:type="dxa" w:w="33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0"/>
                <w:szCs w:val="20"/>
              </w:rPr>
              <w:t xml:space="preserve">0.17290</w:t>
            </w:r>
          </w:p>
        </w:tc>
      </w:tr>
    </w:tbl>
    <w:p>
      <w:pPr>
        <w:spacing w:before="0" w:after="0"/>
      </w:pPr>
      <w:r>
        <w:t xml:space="preserve"/>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The IF raw score distribution shows clear separation between BENIGN and attack flows in the majority of cases. The 10% false-positive rate on BENIGN training data translates to a subset of real traffic flows being flagged, particularly high-bandwidth burst downloads that genuinely resemble volumetric attacks in the 31-dimensional feature space.</w:t>
      </w:r>
    </w:p>
    <w:p>
      <w:pPr>
        <w:pStyle w:val="Heading2"/>
        <w:spacing w:before="200" w:after="100"/>
      </w:pPr>
      <w:r>
        <w:rPr>
          <w:rFonts w:ascii="Times New Roman" w:cs="Times New Roman" w:eastAsia="Times New Roman" w:hAnsi="Times New Roman"/>
          <w:b/>
          <w:bCs/>
          <w:sz w:val="22"/>
          <w:szCs w:val="22"/>
        </w:rPr>
        <w:t xml:space="preserve">4.3   Attack Classification Performance</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Table 2 presents macro-averaged classification metrics for the Random Forest classifier across all 18 traffic classes (BENIGN plus 17 attack types). Macro-averaging is used to give equal weight to each class regardless of support, providing a more informative picture than binary precision/recall which collapses all attack types into a single category.</w:t>
      </w:r>
    </w:p>
    <w:p>
      <w:pPr>
        <w:spacing w:before="0" w:after="0"/>
      </w:pPr>
      <w:r>
        <w:t xml:space="preserve"/>
      </w:r>
    </w:p>
    <w:p>
      <w:pPr>
        <w:spacing w:before="120" w:after="60"/>
        <w:jc w:val="center"/>
      </w:pPr>
      <w:r>
        <w:rPr>
          <w:rFonts w:ascii="Times New Roman" w:cs="Times New Roman" w:eastAsia="Times New Roman" w:hAnsi="Times New Roman"/>
          <w:b/>
          <w:bCs/>
          <w:sz w:val="20"/>
          <w:szCs w:val="20"/>
        </w:rPr>
        <w:t xml:space="preserve">Table 2: Random Forest Macro-Average Classification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Metric</w:t>
            </w:r>
          </w:p>
        </w:tc>
        <w:tc>
          <w:tcPr>
            <w:tcW w:type="dxa" w:w="336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Value</w:t>
            </w:r>
          </w:p>
        </w:tc>
      </w:tr>
      <w:tr>
        <w:tc>
          <w:tcPr>
            <w:tcW w:type="dxa" w:w="6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Accuracy</w:t>
            </w:r>
          </w:p>
        </w:tc>
        <w:tc>
          <w:tcPr>
            <w:tcW w:type="dxa" w:w="33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90.8%</w:t>
            </w:r>
          </w:p>
        </w:tc>
      </w:tr>
      <w:tr>
        <w:tc>
          <w:tcPr>
            <w:tcW w:type="dxa" w:w="6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Precision (macro)</w:t>
            </w:r>
          </w:p>
        </w:tc>
        <w:tc>
          <w:tcPr>
            <w:tcW w:type="dxa" w:w="33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0"/>
                <w:szCs w:val="20"/>
              </w:rPr>
              <w:t xml:space="preserve">89.4%</w:t>
            </w:r>
          </w:p>
        </w:tc>
      </w:tr>
      <w:tr>
        <w:tc>
          <w:tcPr>
            <w:tcW w:type="dxa" w:w="6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Recall (macro)</w:t>
            </w:r>
          </w:p>
        </w:tc>
        <w:tc>
          <w:tcPr>
            <w:tcW w:type="dxa" w:w="33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0"/>
                <w:szCs w:val="20"/>
              </w:rPr>
              <w:t xml:space="preserve">94.4%</w:t>
            </w:r>
          </w:p>
        </w:tc>
      </w:tr>
      <w:tr>
        <w:tc>
          <w:tcPr>
            <w:tcW w:type="dxa" w:w="6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F1 Score (macro)</w:t>
            </w:r>
          </w:p>
        </w:tc>
        <w:tc>
          <w:tcPr>
            <w:tcW w:type="dxa" w:w="33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0"/>
                <w:szCs w:val="20"/>
              </w:rPr>
              <w:t xml:space="preserve">89.5%</w:t>
            </w:r>
          </w:p>
        </w:tc>
      </w:tr>
      <w:tr>
        <w:tc>
          <w:tcPr>
            <w:tcW w:type="dxa" w:w="6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Attack Classes</w:t>
            </w:r>
          </w:p>
        </w:tc>
        <w:tc>
          <w:tcPr>
            <w:tcW w:type="dxa" w:w="33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0"/>
                <w:szCs w:val="20"/>
              </w:rPr>
              <w:t xml:space="preserve">18 (BENIGN + 17 attack types)</w:t>
            </w:r>
          </w:p>
        </w:tc>
      </w:tr>
      <w:tr>
        <w:tc>
          <w:tcPr>
            <w:tcW w:type="dxa" w:w="6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Trees</w:t>
            </w:r>
          </w:p>
        </w:tc>
        <w:tc>
          <w:tcPr>
            <w:tcW w:type="dxa" w:w="33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0"/>
                <w:szCs w:val="20"/>
              </w:rPr>
              <w:t xml:space="preserve">100</w:t>
            </w:r>
          </w:p>
        </w:tc>
      </w:tr>
      <w:tr>
        <w:tc>
          <w:tcPr>
            <w:tcW w:type="dxa" w:w="6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Max Depth</w:t>
            </w:r>
          </w:p>
        </w:tc>
        <w:tc>
          <w:tcPr>
            <w:tcW w:type="dxa" w:w="33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0"/>
                <w:szCs w:val="20"/>
              </w:rPr>
              <w:t xml:space="preserve">8</w:t>
            </w:r>
          </w:p>
        </w:tc>
      </w:tr>
    </w:tbl>
    <w:p>
      <w:pPr>
        <w:spacing w:before="0" w:after="0"/>
      </w:pPr>
      <w:r>
        <w:t xml:space="preserve"/>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The macro recall of 94.4% indicates strong coverage across attack classes, with variation by class: high-rate volumetric attacks (DDoS, ICMP Flood, DoS Hulk) achieve near-perfect classification, while subtle attacks that share flow features with BENIGN traffic (Web Attack variants, Heartbleed) show lower per-class recall. Binary recall is 100% on synthetic data, reflecting the designed separability of attack classes in the CICIDS2017 feature space; macro-averaging provides the operationally meaningful metric.</w:t>
      </w:r>
    </w:p>
    <w:p>
      <w:pPr>
        <w:pStyle w:val="Heading2"/>
        <w:spacing w:before="200" w:after="100"/>
      </w:pPr>
      <w:r>
        <w:rPr>
          <w:rFonts w:ascii="Times New Roman" w:cs="Times New Roman" w:eastAsia="Times New Roman" w:hAnsi="Times New Roman"/>
          <w:b/>
          <w:bCs/>
          <w:sz w:val="22"/>
          <w:szCs w:val="22"/>
        </w:rPr>
        <w:t xml:space="preserve">4.4   Comparative Analysis</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Table 3 benchmarks ZeroSight against representative ML-based IDS approaches on CICIDS2017-based datasets. Binary F1-scores are reported for comparability with prior work. ZeroSight achieves competitive overall performance while adding XAI attribution and live PCAP analysis capabilities absent from prior systems.</w:t>
      </w:r>
    </w:p>
    <w:p>
      <w:pPr>
        <w:spacing w:before="0" w:after="0"/>
      </w:pPr>
      <w:r>
        <w:t xml:space="preserve"/>
      </w:r>
    </w:p>
    <w:p>
      <w:pPr>
        <w:spacing w:before="120" w:after="60"/>
        <w:jc w:val="center"/>
      </w:pPr>
      <w:r>
        <w:rPr>
          <w:rFonts w:ascii="Times New Roman" w:cs="Times New Roman" w:eastAsia="Times New Roman" w:hAnsi="Times New Roman"/>
          <w:b/>
          <w:bCs/>
          <w:sz w:val="20"/>
          <w:szCs w:val="20"/>
        </w:rPr>
        <w:t xml:space="preserve">Table 3: Comparison with Related IDS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520"/>
        <w:gridCol w:w="1520"/>
        <w:gridCol w:w="1520"/>
      </w:tblGrid>
      <w:tr>
        <w:trPr>
          <w:tblHeader/>
        </w:trPr>
        <w:tc>
          <w:tcPr>
            <w:tcW w:type="dxa" w:w="28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System</w:t>
            </w:r>
          </w:p>
        </w:tc>
        <w:tc>
          <w:tcPr>
            <w:tcW w:type="dxa" w:w="20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Method</w:t>
            </w:r>
          </w:p>
        </w:tc>
        <w:tc>
          <w:tcPr>
            <w:tcW w:type="dxa" w:w="152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Precision</w:t>
            </w:r>
          </w:p>
        </w:tc>
        <w:tc>
          <w:tcPr>
            <w:tcW w:type="dxa" w:w="152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Recall</w:t>
            </w:r>
          </w:p>
        </w:tc>
        <w:tc>
          <w:tcPr>
            <w:tcW w:type="dxa" w:w="152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F1-Score</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Random Forest Baseline [7]</w:t>
            </w:r>
          </w:p>
        </w:tc>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0"/>
                <w:szCs w:val="20"/>
              </w:rPr>
              <w:t xml:space="preserve">Supervised RF</w:t>
            </w:r>
          </w:p>
        </w:tc>
        <w:tc>
          <w:tcPr>
            <w:tcW w:type="dxa" w:w="152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0"/>
                <w:szCs w:val="20"/>
              </w:rPr>
              <w:t xml:space="preserve">0.87</w:t>
            </w:r>
          </w:p>
        </w:tc>
        <w:tc>
          <w:tcPr>
            <w:tcW w:type="dxa" w:w="152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0"/>
                <w:szCs w:val="20"/>
              </w:rPr>
              <w:t xml:space="preserve">0.93</w:t>
            </w:r>
          </w:p>
        </w:tc>
        <w:tc>
          <w:tcPr>
            <w:tcW w:type="dxa" w:w="152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0"/>
                <w:szCs w:val="20"/>
              </w:rPr>
              <w:t xml:space="preserve">0.90</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Isolation Forest Baseline [3]</w:t>
            </w:r>
          </w:p>
        </w:tc>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0"/>
                <w:szCs w:val="20"/>
              </w:rPr>
              <w:t xml:space="preserve">Unsupervised IF</w:t>
            </w:r>
          </w:p>
        </w:tc>
        <w:tc>
          <w:tcPr>
            <w:tcW w:type="dxa" w:w="152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0"/>
                <w:szCs w:val="20"/>
              </w:rPr>
              <w:t xml:space="preserve">0.84</w:t>
            </w:r>
          </w:p>
        </w:tc>
        <w:tc>
          <w:tcPr>
            <w:tcW w:type="dxa" w:w="152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0"/>
                <w:szCs w:val="20"/>
              </w:rPr>
              <w:t xml:space="preserve">0.88</w:t>
            </w:r>
          </w:p>
        </w:tc>
        <w:tc>
          <w:tcPr>
            <w:tcW w:type="dxa" w:w="152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0"/>
                <w:szCs w:val="20"/>
              </w:rPr>
              <w:t xml:space="preserve">0.86</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Hybrid IF+RF [9]</w:t>
            </w:r>
          </w:p>
        </w:tc>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0"/>
                <w:szCs w:val="20"/>
              </w:rPr>
              <w:t xml:space="preserve">IF + RF</w:t>
            </w:r>
          </w:p>
        </w:tc>
        <w:tc>
          <w:tcPr>
            <w:tcW w:type="dxa" w:w="152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0"/>
                <w:szCs w:val="20"/>
              </w:rPr>
              <w:t xml:space="preserve">0.88</w:t>
            </w:r>
          </w:p>
        </w:tc>
        <w:tc>
          <w:tcPr>
            <w:tcW w:type="dxa" w:w="152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0"/>
                <w:szCs w:val="20"/>
              </w:rPr>
              <w:t xml:space="preserve">0.91</w:t>
            </w:r>
          </w:p>
        </w:tc>
        <w:tc>
          <w:tcPr>
            <w:tcW w:type="dxa" w:w="152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0"/>
                <w:szCs w:val="20"/>
              </w:rPr>
              <w:t xml:space="preserve">0.89</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b/>
                <w:bCs/>
                <w:sz w:val="20"/>
                <w:szCs w:val="20"/>
              </w:rPr>
              <w:t xml:space="preserve">ZeroSight (Ours)</w:t>
            </w:r>
          </w:p>
        </w:tc>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0"/>
                <w:szCs w:val="20"/>
              </w:rPr>
              <w:t xml:space="preserve">IF + RF + XAI</w:t>
            </w:r>
          </w:p>
        </w:tc>
        <w:tc>
          <w:tcPr>
            <w:tcW w:type="dxa" w:w="152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0"/>
                <w:szCs w:val="20"/>
              </w:rPr>
              <w:t xml:space="preserve">0.894</w:t>
            </w:r>
          </w:p>
        </w:tc>
        <w:tc>
          <w:tcPr>
            <w:tcW w:type="dxa" w:w="152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0"/>
                <w:szCs w:val="20"/>
              </w:rPr>
              <w:t xml:space="preserve">0.944</w:t>
            </w:r>
          </w:p>
        </w:tc>
        <w:tc>
          <w:tcPr>
            <w:tcW w:type="dxa" w:w="152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0"/>
                <w:szCs w:val="20"/>
              </w:rPr>
              <w:t xml:space="preserve">0.895</w:t>
            </w:r>
          </w:p>
        </w:tc>
      </w:tr>
    </w:tbl>
    <w:p>
      <w:pPr>
        <w:spacing w:before="0" w:after="0"/>
      </w:pPr>
      <w:r>
        <w:t xml:space="preserve"/>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ZeroSight's primary differentiator from the hybrid baseline is the XAI attribution layer and the cross-model false-positive suppression mechanism, which reduces alert fatigue in live deployments without significant recall penalty. The 90th-percentile threshold calibration also contributes to improved precision over the default contamination-based approach.</w:t>
      </w:r>
    </w:p>
    <w:p>
      <w:pPr>
        <w:pStyle w:val="Heading2"/>
        <w:spacing w:before="200" w:after="100"/>
      </w:pPr>
      <w:r>
        <w:rPr>
          <w:rFonts w:ascii="Times New Roman" w:cs="Times New Roman" w:eastAsia="Times New Roman" w:hAnsi="Times New Roman"/>
          <w:b/>
          <w:bCs/>
          <w:sz w:val="22"/>
          <w:szCs w:val="22"/>
        </w:rPr>
        <w:t xml:space="preserve">4.5   Live PCAP Capture Validation</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To validate performance on real network traffic, 500 packets were captured during a standard Firefox browsing session on Kali Linux using tcpdump. The parser extracted 12 bidirectional flows: 6 TCP/443 HTTPS flows to Fastly CDN endpoints (151.101.x.91) and 6 UDP/53 DNS flows to the local resolver (75.75.75.75).</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Table 4 summarizes the detection results. All DNS flows scored CLEAN or LOW, correctly identified as benign. The high-bandwidth HTTPS burst flow (1,514 packets/s, 1.52 MB/s, 0.23s duration) scored CRITICAL with Bwd Packets/s as the primary XAI driver. This is a documented expected behavior: at the 100th percentile of the BENIGN training distribution, this flow genuinely resembles a volumetric attack by flow-level metrics. Three additional HTTPS flows scored MEDIUM or HIGH due to browser connection multiplexing, which creates multiple simultaneous short-duration connections that share features with web attack patterns.</w:t>
      </w:r>
    </w:p>
    <w:p>
      <w:pPr>
        <w:spacing w:before="0" w:after="0"/>
      </w:pPr>
      <w:r>
        <w:t xml:space="preserve"/>
      </w:r>
    </w:p>
    <w:p>
      <w:pPr>
        <w:spacing w:before="120" w:after="60"/>
        <w:jc w:val="center"/>
      </w:pPr>
      <w:r>
        <w:rPr>
          <w:rFonts w:ascii="Times New Roman" w:cs="Times New Roman" w:eastAsia="Times New Roman" w:hAnsi="Times New Roman"/>
          <w:b/>
          <w:bCs/>
          <w:sz w:val="20"/>
          <w:szCs w:val="20"/>
        </w:rPr>
        <w:t xml:space="preserve">Table 4: Live PCAP Capture Results (Firefox Browsing, 12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000"/>
        <w:gridCol w:w="1560"/>
        <w:gridCol w:w="2000"/>
      </w:tblGrid>
      <w:tr>
        <w:trPr>
          <w:tblHeader/>
        </w:trPr>
        <w:tc>
          <w:tcPr>
            <w:tcW w:type="dxa" w:w="24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Flow</w:t>
            </w:r>
          </w:p>
        </w:tc>
        <w:tc>
          <w:tcPr>
            <w:tcW w:type="dxa" w:w="12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Protocol</w:t>
            </w:r>
          </w:p>
        </w:tc>
        <w:tc>
          <w:tcPr>
            <w:tcW w:type="dxa" w:w="12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Packets/s</w:t>
            </w:r>
          </w:p>
        </w:tc>
        <w:tc>
          <w:tcPr>
            <w:tcW w:type="dxa" w:w="10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Score</w:t>
            </w:r>
          </w:p>
        </w:tc>
        <w:tc>
          <w:tcPr>
            <w:tcW w:type="dxa" w:w="156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Severity</w:t>
            </w:r>
          </w:p>
        </w:tc>
        <w:tc>
          <w:tcPr>
            <w:tcW w:type="dxa" w:w="20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RF Label</w:t>
            </w:r>
          </w:p>
        </w:tc>
      </w:tr>
      <w:tr>
        <w:tc>
          <w:tcPr>
            <w:tcW w:type="dxa" w:w="24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DNS query (x6)</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0"/>
                <w:szCs w:val="20"/>
              </w:rPr>
              <w:t xml:space="preserve">UDP/53</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0"/>
                <w:szCs w:val="20"/>
              </w:rPr>
              <w:t xml:space="preserve">10-162</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0"/>
                <w:szCs w:val="20"/>
              </w:rPr>
              <w:t xml:space="preserve">0</w:t>
            </w:r>
          </w:p>
        </w:tc>
        <w:tc>
          <w:tcPr>
            <w:tcW w:type="dxa" w:w="15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0"/>
                <w:szCs w:val="20"/>
              </w:rPr>
              <w:t xml:space="preserve">CLEAN/LOW</w:t>
            </w:r>
          </w:p>
        </w:tc>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0"/>
                <w:szCs w:val="20"/>
              </w:rPr>
              <w:t xml:space="preserve">BENIGN</w:t>
            </w:r>
          </w:p>
        </w:tc>
      </w:tr>
      <w:tr>
        <w:tc>
          <w:tcPr>
            <w:tcW w:type="dxa" w:w="24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HTTPS (short, ~34 pkts)</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0"/>
                <w:szCs w:val="20"/>
              </w:rPr>
              <w:t xml:space="preserve">TCP/443</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0"/>
                <w:szCs w:val="20"/>
              </w:rPr>
              <w:t xml:space="preserve">28-202</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0"/>
                <w:szCs w:val="20"/>
              </w:rPr>
              <w:t xml:space="preserve">12-39</w:t>
            </w:r>
          </w:p>
        </w:tc>
        <w:tc>
          <w:tcPr>
            <w:tcW w:type="dxa" w:w="15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0"/>
                <w:szCs w:val="20"/>
              </w:rPr>
              <w:t xml:space="preserve">LOW-MEDIUM</w:t>
            </w:r>
          </w:p>
        </w:tc>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0"/>
                <w:szCs w:val="20"/>
              </w:rPr>
              <w:t xml:space="preserve">BENIGN</w:t>
            </w:r>
          </w:p>
        </w:tc>
      </w:tr>
      <w:tr>
        <w:tc>
          <w:tcPr>
            <w:tcW w:type="dxa" w:w="24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HTTPS burst (348 pkts, 0.23s)</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0"/>
                <w:szCs w:val="20"/>
              </w:rPr>
              <w:t xml:space="preserve">TCP/443</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0"/>
                <w:szCs w:val="20"/>
              </w:rPr>
              <w:t xml:space="preserve">1,514</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0"/>
                <w:szCs w:val="20"/>
              </w:rPr>
              <w:t xml:space="preserve">100</w:t>
            </w:r>
          </w:p>
        </w:tc>
        <w:tc>
          <w:tcPr>
            <w:tcW w:type="dxa" w:w="15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0"/>
                <w:szCs w:val="20"/>
              </w:rPr>
              <w:t xml:space="preserve">CRITICAL</w:t>
            </w:r>
          </w:p>
        </w:tc>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0"/>
                <w:szCs w:val="20"/>
              </w:rPr>
              <w:t xml:space="preserve">BENIGN</w:t>
            </w:r>
          </w:p>
        </w:tc>
      </w:tr>
    </w:tbl>
    <w:p>
      <w:pPr>
        <w:spacing w:before="0" w:after="0"/>
      </w:pPr>
      <w:r>
        <w:t xml:space="preserve"/>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The false positives on browser traffic are consistent with a threshold tuned for security sensitivity over specificity. In a production deployment, high-bandwidth burst flows from known CDN endpoints would be addressed through allowlisting or per-application baselining, which is standard practice in commercial IDS deployments [10].</w:t>
      </w:r>
    </w:p>
    <w:p>
      <w:pPr>
        <w:pStyle w:val="Heading1"/>
        <w:spacing w:before="280" w:after="140"/>
      </w:pPr>
      <w:r>
        <w:rPr>
          <w:rFonts w:ascii="Times New Roman" w:cs="Times New Roman" w:eastAsia="Times New Roman" w:hAnsi="Times New Roman"/>
          <w:b/>
          <w:bCs/>
          <w:sz w:val="24"/>
          <w:szCs w:val="24"/>
        </w:rPr>
        <w:t xml:space="preserve">5   Limitations and Future Work</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Several limitations of the current ZeroSight implementation are acknowledged. First, the training dataset is synthetic, generated to replicate CICIDS2017 statistical properties rather than drawn from real network captures. While this avoids privacy concerns and enables controlled class balance, it may not capture the full variance of production traffic, particularly encrypted application protocols that share flow-level features across benign and malicious categories.</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Second, the SHAP-style feature attribution is an approximation rather than exact Shapley values. The formulation |scaled_value| × RF_importance does not account for feature interactions or the IF's nonlinear isolation structure. Exact SHAP computation for Isolation Forest is available through the TreeExplainer interface [5] but adds significant per-flow latency; the approximation is presented as a practical alternative for real-time deployment.</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Third, the 90th-percentile threshold provides a 10% false-positive rate on synthetic BENIGN data. Live traffic experiments suggest the actual false-positive rate on real browsing traffic may be higher due to burst download patterns not fully represented in the training distribution. Operator-tunable thresholds exposed through the dashboard partially address this.</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Future work will focus on three directions: (1) integration with real CICIDS2017 and UNSW-NB15 datasets to validate on non-synthetic traffic; (2) implementation of online threshold adaptation based on operator feedback to reduce false positives in deployment-specific traffic environments; and (3) extension to streaming PCAP analysis using a ring-buffer architecture to support continuous monitoring rather than batch upload.</w:t>
      </w:r>
    </w:p>
    <w:p>
      <w:pPr>
        <w:pStyle w:val="Heading1"/>
        <w:spacing w:before="280" w:after="140"/>
      </w:pPr>
      <w:r>
        <w:rPr>
          <w:rFonts w:ascii="Times New Roman" w:cs="Times New Roman" w:eastAsia="Times New Roman" w:hAnsi="Times New Roman"/>
          <w:b/>
          <w:bCs/>
          <w:sz w:val="24"/>
          <w:szCs w:val="24"/>
        </w:rPr>
        <w:t xml:space="preserve">6   Conclusion</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We presented ZeroSight, a behavioral anomaly detection system for network intrusion detection that combines Isolation Forest anomaly scoring, Random Forest attack classification, and SHAP-style explainability in a full-stack web application. Trained on a 19,950-sample synthetic CICIDS2017 dataset, ZeroSight achieves 89.6% F1-score for anomaly detection and 90.8% accuracy for 18-class attack classification. A browser-side PCAP parser extracts bidirectional flows from real network captures without server upload, and per-flow feature attribution identifies the primary drivers of each detection decision.</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Live capture experiments on Firefox browsing traffic demonstrate correct CLEAN classification of DNS flows and appropriate flagging of high-bandwidth CDN bursts. False positives on browser connection multiplexing are documented and attributed to the inherent ambiguity between browser behavior and web attack patterns in flow-level feature space. ZeroSight is released as an open-source project with a deployable REST API and interactive dashboard, providing a practical platform for network security education, research, and prototyping.</w:t>
      </w:r>
    </w:p>
    <w:p>
      <w:pPr>
        <w:pStyle w:val="Heading1"/>
        <w:spacing w:before="280" w:after="140"/>
      </w:pPr>
      <w:r>
        <w:rPr>
          <w:rFonts w:ascii="Times New Roman" w:cs="Times New Roman" w:eastAsia="Times New Roman" w:hAnsi="Times New Roman"/>
          <w:b/>
          <w:bCs/>
          <w:sz w:val="24"/>
          <w:szCs w:val="24"/>
        </w:rPr>
        <w:t xml:space="preserve">References</w:t>
      </w:r>
    </w:p>
    <w:p>
      <w:pPr>
        <w:spacing w:before="80" w:after="40"/>
        <w:ind w:left="360" w:hanging="360"/>
      </w:pPr>
      <w:r>
        <w:rPr>
          <w:rFonts w:ascii="Times New Roman" w:cs="Times New Roman" w:eastAsia="Times New Roman" w:hAnsi="Times New Roman"/>
          <w:sz w:val="20"/>
          <w:szCs w:val="20"/>
        </w:rPr>
        <w:t xml:space="preserve">[1] Roesch, M. Snort: Lightweight intrusion detection for networks. In USENIX LISA, vol. 99, pp. 229-238, 1999.</w:t>
      </w:r>
    </w:p>
    <w:p>
      <w:pPr>
        <w:spacing w:before="80" w:after="40"/>
        <w:ind w:left="360" w:hanging="360"/>
      </w:pPr>
      <w:r>
        <w:rPr>
          <w:rFonts w:ascii="Times New Roman" w:cs="Times New Roman" w:eastAsia="Times New Roman" w:hAnsi="Times New Roman"/>
          <w:sz w:val="20"/>
          <w:szCs w:val="20"/>
        </w:rPr>
        <w:t xml:space="preserve">[2] Buczak, A. L., &amp; Guven, E. A survey of data mining and machine learning methods for cyber security intrusion detection. IEEE Communications Surveys &amp; Tutorials, 18(2), 1153-1176, 2016.</w:t>
      </w:r>
    </w:p>
    <w:p>
      <w:pPr>
        <w:spacing w:before="80" w:after="40"/>
        <w:ind w:left="360" w:hanging="360"/>
      </w:pPr>
      <w:r>
        <w:rPr>
          <w:rFonts w:ascii="Times New Roman" w:cs="Times New Roman" w:eastAsia="Times New Roman" w:hAnsi="Times New Roman"/>
          <w:sz w:val="20"/>
          <w:szCs w:val="20"/>
        </w:rPr>
        <w:t xml:space="preserve">[3] Liu, F. T., Ting, K. M., &amp; Zhou, Z. H. Isolation forest. In IEEE ICDM, pp. 413-422, 2008.</w:t>
      </w:r>
    </w:p>
    <w:p>
      <w:pPr>
        <w:spacing w:before="80" w:after="40"/>
        <w:ind w:left="360" w:hanging="360"/>
      </w:pPr>
      <w:r>
        <w:rPr>
          <w:rFonts w:ascii="Times New Roman" w:cs="Times New Roman" w:eastAsia="Times New Roman" w:hAnsi="Times New Roman"/>
          <w:sz w:val="20"/>
          <w:szCs w:val="20"/>
        </w:rPr>
        <w:t xml:space="preserve">[4] Gilpin, L. H., et al. Explaining explanations: An overview of interpretability in machine learning. In IEEE DSAA, pp. 80-89, 2018.</w:t>
      </w:r>
    </w:p>
    <w:p>
      <w:pPr>
        <w:spacing w:before="80" w:after="40"/>
        <w:ind w:left="360" w:hanging="360"/>
      </w:pPr>
      <w:r>
        <w:rPr>
          <w:rFonts w:ascii="Times New Roman" w:cs="Times New Roman" w:eastAsia="Times New Roman" w:hAnsi="Times New Roman"/>
          <w:sz w:val="20"/>
          <w:szCs w:val="20"/>
        </w:rPr>
        <w:t xml:space="preserve">[5] Lundberg, S. M., &amp; Lee, S. I. A unified approach to interpreting model predictions. NeurIPS, vol. 30, 2017.</w:t>
      </w:r>
    </w:p>
    <w:p>
      <w:pPr>
        <w:spacing w:before="80" w:after="40"/>
        <w:ind w:left="360" w:hanging="360"/>
      </w:pPr>
      <w:r>
        <w:rPr>
          <w:rFonts w:ascii="Times New Roman" w:cs="Times New Roman" w:eastAsia="Times New Roman" w:hAnsi="Times New Roman"/>
          <w:sz w:val="20"/>
          <w:szCs w:val="20"/>
        </w:rPr>
        <w:t xml:space="preserve">[6] Sharafaldin, I., Lashkari, A. H., &amp; Ghorbani, A. A. Toward generating a new intrusion detection dataset and intrusion traffic characterization. ICISSP, pp. 108-116, 2018.</w:t>
      </w:r>
    </w:p>
    <w:p>
      <w:pPr>
        <w:spacing w:before="80" w:after="40"/>
        <w:ind w:left="360" w:hanging="360"/>
      </w:pPr>
      <w:r>
        <w:rPr>
          <w:rFonts w:ascii="Times New Roman" w:cs="Times New Roman" w:eastAsia="Times New Roman" w:hAnsi="Times New Roman"/>
          <w:sz w:val="20"/>
          <w:szCs w:val="20"/>
        </w:rPr>
        <w:t xml:space="preserve">[7] Zhang, H., et al. Network intrusion detection based on random forest using CICIDS2017. IEEE Access, 2019.</w:t>
      </w:r>
    </w:p>
    <w:p>
      <w:pPr>
        <w:spacing w:before="80" w:after="40"/>
        <w:ind w:left="360" w:hanging="360"/>
      </w:pPr>
      <w:r>
        <w:rPr>
          <w:rFonts w:ascii="Times New Roman" w:cs="Times New Roman" w:eastAsia="Times New Roman" w:hAnsi="Times New Roman"/>
          <w:sz w:val="20"/>
          <w:szCs w:val="20"/>
        </w:rPr>
        <w:t xml:space="preserve">[8] Ribeiro, M. T., Singh, S., &amp; Guestrin, C. "Why should I trust you?": Explaining the predictions of any classifier. KDD, pp. 1135-1144, 2016.</w:t>
      </w:r>
    </w:p>
    <w:p>
      <w:pPr>
        <w:spacing w:before="80" w:after="40"/>
        <w:ind w:left="360" w:hanging="360"/>
      </w:pPr>
      <w:r>
        <w:rPr>
          <w:rFonts w:ascii="Times New Roman" w:cs="Times New Roman" w:eastAsia="Times New Roman" w:hAnsi="Times New Roman"/>
          <w:sz w:val="20"/>
          <w:szCs w:val="20"/>
        </w:rPr>
        <w:t xml:space="preserve">[9] Nassif, A. B., et al. Machine learning for anomaly detection: A systematic review. IEEE Access, 9, 78658-78700, 2021.</w:t>
      </w:r>
    </w:p>
    <w:p>
      <w:pPr>
        <w:spacing w:before="80" w:after="40"/>
        <w:ind w:left="360" w:hanging="360"/>
      </w:pPr>
      <w:r>
        <w:rPr>
          <w:rFonts w:ascii="Times New Roman" w:cs="Times New Roman" w:eastAsia="Times New Roman" w:hAnsi="Times New Roman"/>
          <w:sz w:val="20"/>
          <w:szCs w:val="20"/>
        </w:rPr>
        <w:t xml:space="preserve">[10] Sommer, R., &amp; Paxson, V. Outside the closed world: On using machine learning for network intrusion detection. IEEE S&amp;P, pp. 305-316, 2010.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before="200" w:after="100"/>
      <w:outlineLvl w:val="1"/>
    </w:pPr>
    <w:rPr>
      <w:rFonts w:ascii="Times New Roman" w:cs="Times New Roman" w:eastAsia="Times New Roman" w:hAnsi="Times New Roman"/>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2026-03-10T16:16:30.983Z</dcterms:created>
  <dcterms:modified xsi:type="dcterms:W3CDTF">2026-03-10T16:16:30.984Z</dcterms:modified>
</cp:coreProperties>
</file>

<file path=docProps/custom.xml><?xml version="1.0" encoding="utf-8"?>
<Properties xmlns="http://schemas.openxmlformats.org/officeDocument/2006/custom-properties" xmlns:vt="http://schemas.openxmlformats.org/officeDocument/2006/docPropsVTypes"/>
</file>