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F1E2" w14:textId="77777777" w:rsidR="00BB6B8A" w:rsidRDefault="009C71CC">
      <w:pPr>
        <w:spacing w:after="40"/>
        <w:jc w:val="center"/>
      </w:pPr>
      <w:r>
        <w:rPr>
          <w:rFonts w:ascii="Calibri" w:eastAsia="Calibri" w:hAnsi="Calibri" w:cs="Calibri"/>
          <w:b/>
          <w:bCs/>
          <w:sz w:val="28"/>
          <w:szCs w:val="28"/>
        </w:rPr>
        <w:t>Backtesting One-Day-Ahead 95% Value at Risk for Nifty 50</w:t>
      </w:r>
    </w:p>
    <w:p w14:paraId="33F0F1E4" w14:textId="77777777" w:rsidR="00BB6B8A" w:rsidRDefault="009C71CC">
      <w:pPr>
        <w:keepNext/>
        <w:spacing w:before="100" w:after="40"/>
      </w:pPr>
      <w:r>
        <w:rPr>
          <w:rFonts w:ascii="Calibri" w:eastAsia="Calibri" w:hAnsi="Calibri" w:cs="Calibri"/>
          <w:b/>
          <w:bCs/>
          <w:color w:val="1F3864"/>
          <w:sz w:val="23"/>
          <w:szCs w:val="23"/>
        </w:rPr>
        <w:t>Objective</w:t>
      </w:r>
    </w:p>
    <w:p w14:paraId="33F0F1E5" w14:textId="77777777" w:rsidR="00BB6B8A" w:rsidRDefault="009C71CC">
      <w:pPr>
        <w:spacing w:after="60" w:line="252" w:lineRule="auto"/>
        <w:jc w:val="both"/>
      </w:pPr>
      <w:r>
        <w:rPr>
          <w:rFonts w:ascii="Calibri" w:eastAsia="Calibri" w:hAnsi="Calibri" w:cs="Calibri"/>
          <w:sz w:val="22"/>
          <w:szCs w:val="22"/>
        </w:rPr>
        <w:t>The main objective is that the code compares two one-day-ahead forecast methods for the Nifty 50 index: a historical quantile method and a Gaussian model with rolling parameters of mean and standard deviation in a rolling window of 250 trading days. Both are evaluated using exceedance counts and the Kupiec unconditional coverage test. Used a 70–30 train/test split.</w:t>
      </w:r>
    </w:p>
    <w:p w14:paraId="33F0F1E6" w14:textId="77777777" w:rsidR="00BB6B8A" w:rsidRDefault="009C71CC">
      <w:pPr>
        <w:keepNext/>
        <w:spacing w:before="100" w:after="40"/>
      </w:pPr>
      <w:r>
        <w:rPr>
          <w:rFonts w:ascii="Calibri" w:eastAsia="Calibri" w:hAnsi="Calibri" w:cs="Calibri"/>
          <w:b/>
          <w:bCs/>
          <w:color w:val="1F3864"/>
          <w:sz w:val="23"/>
          <w:szCs w:val="23"/>
        </w:rPr>
        <w:t>Data</w:t>
      </w:r>
    </w:p>
    <w:p w14:paraId="33F0F1E7" w14:textId="77777777" w:rsidR="00BB6B8A" w:rsidRDefault="009C71CC">
      <w:pPr>
        <w:spacing w:after="60" w:line="252" w:lineRule="auto"/>
        <w:jc w:val="both"/>
      </w:pPr>
      <w:r>
        <w:rPr>
          <w:rFonts w:ascii="Calibri" w:eastAsia="Calibri" w:hAnsi="Calibri" w:cs="Calibri"/>
          <w:sz w:val="22"/>
          <w:szCs w:val="22"/>
        </w:rPr>
        <w:t xml:space="preserve">Daily closing levels </w:t>
      </w:r>
      <w:r>
        <w:rPr>
          <w:rFonts w:ascii="Calibri" w:eastAsia="Calibri" w:hAnsi="Calibri" w:cs="Calibri"/>
          <w:i/>
          <w:iCs/>
          <w:sz w:val="22"/>
          <w:szCs w:val="22"/>
        </w:rPr>
        <w:t>P</w:t>
      </w:r>
      <w:r>
        <w:rPr>
          <w:rFonts w:ascii="Calibri" w:eastAsia="Calibri" w:hAnsi="Calibri" w:cs="Calibri"/>
          <w:sz w:val="22"/>
          <w:szCs w:val="22"/>
          <w:vertAlign w:val="subscript"/>
        </w:rPr>
        <w:t>t</w:t>
      </w:r>
      <w:r>
        <w:rPr>
          <w:rFonts w:ascii="Calibri" w:eastAsia="Calibri" w:hAnsi="Calibri" w:cs="Calibri"/>
          <w:sz w:val="22"/>
          <w:szCs w:val="22"/>
        </w:rPr>
        <w:t xml:space="preserve"> of the Nifty 50 index (dividends excluded completely) were retrieved with yfinance (</w:t>
      </w:r>
      <w:r>
        <w:rPr>
          <w:rFonts w:ascii="Consolas" w:eastAsia="Consolas" w:hAnsi="Consolas" w:cs="Consolas"/>
        </w:rPr>
        <w:t>yf.download("^NSEI", start="2015-01-01", end="2025-12-31", auto_adjust=False)</w:t>
      </w:r>
      <w:r>
        <w:rPr>
          <w:rFonts w:ascii="Calibri" w:eastAsia="Calibri" w:hAnsi="Calibri" w:cs="Calibri"/>
          <w:sz w:val="22"/>
          <w:szCs w:val="22"/>
        </w:rPr>
        <w:t xml:space="preserve">, Close column; the end date is exclusive), giving prices from 2 January 2015 to 30 December 2025, which are frozen in the file </w:t>
      </w:r>
      <w:r>
        <w:rPr>
          <w:rFonts w:ascii="Consolas" w:eastAsia="Consolas" w:hAnsi="Consolas" w:cs="Consolas"/>
        </w:rPr>
        <w:t>nifty50_close_snapshot.csv</w:t>
      </w:r>
      <w:r>
        <w:rPr>
          <w:rFonts w:ascii="Calibri" w:eastAsia="Calibri" w:hAnsi="Calibri" w:cs="Calibri"/>
          <w:sz w:val="22"/>
          <w:szCs w:val="22"/>
        </w:rPr>
        <w:t xml:space="preserve"> (see Reproducibility). Then I calculated log returns, </w:t>
      </w:r>
      <w:r>
        <w:rPr>
          <w:rFonts w:ascii="Calibri" w:eastAsia="Calibri" w:hAnsi="Calibri" w:cs="Calibri"/>
          <w:i/>
          <w:iCs/>
          <w:sz w:val="22"/>
          <w:szCs w:val="22"/>
        </w:rPr>
        <w:t>r</w:t>
      </w:r>
      <w:r>
        <w:rPr>
          <w:rFonts w:ascii="Calibri" w:eastAsia="Calibri" w:hAnsi="Calibri" w:cs="Calibri"/>
          <w:sz w:val="22"/>
          <w:szCs w:val="22"/>
          <w:vertAlign w:val="subscript"/>
        </w:rPr>
        <w:t>t</w:t>
      </w:r>
      <w:r>
        <w:rPr>
          <w:rFonts w:ascii="Calibri" w:eastAsia="Calibri" w:hAnsi="Calibri" w:cs="Calibri"/>
          <w:sz w:val="22"/>
          <w:szCs w:val="22"/>
        </w:rPr>
        <w:t xml:space="preserve"> = ln(</w:t>
      </w:r>
      <w:r>
        <w:rPr>
          <w:rFonts w:ascii="Calibri" w:eastAsia="Calibri" w:hAnsi="Calibri" w:cs="Calibri"/>
          <w:i/>
          <w:iCs/>
          <w:sz w:val="22"/>
          <w:szCs w:val="22"/>
        </w:rPr>
        <w:t>P</w:t>
      </w:r>
      <w:r>
        <w:rPr>
          <w:rFonts w:ascii="Calibri" w:eastAsia="Calibri" w:hAnsi="Calibri" w:cs="Calibri"/>
          <w:sz w:val="22"/>
          <w:szCs w:val="22"/>
          <w:vertAlign w:val="subscript"/>
        </w:rPr>
        <w:t>t</w:t>
      </w:r>
      <w:r>
        <w:rPr>
          <w:rFonts w:ascii="Calibri" w:eastAsia="Calibri" w:hAnsi="Calibri" w:cs="Calibri"/>
          <w:sz w:val="22"/>
          <w:szCs w:val="22"/>
        </w:rPr>
        <w:t xml:space="preserve"> / </w:t>
      </w:r>
      <w:r>
        <w:rPr>
          <w:rFonts w:ascii="Calibri" w:eastAsia="Calibri" w:hAnsi="Calibri" w:cs="Calibri"/>
          <w:i/>
          <w:iCs/>
          <w:sz w:val="22"/>
          <w:szCs w:val="22"/>
        </w:rPr>
        <w:t>P</w:t>
      </w:r>
      <w:r>
        <w:rPr>
          <w:rFonts w:ascii="Calibri" w:eastAsia="Calibri" w:hAnsi="Calibri" w:cs="Calibri"/>
          <w:sz w:val="22"/>
          <w:szCs w:val="22"/>
          <w:vertAlign w:val="subscript"/>
        </w:rPr>
        <w:t>t−1</w:t>
      </w:r>
      <w:r>
        <w:rPr>
          <w:rFonts w:ascii="Calibri" w:eastAsia="Calibri" w:hAnsi="Calibri" w:cs="Calibri"/>
          <w:sz w:val="22"/>
          <w:szCs w:val="22"/>
        </w:rPr>
        <w:t xml:space="preserve">), and losses </w:t>
      </w:r>
      <w:r>
        <w:rPr>
          <w:rFonts w:ascii="Calibri" w:eastAsia="Calibri" w:hAnsi="Calibri" w:cs="Calibri"/>
          <w:i/>
          <w:iCs/>
          <w:sz w:val="22"/>
          <w:szCs w:val="22"/>
        </w:rPr>
        <w:t>L</w:t>
      </w:r>
      <w:r>
        <w:rPr>
          <w:rFonts w:ascii="Calibri" w:eastAsia="Calibri" w:hAnsi="Calibri" w:cs="Calibri"/>
          <w:sz w:val="22"/>
          <w:szCs w:val="22"/>
          <w:vertAlign w:val="subscript"/>
        </w:rPr>
        <w:t>t</w:t>
      </w:r>
      <w:r>
        <w:rPr>
          <w:rFonts w:ascii="Calibri" w:eastAsia="Calibri" w:hAnsi="Calibri" w:cs="Calibri"/>
          <w:sz w:val="22"/>
          <w:szCs w:val="22"/>
        </w:rPr>
        <w:t xml:space="preserve"> = −</w:t>
      </w:r>
      <w:r>
        <w:rPr>
          <w:rFonts w:ascii="Calibri" w:eastAsia="Calibri" w:hAnsi="Calibri" w:cs="Calibri"/>
          <w:i/>
          <w:iCs/>
          <w:sz w:val="22"/>
          <w:szCs w:val="22"/>
        </w:rPr>
        <w:t>r</w:t>
      </w:r>
      <w:r>
        <w:rPr>
          <w:rFonts w:ascii="Calibri" w:eastAsia="Calibri" w:hAnsi="Calibri" w:cs="Calibri"/>
          <w:sz w:val="22"/>
          <w:szCs w:val="22"/>
          <w:vertAlign w:val="subscript"/>
        </w:rPr>
        <w:t>t</w:t>
      </w:r>
      <w:r>
        <w:rPr>
          <w:rFonts w:ascii="Calibri" w:eastAsia="Calibri" w:hAnsi="Calibri" w:cs="Calibri"/>
          <w:sz w:val="22"/>
          <w:szCs w:val="22"/>
        </w:rPr>
        <w:t xml:space="preserve">, so positive values are declines. The first 70% of the </w:t>
      </w:r>
      <w:r>
        <w:rPr>
          <w:rFonts w:ascii="Calibri" w:eastAsia="Calibri" w:hAnsi="Calibri" w:cs="Calibri"/>
          <w:i/>
          <w:iCs/>
          <w:sz w:val="22"/>
          <w:szCs w:val="22"/>
        </w:rPr>
        <w:t>n</w:t>
      </w:r>
      <w:r>
        <w:rPr>
          <w:rFonts w:ascii="Calibri" w:eastAsia="Calibri" w:hAnsi="Calibri" w:cs="Calibri"/>
          <w:sz w:val="22"/>
          <w:szCs w:val="22"/>
        </w:rPr>
        <w:t xml:space="preserve"> = 2,706 observations form the training period. The test period runs from 16 September 2022 to 30 December 2025 (812 days).</w:t>
      </w:r>
    </w:p>
    <w:p w14:paraId="33F0F1E8" w14:textId="77777777" w:rsidR="00BB6B8A" w:rsidRDefault="009C71CC">
      <w:pPr>
        <w:spacing w:after="60" w:line="252" w:lineRule="auto"/>
        <w:jc w:val="both"/>
      </w:pPr>
      <w:r>
        <w:rPr>
          <w:rFonts w:ascii="Calibri" w:eastAsia="Calibri" w:hAnsi="Calibri" w:cs="Calibri"/>
          <w:i/>
          <w:iCs/>
          <w:sz w:val="22"/>
          <w:szCs w:val="22"/>
        </w:rPr>
        <w:t>VaR</w:t>
      </w:r>
      <w:r>
        <w:rPr>
          <w:rFonts w:ascii="Calibri" w:eastAsia="Calibri" w:hAnsi="Calibri" w:cs="Calibri"/>
          <w:sz w:val="22"/>
          <w:szCs w:val="22"/>
          <w:vertAlign w:val="subscript"/>
        </w:rPr>
        <w:t>t</w:t>
      </w:r>
      <w:r>
        <w:rPr>
          <w:rFonts w:ascii="Calibri" w:eastAsia="Calibri" w:hAnsi="Calibri" w:cs="Calibri"/>
          <w:sz w:val="22"/>
          <w:szCs w:val="22"/>
        </w:rPr>
        <w:t xml:space="preserve"> is a positive number on the loss scale, forecast for day </w:t>
      </w:r>
      <w:r>
        <w:rPr>
          <w:rFonts w:ascii="Calibri" w:eastAsia="Calibri" w:hAnsi="Calibri" w:cs="Calibri"/>
          <w:i/>
          <w:iCs/>
          <w:sz w:val="22"/>
          <w:szCs w:val="22"/>
        </w:rPr>
        <w:t>t</w:t>
      </w:r>
      <w:r>
        <w:rPr>
          <w:rFonts w:ascii="Calibri" w:eastAsia="Calibri" w:hAnsi="Calibri" w:cs="Calibri"/>
          <w:sz w:val="22"/>
          <w:szCs w:val="22"/>
        </w:rPr>
        <w:t xml:space="preserve"> using only the losses on days </w:t>
      </w:r>
      <w:r>
        <w:rPr>
          <w:rFonts w:ascii="Calibri" w:eastAsia="Calibri" w:hAnsi="Calibri" w:cs="Calibri"/>
          <w:i/>
          <w:iCs/>
          <w:sz w:val="22"/>
          <w:szCs w:val="22"/>
        </w:rPr>
        <w:t>t</w:t>
      </w:r>
      <w:r>
        <w:rPr>
          <w:rFonts w:ascii="Calibri" w:eastAsia="Calibri" w:hAnsi="Calibri" w:cs="Calibri"/>
          <w:sz w:val="22"/>
          <w:szCs w:val="22"/>
        </w:rPr>
        <w:t>−</w:t>
      </w:r>
      <w:r>
        <w:rPr>
          <w:rFonts w:ascii="Calibri" w:eastAsia="Calibri" w:hAnsi="Calibri" w:cs="Calibri"/>
          <w:sz w:val="22"/>
          <w:szCs w:val="22"/>
        </w:rPr>
        <w:t xml:space="preserve">250 to </w:t>
      </w:r>
      <w:r>
        <w:rPr>
          <w:rFonts w:ascii="Calibri" w:eastAsia="Calibri" w:hAnsi="Calibri" w:cs="Calibri"/>
          <w:i/>
          <w:iCs/>
          <w:sz w:val="22"/>
          <w:szCs w:val="22"/>
        </w:rPr>
        <w:t>t</w:t>
      </w:r>
      <w:r>
        <w:rPr>
          <w:rFonts w:ascii="Calibri" w:eastAsia="Calibri" w:hAnsi="Calibri" w:cs="Calibri"/>
          <w:sz w:val="22"/>
          <w:szCs w:val="22"/>
        </w:rPr>
        <w:t>−</w:t>
      </w:r>
      <w:r>
        <w:rPr>
          <w:rFonts w:ascii="Calibri" w:eastAsia="Calibri" w:hAnsi="Calibri" w:cs="Calibri"/>
          <w:sz w:val="22"/>
          <w:szCs w:val="22"/>
        </w:rPr>
        <w:t xml:space="preserve">1. An exceedance is </w:t>
      </w:r>
      <w:r>
        <w:rPr>
          <w:rFonts w:ascii="Calibri" w:eastAsia="Calibri" w:hAnsi="Calibri" w:cs="Calibri"/>
          <w:i/>
          <w:iCs/>
          <w:sz w:val="22"/>
          <w:szCs w:val="22"/>
        </w:rPr>
        <w:t>I</w:t>
      </w:r>
      <w:r>
        <w:rPr>
          <w:rFonts w:ascii="Calibri" w:eastAsia="Calibri" w:hAnsi="Calibri" w:cs="Calibri"/>
          <w:sz w:val="22"/>
          <w:szCs w:val="22"/>
          <w:vertAlign w:val="subscript"/>
        </w:rPr>
        <w:t>t</w:t>
      </w:r>
      <w:r>
        <w:rPr>
          <w:rFonts w:ascii="Calibri" w:eastAsia="Calibri" w:hAnsi="Calibri" w:cs="Calibri"/>
          <w:sz w:val="22"/>
          <w:szCs w:val="22"/>
        </w:rPr>
        <w:t xml:space="preserve"> = 1(</w:t>
      </w:r>
      <w:r>
        <w:rPr>
          <w:rFonts w:ascii="Calibri" w:eastAsia="Calibri" w:hAnsi="Calibri" w:cs="Calibri"/>
          <w:i/>
          <w:iCs/>
          <w:sz w:val="22"/>
          <w:szCs w:val="22"/>
        </w:rPr>
        <w:t>L</w:t>
      </w:r>
      <w:r>
        <w:rPr>
          <w:rFonts w:ascii="Calibri" w:eastAsia="Calibri" w:hAnsi="Calibri" w:cs="Calibri"/>
          <w:sz w:val="22"/>
          <w:szCs w:val="22"/>
          <w:vertAlign w:val="subscript"/>
        </w:rPr>
        <w:t>t</w:t>
      </w:r>
      <w:r>
        <w:rPr>
          <w:rFonts w:ascii="Calibri" w:eastAsia="Calibri" w:hAnsi="Calibri" w:cs="Calibri"/>
          <w:sz w:val="22"/>
          <w:szCs w:val="22"/>
        </w:rPr>
        <w:t xml:space="preserve"> &gt; </w:t>
      </w:r>
      <w:r>
        <w:rPr>
          <w:rFonts w:ascii="Calibri" w:eastAsia="Calibri" w:hAnsi="Calibri" w:cs="Calibri"/>
          <w:i/>
          <w:iCs/>
          <w:sz w:val="22"/>
          <w:szCs w:val="22"/>
        </w:rPr>
        <w:t>VaR</w:t>
      </w:r>
      <w:r>
        <w:rPr>
          <w:rFonts w:ascii="Calibri" w:eastAsia="Calibri" w:hAnsi="Calibri" w:cs="Calibri"/>
          <w:sz w:val="22"/>
          <w:szCs w:val="22"/>
          <w:vertAlign w:val="subscript"/>
        </w:rPr>
        <w:t>t</w:t>
      </w:r>
      <w:r>
        <w:rPr>
          <w:rFonts w:ascii="Calibri" w:eastAsia="Calibri" w:hAnsi="Calibri" w:cs="Calibri"/>
          <w:sz w:val="22"/>
          <w:szCs w:val="22"/>
        </w:rPr>
        <w:t xml:space="preserve">). No quantity used on a test day depends on day </w:t>
      </w:r>
      <w:r>
        <w:rPr>
          <w:rFonts w:ascii="Calibri" w:eastAsia="Calibri" w:hAnsi="Calibri" w:cs="Calibri"/>
          <w:i/>
          <w:iCs/>
          <w:sz w:val="22"/>
          <w:szCs w:val="22"/>
        </w:rPr>
        <w:t>t</w:t>
      </w:r>
      <w:r>
        <w:rPr>
          <w:rFonts w:ascii="Calibri" w:eastAsia="Calibri" w:hAnsi="Calibri" w:cs="Calibri"/>
          <w:sz w:val="22"/>
          <w:szCs w:val="22"/>
        </w:rPr>
        <w:t xml:space="preserve"> or any later day.</w:t>
      </w:r>
    </w:p>
    <w:p w14:paraId="33F0F1E9" w14:textId="77777777" w:rsidR="00BB6B8A" w:rsidRDefault="009C71CC">
      <w:pPr>
        <w:keepNext/>
        <w:spacing w:before="100" w:after="40"/>
      </w:pPr>
      <w:r>
        <w:rPr>
          <w:rFonts w:ascii="Calibri" w:eastAsia="Calibri" w:hAnsi="Calibri" w:cs="Calibri"/>
          <w:b/>
          <w:bCs/>
          <w:color w:val="1F3864"/>
          <w:sz w:val="23"/>
          <w:szCs w:val="23"/>
        </w:rPr>
        <w:t>Methods</w:t>
      </w:r>
    </w:p>
    <w:p w14:paraId="33F0F1EA" w14:textId="77777777" w:rsidR="00BB6B8A" w:rsidRDefault="009C71CC">
      <w:pPr>
        <w:spacing w:after="60" w:line="252" w:lineRule="auto"/>
        <w:jc w:val="both"/>
      </w:pPr>
      <w:r>
        <w:rPr>
          <w:rFonts w:ascii="Calibri" w:eastAsia="Calibri" w:hAnsi="Calibri" w:cs="Calibri"/>
          <w:b/>
          <w:bCs/>
          <w:i/>
          <w:iCs/>
          <w:sz w:val="22"/>
          <w:szCs w:val="22"/>
        </w:rPr>
        <w:t xml:space="preserve">Historical quantile. </w:t>
      </w:r>
      <w:r>
        <w:rPr>
          <w:rFonts w:ascii="Calibri" w:eastAsia="Calibri" w:hAnsi="Calibri" w:cs="Calibri"/>
          <w:i/>
          <w:iCs/>
          <w:sz w:val="22"/>
          <w:szCs w:val="22"/>
        </w:rPr>
        <w:t>VaR</w:t>
      </w:r>
      <w:r>
        <w:rPr>
          <w:rFonts w:ascii="Calibri" w:eastAsia="Calibri" w:hAnsi="Calibri" w:cs="Calibri"/>
          <w:sz w:val="22"/>
          <w:szCs w:val="22"/>
          <w:vertAlign w:val="subscript"/>
        </w:rPr>
        <w:t>t</w:t>
      </w:r>
      <w:r>
        <w:rPr>
          <w:rFonts w:ascii="Calibri" w:eastAsia="Calibri" w:hAnsi="Calibri" w:cs="Calibri"/>
          <w:sz w:val="22"/>
          <w:szCs w:val="22"/>
        </w:rPr>
        <w:t xml:space="preserve"> is the empirical 0.95 quantile of the 250 losses before day </w:t>
      </w:r>
      <w:r>
        <w:rPr>
          <w:rFonts w:ascii="Calibri" w:eastAsia="Calibri" w:hAnsi="Calibri" w:cs="Calibri"/>
          <w:i/>
          <w:iCs/>
          <w:sz w:val="22"/>
          <w:szCs w:val="22"/>
        </w:rPr>
        <w:t>t</w:t>
      </w:r>
      <w:r>
        <w:rPr>
          <w:rFonts w:ascii="Calibri" w:eastAsia="Calibri" w:hAnsi="Calibri" w:cs="Calibri"/>
          <w:sz w:val="22"/>
          <w:szCs w:val="22"/>
        </w:rPr>
        <w:t>, using NumPy's default linear interpolation.</w:t>
      </w:r>
    </w:p>
    <w:p w14:paraId="33F0F1EB" w14:textId="77777777" w:rsidR="00BB6B8A" w:rsidRDefault="009C71CC">
      <w:pPr>
        <w:spacing w:after="60" w:line="252" w:lineRule="auto"/>
        <w:jc w:val="both"/>
      </w:pPr>
      <w:r>
        <w:rPr>
          <w:rFonts w:ascii="Calibri" w:eastAsia="Calibri" w:hAnsi="Calibri" w:cs="Calibri"/>
          <w:b/>
          <w:bCs/>
          <w:i/>
          <w:iCs/>
          <w:sz w:val="22"/>
          <w:szCs w:val="22"/>
        </w:rPr>
        <w:t xml:space="preserve">Rolling Gaussian. </w:t>
      </w:r>
      <w:r>
        <w:rPr>
          <w:rFonts w:ascii="Calibri" w:eastAsia="Calibri" w:hAnsi="Calibri" w:cs="Calibri"/>
          <w:i/>
          <w:iCs/>
          <w:sz w:val="22"/>
          <w:szCs w:val="22"/>
        </w:rPr>
        <w:t>VaR</w:t>
      </w:r>
      <w:r>
        <w:rPr>
          <w:rFonts w:ascii="Calibri" w:eastAsia="Calibri" w:hAnsi="Calibri" w:cs="Calibri"/>
          <w:sz w:val="22"/>
          <w:szCs w:val="22"/>
          <w:vertAlign w:val="subscript"/>
        </w:rPr>
        <w:t>t</w:t>
      </w:r>
      <w:r>
        <w:rPr>
          <w:rFonts w:ascii="Calibri" w:eastAsia="Calibri" w:hAnsi="Calibri" w:cs="Calibri"/>
          <w:sz w:val="22"/>
          <w:szCs w:val="22"/>
        </w:rPr>
        <w:t xml:space="preserve"> = </w:t>
      </w:r>
      <w:r>
        <w:rPr>
          <w:rFonts w:ascii="Calibri" w:eastAsia="Calibri" w:hAnsi="Calibri" w:cs="Calibri"/>
          <w:i/>
          <w:iCs/>
          <w:sz w:val="22"/>
          <w:szCs w:val="22"/>
        </w:rPr>
        <w:t>μ</w:t>
      </w:r>
      <w:r>
        <w:rPr>
          <w:rFonts w:ascii="Calibri" w:eastAsia="Calibri" w:hAnsi="Calibri" w:cs="Calibri"/>
          <w:sz w:val="22"/>
          <w:szCs w:val="22"/>
          <w:vertAlign w:val="subscript"/>
        </w:rPr>
        <w:t>t</w:t>
      </w:r>
      <w:r>
        <w:rPr>
          <w:rFonts w:ascii="Calibri" w:eastAsia="Calibri" w:hAnsi="Calibri" w:cs="Calibri"/>
          <w:sz w:val="22"/>
          <w:szCs w:val="22"/>
        </w:rPr>
        <w:t xml:space="preserve"> + </w:t>
      </w:r>
      <w:r>
        <w:rPr>
          <w:rFonts w:ascii="Calibri" w:eastAsia="Calibri" w:hAnsi="Calibri" w:cs="Calibri"/>
          <w:i/>
          <w:iCs/>
          <w:sz w:val="22"/>
          <w:szCs w:val="22"/>
        </w:rPr>
        <w:t>z</w:t>
      </w:r>
      <w:r>
        <w:rPr>
          <w:rFonts w:ascii="Calibri" w:eastAsia="Calibri" w:hAnsi="Calibri" w:cs="Calibri"/>
          <w:sz w:val="22"/>
          <w:szCs w:val="22"/>
          <w:vertAlign w:val="subscript"/>
        </w:rPr>
        <w:t>1−p</w:t>
      </w:r>
      <w:r>
        <w:rPr>
          <w:rFonts w:ascii="Calibri" w:eastAsia="Calibri" w:hAnsi="Calibri" w:cs="Calibri"/>
          <w:sz w:val="22"/>
          <w:szCs w:val="22"/>
        </w:rPr>
        <w:t xml:space="preserve"> </w:t>
      </w:r>
      <w:r>
        <w:rPr>
          <w:rFonts w:ascii="Calibri" w:eastAsia="Calibri" w:hAnsi="Calibri" w:cs="Calibri"/>
          <w:i/>
          <w:iCs/>
          <w:sz w:val="22"/>
          <w:szCs w:val="22"/>
        </w:rPr>
        <w:t>σ</w:t>
      </w:r>
      <w:r>
        <w:rPr>
          <w:rFonts w:ascii="Calibri" w:eastAsia="Calibri" w:hAnsi="Calibri" w:cs="Calibri"/>
          <w:sz w:val="22"/>
          <w:szCs w:val="22"/>
          <w:vertAlign w:val="subscript"/>
        </w:rPr>
        <w:t>t</w:t>
      </w:r>
      <w:r>
        <w:rPr>
          <w:rFonts w:ascii="Calibri" w:eastAsia="Calibri" w:hAnsi="Calibri" w:cs="Calibri"/>
          <w:sz w:val="22"/>
          <w:szCs w:val="22"/>
        </w:rPr>
        <w:t xml:space="preserve"> = </w:t>
      </w:r>
      <w:r>
        <w:rPr>
          <w:rFonts w:ascii="Calibri" w:eastAsia="Calibri" w:hAnsi="Calibri" w:cs="Calibri"/>
          <w:i/>
          <w:iCs/>
          <w:sz w:val="22"/>
          <w:szCs w:val="22"/>
        </w:rPr>
        <w:t>μ</w:t>
      </w:r>
      <w:r>
        <w:rPr>
          <w:rFonts w:ascii="Calibri" w:eastAsia="Calibri" w:hAnsi="Calibri" w:cs="Calibri"/>
          <w:sz w:val="22"/>
          <w:szCs w:val="22"/>
          <w:vertAlign w:val="subscript"/>
        </w:rPr>
        <w:t>t</w:t>
      </w:r>
      <w:r>
        <w:rPr>
          <w:rFonts w:ascii="Calibri" w:eastAsia="Calibri" w:hAnsi="Calibri" w:cs="Calibri"/>
          <w:sz w:val="22"/>
          <w:szCs w:val="22"/>
        </w:rPr>
        <w:t xml:space="preserve"> + </w:t>
      </w:r>
      <w:r>
        <w:rPr>
          <w:rFonts w:ascii="Calibri" w:eastAsia="Calibri" w:hAnsi="Calibri" w:cs="Calibri"/>
          <w:i/>
          <w:iCs/>
          <w:sz w:val="22"/>
          <w:szCs w:val="22"/>
        </w:rPr>
        <w:t>z</w:t>
      </w:r>
      <w:r>
        <w:rPr>
          <w:rFonts w:ascii="Calibri" w:eastAsia="Calibri" w:hAnsi="Calibri" w:cs="Calibri"/>
          <w:sz w:val="22"/>
          <w:szCs w:val="22"/>
          <w:vertAlign w:val="subscript"/>
        </w:rPr>
        <w:t>0.95</w:t>
      </w:r>
      <w:r>
        <w:rPr>
          <w:rFonts w:ascii="Calibri" w:eastAsia="Calibri" w:hAnsi="Calibri" w:cs="Calibri"/>
          <w:sz w:val="22"/>
          <w:szCs w:val="22"/>
        </w:rPr>
        <w:t xml:space="preserve"> </w:t>
      </w:r>
      <w:r>
        <w:rPr>
          <w:rFonts w:ascii="Calibri" w:eastAsia="Calibri" w:hAnsi="Calibri" w:cs="Calibri"/>
          <w:i/>
          <w:iCs/>
          <w:sz w:val="22"/>
          <w:szCs w:val="22"/>
        </w:rPr>
        <w:t>σ</w:t>
      </w:r>
      <w:r>
        <w:rPr>
          <w:rFonts w:ascii="Calibri" w:eastAsia="Calibri" w:hAnsi="Calibri" w:cs="Calibri"/>
          <w:sz w:val="22"/>
          <w:szCs w:val="22"/>
          <w:vertAlign w:val="subscript"/>
        </w:rPr>
        <w:t>t</w:t>
      </w:r>
      <w:r>
        <w:rPr>
          <w:rFonts w:ascii="Calibri" w:eastAsia="Calibri" w:hAnsi="Calibri" w:cs="Calibri"/>
          <w:sz w:val="22"/>
          <w:szCs w:val="22"/>
        </w:rPr>
        <w:t xml:space="preserve">. Here </w:t>
      </w:r>
      <w:r>
        <w:rPr>
          <w:rFonts w:ascii="Calibri" w:eastAsia="Calibri" w:hAnsi="Calibri" w:cs="Calibri"/>
          <w:i/>
          <w:iCs/>
          <w:sz w:val="22"/>
          <w:szCs w:val="22"/>
        </w:rPr>
        <w:t>μ</w:t>
      </w:r>
      <w:r>
        <w:rPr>
          <w:rFonts w:ascii="Calibri" w:eastAsia="Calibri" w:hAnsi="Calibri" w:cs="Calibri"/>
          <w:sz w:val="22"/>
          <w:szCs w:val="22"/>
          <w:vertAlign w:val="subscript"/>
        </w:rPr>
        <w:t>t</w:t>
      </w:r>
      <w:r>
        <w:rPr>
          <w:rFonts w:ascii="Calibri" w:eastAsia="Calibri" w:hAnsi="Calibri" w:cs="Calibri"/>
          <w:sz w:val="22"/>
          <w:szCs w:val="22"/>
        </w:rPr>
        <w:t xml:space="preserve"> is the sample mean and </w:t>
      </w:r>
      <w:r>
        <w:rPr>
          <w:rFonts w:ascii="Calibri" w:eastAsia="Calibri" w:hAnsi="Calibri" w:cs="Calibri"/>
          <w:i/>
          <w:iCs/>
          <w:sz w:val="22"/>
          <w:szCs w:val="22"/>
        </w:rPr>
        <w:t>σ</w:t>
      </w:r>
      <w:r>
        <w:rPr>
          <w:rFonts w:ascii="Calibri" w:eastAsia="Calibri" w:hAnsi="Calibri" w:cs="Calibri"/>
          <w:sz w:val="22"/>
          <w:szCs w:val="22"/>
          <w:vertAlign w:val="subscript"/>
        </w:rPr>
        <w:t>t</w:t>
      </w:r>
      <w:r>
        <w:rPr>
          <w:rFonts w:ascii="Calibri" w:eastAsia="Calibri" w:hAnsi="Calibri" w:cs="Calibri"/>
          <w:sz w:val="22"/>
          <w:szCs w:val="22"/>
        </w:rPr>
        <w:t xml:space="preserve"> the sample standard deviation (ddof = 1) of the same 250-day window, and </w:t>
      </w:r>
      <w:r>
        <w:rPr>
          <w:rFonts w:ascii="Calibri" w:eastAsia="Calibri" w:hAnsi="Calibri" w:cs="Calibri"/>
          <w:i/>
          <w:iCs/>
          <w:sz w:val="22"/>
          <w:szCs w:val="22"/>
        </w:rPr>
        <w:t>z</w:t>
      </w:r>
      <w:r>
        <w:rPr>
          <w:rFonts w:ascii="Calibri" w:eastAsia="Calibri" w:hAnsi="Calibri" w:cs="Calibri"/>
          <w:sz w:val="22"/>
          <w:szCs w:val="22"/>
          <w:vertAlign w:val="subscript"/>
        </w:rPr>
        <w:t>0.95</w:t>
      </w:r>
      <w:r>
        <w:rPr>
          <w:rFonts w:ascii="Calibri" w:eastAsia="Calibri" w:hAnsi="Calibri" w:cs="Calibri"/>
          <w:sz w:val="22"/>
          <w:szCs w:val="22"/>
        </w:rPr>
        <w:t xml:space="preserve"> ≈ 1.6449. The model assumes that losses within the window are approximately normal and symmetric.</w:t>
      </w:r>
    </w:p>
    <w:p w14:paraId="33F0F1EC" w14:textId="77777777" w:rsidR="00BB6B8A" w:rsidRDefault="009C71CC">
      <w:pPr>
        <w:spacing w:after="60" w:line="252" w:lineRule="auto"/>
        <w:jc w:val="both"/>
      </w:pPr>
      <w:r>
        <w:rPr>
          <w:rFonts w:ascii="Calibri" w:eastAsia="Calibri" w:hAnsi="Calibri" w:cs="Calibri"/>
          <w:b/>
          <w:bCs/>
          <w:i/>
          <w:iCs/>
          <w:sz w:val="22"/>
          <w:szCs w:val="22"/>
        </w:rPr>
        <w:t xml:space="preserve">Distributional diagnostics (training losses). </w:t>
      </w:r>
      <w:r>
        <w:rPr>
          <w:rFonts w:ascii="Calibri" w:eastAsia="Calibri" w:hAnsi="Calibri" w:cs="Calibri"/>
          <w:sz w:val="22"/>
          <w:szCs w:val="22"/>
        </w:rPr>
        <w:t>Skewness is 1.42, excess kurtosis is 19.72, and the Jarque–Bera statistic is 31,339 (p &lt; 10⁻⁶). Normality is rejected, as the tails are far heavier than Gaussian and extreme days are concentrated on the loss side.</w:t>
      </w:r>
    </w:p>
    <w:p w14:paraId="33F0F1ED" w14:textId="77777777" w:rsidR="00BB6B8A" w:rsidRDefault="009C71CC">
      <w:pPr>
        <w:keepNext/>
        <w:spacing w:before="100" w:after="40"/>
      </w:pPr>
      <w:r>
        <w:rPr>
          <w:rFonts w:ascii="Calibri" w:eastAsia="Calibri" w:hAnsi="Calibri" w:cs="Calibri"/>
          <w:b/>
          <w:bCs/>
          <w:color w:val="1F3864"/>
          <w:sz w:val="23"/>
          <w:szCs w:val="23"/>
        </w:rPr>
        <w:t>Backtesting</w:t>
      </w:r>
    </w:p>
    <w:p w14:paraId="33F0F1EE" w14:textId="77777777" w:rsidR="00BB6B8A" w:rsidRDefault="009C71CC">
      <w:pPr>
        <w:keepNext/>
        <w:spacing w:after="60" w:line="252" w:lineRule="auto"/>
        <w:jc w:val="both"/>
      </w:pPr>
      <w:r>
        <w:rPr>
          <w:rFonts w:ascii="Calibri" w:eastAsia="Calibri" w:hAnsi="Calibri" w:cs="Calibri"/>
          <w:sz w:val="22"/>
          <w:szCs w:val="22"/>
        </w:rPr>
        <w:t xml:space="preserve">With </w:t>
      </w:r>
      <w:r>
        <w:rPr>
          <w:rFonts w:ascii="Calibri" w:eastAsia="Calibri" w:hAnsi="Calibri" w:cs="Calibri"/>
          <w:i/>
          <w:iCs/>
          <w:sz w:val="22"/>
          <w:szCs w:val="22"/>
        </w:rPr>
        <w:t>x</w:t>
      </w:r>
      <w:r>
        <w:rPr>
          <w:rFonts w:ascii="Calibri" w:eastAsia="Calibri" w:hAnsi="Calibri" w:cs="Calibri"/>
          <w:sz w:val="22"/>
          <w:szCs w:val="22"/>
        </w:rPr>
        <w:t xml:space="preserve"> exceedances in </w:t>
      </w:r>
      <w:r>
        <w:rPr>
          <w:rFonts w:ascii="Calibri" w:eastAsia="Calibri" w:hAnsi="Calibri" w:cs="Calibri"/>
          <w:i/>
          <w:iCs/>
          <w:sz w:val="22"/>
          <w:szCs w:val="22"/>
        </w:rPr>
        <w:t>T</w:t>
      </w:r>
      <w:r>
        <w:rPr>
          <w:rFonts w:ascii="Calibri" w:eastAsia="Calibri" w:hAnsi="Calibri" w:cs="Calibri"/>
          <w:sz w:val="22"/>
          <w:szCs w:val="22"/>
        </w:rPr>
        <w:t xml:space="preserve"> test days and nominal </w:t>
      </w:r>
      <w:r>
        <w:rPr>
          <w:rFonts w:ascii="Calibri" w:eastAsia="Calibri" w:hAnsi="Calibri" w:cs="Calibri"/>
          <w:i/>
          <w:iCs/>
          <w:sz w:val="22"/>
          <w:szCs w:val="22"/>
        </w:rPr>
        <w:t>p</w:t>
      </w:r>
      <w:r>
        <w:rPr>
          <w:rFonts w:ascii="Calibri" w:eastAsia="Calibri" w:hAnsi="Calibri" w:cs="Calibri"/>
          <w:sz w:val="22"/>
          <w:szCs w:val="22"/>
        </w:rPr>
        <w:t xml:space="preserve"> = 0.05, the Kupiec likelihood-ratio statistic is</w:t>
      </w:r>
    </w:p>
    <w:p w14:paraId="33F0F1EF" w14:textId="77777777" w:rsidR="00BB6B8A" w:rsidRDefault="009C71CC">
      <w:pPr>
        <w:spacing w:before="40" w:after="60"/>
        <w:jc w:val="center"/>
      </w:pPr>
      <w:r>
        <w:rPr>
          <w:rFonts w:ascii="Calibri" w:eastAsia="Calibri" w:hAnsi="Calibri" w:cs="Calibri"/>
          <w:i/>
          <w:iCs/>
          <w:sz w:val="22"/>
          <w:szCs w:val="22"/>
        </w:rPr>
        <w:t>LR</w:t>
      </w:r>
      <w:r>
        <w:rPr>
          <w:rFonts w:ascii="Calibri" w:eastAsia="Calibri" w:hAnsi="Calibri" w:cs="Calibri"/>
          <w:sz w:val="22"/>
          <w:szCs w:val="22"/>
          <w:vertAlign w:val="subscript"/>
        </w:rPr>
        <w:t>uc</w:t>
      </w:r>
      <w:r>
        <w:rPr>
          <w:rFonts w:ascii="Calibri" w:eastAsia="Calibri" w:hAnsi="Calibri" w:cs="Calibri"/>
          <w:sz w:val="22"/>
          <w:szCs w:val="22"/>
        </w:rPr>
        <w:t xml:space="preserve"> = −2 ln[(1−</w:t>
      </w:r>
      <w:r>
        <w:rPr>
          <w:rFonts w:ascii="Calibri" w:eastAsia="Calibri" w:hAnsi="Calibri" w:cs="Calibri"/>
          <w:i/>
          <w:iCs/>
          <w:sz w:val="22"/>
          <w:szCs w:val="22"/>
        </w:rPr>
        <w:t>p</w:t>
      </w:r>
      <w:r>
        <w:rPr>
          <w:rFonts w:ascii="Calibri" w:eastAsia="Calibri" w:hAnsi="Calibri" w:cs="Calibri"/>
          <w:sz w:val="22"/>
          <w:szCs w:val="22"/>
        </w:rPr>
        <w:t>)</w:t>
      </w:r>
      <w:r>
        <w:rPr>
          <w:rFonts w:ascii="Calibri" w:eastAsia="Calibri" w:hAnsi="Calibri" w:cs="Calibri"/>
          <w:sz w:val="22"/>
          <w:szCs w:val="22"/>
          <w:vertAlign w:val="superscript"/>
        </w:rPr>
        <w:t>T−x</w:t>
      </w:r>
      <w:r>
        <w:rPr>
          <w:rFonts w:ascii="Calibri" w:eastAsia="Calibri" w:hAnsi="Calibri" w:cs="Calibri"/>
          <w:sz w:val="22"/>
          <w:szCs w:val="22"/>
        </w:rPr>
        <w:t xml:space="preserve"> </w:t>
      </w:r>
      <w:r>
        <w:rPr>
          <w:rFonts w:ascii="Calibri" w:eastAsia="Calibri" w:hAnsi="Calibri" w:cs="Calibri"/>
          <w:i/>
          <w:iCs/>
          <w:sz w:val="22"/>
          <w:szCs w:val="22"/>
        </w:rPr>
        <w:t>p</w:t>
      </w:r>
      <w:r>
        <w:rPr>
          <w:rFonts w:ascii="Calibri" w:eastAsia="Calibri" w:hAnsi="Calibri" w:cs="Calibri"/>
          <w:sz w:val="22"/>
          <w:szCs w:val="22"/>
          <w:vertAlign w:val="superscript"/>
        </w:rPr>
        <w:t>x</w:t>
      </w:r>
      <w:r>
        <w:rPr>
          <w:rFonts w:ascii="Calibri" w:eastAsia="Calibri" w:hAnsi="Calibri" w:cs="Calibri"/>
          <w:sz w:val="22"/>
          <w:szCs w:val="22"/>
        </w:rPr>
        <w:t>] + 2 ln[(1−</w:t>
      </w:r>
      <w:r>
        <w:rPr>
          <w:rFonts w:ascii="Calibri" w:eastAsia="Calibri" w:hAnsi="Calibri" w:cs="Calibri"/>
          <w:i/>
          <w:iCs/>
          <w:sz w:val="22"/>
          <w:szCs w:val="22"/>
        </w:rPr>
        <w:t>x</w:t>
      </w:r>
      <w:r>
        <w:rPr>
          <w:rFonts w:ascii="Calibri" w:eastAsia="Calibri" w:hAnsi="Calibri" w:cs="Calibri"/>
          <w:sz w:val="22"/>
          <w:szCs w:val="22"/>
        </w:rPr>
        <w:t>/</w:t>
      </w:r>
      <w:r>
        <w:rPr>
          <w:rFonts w:ascii="Calibri" w:eastAsia="Calibri" w:hAnsi="Calibri" w:cs="Calibri"/>
          <w:i/>
          <w:iCs/>
          <w:sz w:val="22"/>
          <w:szCs w:val="22"/>
        </w:rPr>
        <w:t>T</w:t>
      </w:r>
      <w:r>
        <w:rPr>
          <w:rFonts w:ascii="Calibri" w:eastAsia="Calibri" w:hAnsi="Calibri" w:cs="Calibri"/>
          <w:sz w:val="22"/>
          <w:szCs w:val="22"/>
        </w:rPr>
        <w:t>)</w:t>
      </w:r>
      <w:r>
        <w:rPr>
          <w:rFonts w:ascii="Calibri" w:eastAsia="Calibri" w:hAnsi="Calibri" w:cs="Calibri"/>
          <w:sz w:val="22"/>
          <w:szCs w:val="22"/>
          <w:vertAlign w:val="superscript"/>
        </w:rPr>
        <w:t>T−x</w:t>
      </w:r>
      <w:r>
        <w:rPr>
          <w:rFonts w:ascii="Calibri" w:eastAsia="Calibri" w:hAnsi="Calibri" w:cs="Calibri"/>
          <w:sz w:val="22"/>
          <w:szCs w:val="22"/>
        </w:rPr>
        <w:t xml:space="preserve"> (</w:t>
      </w:r>
      <w:r>
        <w:rPr>
          <w:rFonts w:ascii="Calibri" w:eastAsia="Calibri" w:hAnsi="Calibri" w:cs="Calibri"/>
          <w:i/>
          <w:iCs/>
          <w:sz w:val="22"/>
          <w:szCs w:val="22"/>
        </w:rPr>
        <w:t>x</w:t>
      </w:r>
      <w:r>
        <w:rPr>
          <w:rFonts w:ascii="Calibri" w:eastAsia="Calibri" w:hAnsi="Calibri" w:cs="Calibri"/>
          <w:sz w:val="22"/>
          <w:szCs w:val="22"/>
        </w:rPr>
        <w:t>/</w:t>
      </w:r>
      <w:r>
        <w:rPr>
          <w:rFonts w:ascii="Calibri" w:eastAsia="Calibri" w:hAnsi="Calibri" w:cs="Calibri"/>
          <w:i/>
          <w:iCs/>
          <w:sz w:val="22"/>
          <w:szCs w:val="22"/>
        </w:rPr>
        <w:t>T</w:t>
      </w:r>
      <w:r>
        <w:rPr>
          <w:rFonts w:ascii="Calibri" w:eastAsia="Calibri" w:hAnsi="Calibri" w:cs="Calibri"/>
          <w:sz w:val="22"/>
          <w:szCs w:val="22"/>
        </w:rPr>
        <w:t>)</w:t>
      </w:r>
      <w:r>
        <w:rPr>
          <w:rFonts w:ascii="Calibri" w:eastAsia="Calibri" w:hAnsi="Calibri" w:cs="Calibri"/>
          <w:sz w:val="22"/>
          <w:szCs w:val="22"/>
          <w:vertAlign w:val="superscript"/>
        </w:rPr>
        <w:t>x</w:t>
      </w:r>
      <w:r>
        <w:rPr>
          <w:rFonts w:ascii="Calibri" w:eastAsia="Calibri" w:hAnsi="Calibri" w:cs="Calibri"/>
          <w:sz w:val="22"/>
          <w:szCs w:val="22"/>
        </w:rPr>
        <w:t>]</w:t>
      </w:r>
    </w:p>
    <w:p w14:paraId="33F0F1F0" w14:textId="77777777" w:rsidR="00BB6B8A" w:rsidRDefault="009C71CC">
      <w:pPr>
        <w:spacing w:after="60" w:line="252" w:lineRule="auto"/>
        <w:jc w:val="both"/>
      </w:pPr>
      <w:r>
        <w:rPr>
          <w:rFonts w:ascii="Calibri" w:eastAsia="Calibri" w:hAnsi="Calibri" w:cs="Calibri"/>
          <w:sz w:val="22"/>
          <w:szCs w:val="22"/>
        </w:rPr>
        <w:t>Under H</w:t>
      </w:r>
      <w:r>
        <w:rPr>
          <w:rFonts w:ascii="Calibri" w:eastAsia="Calibri" w:hAnsi="Calibri" w:cs="Calibri"/>
          <w:sz w:val="22"/>
          <w:szCs w:val="22"/>
          <w:vertAlign w:val="subscript"/>
        </w:rPr>
        <w:t>0</w:t>
      </w:r>
      <w:r>
        <w:rPr>
          <w:rFonts w:ascii="Calibri" w:eastAsia="Calibri" w:hAnsi="Calibri" w:cs="Calibri"/>
          <w:sz w:val="22"/>
          <w:szCs w:val="22"/>
        </w:rPr>
        <w:t>: P(</w:t>
      </w:r>
      <w:r>
        <w:rPr>
          <w:rFonts w:ascii="Calibri" w:eastAsia="Calibri" w:hAnsi="Calibri" w:cs="Calibri"/>
          <w:i/>
          <w:iCs/>
          <w:sz w:val="22"/>
          <w:szCs w:val="22"/>
        </w:rPr>
        <w:t>I</w:t>
      </w:r>
      <w:r>
        <w:rPr>
          <w:rFonts w:ascii="Calibri" w:eastAsia="Calibri" w:hAnsi="Calibri" w:cs="Calibri"/>
          <w:sz w:val="22"/>
          <w:szCs w:val="22"/>
          <w:vertAlign w:val="subscript"/>
        </w:rPr>
        <w:t>t</w:t>
      </w:r>
      <w:r>
        <w:rPr>
          <w:rFonts w:ascii="Calibri" w:eastAsia="Calibri" w:hAnsi="Calibri" w:cs="Calibri"/>
          <w:sz w:val="22"/>
          <w:szCs w:val="22"/>
        </w:rPr>
        <w:t xml:space="preserve"> = 1) = </w:t>
      </w:r>
      <w:r>
        <w:rPr>
          <w:rFonts w:ascii="Calibri" w:eastAsia="Calibri" w:hAnsi="Calibri" w:cs="Calibri"/>
          <w:i/>
          <w:iCs/>
          <w:sz w:val="22"/>
          <w:szCs w:val="22"/>
        </w:rPr>
        <w:t>p</w:t>
      </w:r>
      <w:r>
        <w:rPr>
          <w:rFonts w:ascii="Calibri" w:eastAsia="Calibri" w:hAnsi="Calibri" w:cs="Calibri"/>
          <w:sz w:val="22"/>
          <w:szCs w:val="22"/>
        </w:rPr>
        <w:t>, it is asymptotically χ</w:t>
      </w:r>
      <w:r>
        <w:rPr>
          <w:rFonts w:ascii="Calibri" w:eastAsia="Calibri" w:hAnsi="Calibri" w:cs="Calibri"/>
          <w:sz w:val="22"/>
          <w:szCs w:val="22"/>
          <w:vertAlign w:val="superscript"/>
        </w:rPr>
        <w:t>2</w:t>
      </w:r>
      <w:r>
        <w:rPr>
          <w:rFonts w:ascii="Calibri" w:eastAsia="Calibri" w:hAnsi="Calibri" w:cs="Calibri"/>
          <w:sz w:val="22"/>
          <w:szCs w:val="22"/>
        </w:rPr>
        <w:t xml:space="preserve">(1), with a 5% critical value of 3.84. The expected count is </w:t>
      </w:r>
      <w:r>
        <w:rPr>
          <w:rFonts w:ascii="Calibri" w:eastAsia="Calibri" w:hAnsi="Calibri" w:cs="Calibri"/>
          <w:i/>
          <w:iCs/>
          <w:sz w:val="22"/>
          <w:szCs w:val="22"/>
        </w:rPr>
        <w:t>pT</w:t>
      </w:r>
      <w:r>
        <w:rPr>
          <w:rFonts w:ascii="Calibri" w:eastAsia="Calibri" w:hAnsi="Calibri" w:cs="Calibri"/>
          <w:sz w:val="22"/>
          <w:szCs w:val="22"/>
        </w:rPr>
        <w:t xml:space="preserve"> = 40.6, with standard deviation √(</w:t>
      </w:r>
      <w:r>
        <w:rPr>
          <w:rFonts w:ascii="Calibri" w:eastAsia="Calibri" w:hAnsi="Calibri" w:cs="Calibri"/>
          <w:i/>
          <w:iCs/>
          <w:sz w:val="22"/>
          <w:szCs w:val="22"/>
        </w:rPr>
        <w:t>Tp</w:t>
      </w:r>
      <w:r>
        <w:rPr>
          <w:rFonts w:ascii="Calibri" w:eastAsia="Calibri" w:hAnsi="Calibri" w:cs="Calibri"/>
          <w:sz w:val="22"/>
          <w:szCs w:val="22"/>
        </w:rPr>
        <w:t>(1−</w:t>
      </w:r>
      <w:r>
        <w:rPr>
          <w:rFonts w:ascii="Calibri" w:eastAsia="Calibri" w:hAnsi="Calibri" w:cs="Calibri"/>
          <w:i/>
          <w:iCs/>
          <w:sz w:val="22"/>
          <w:szCs w:val="22"/>
        </w:rPr>
        <w:t>p</w:t>
      </w:r>
      <w:r>
        <w:rPr>
          <w:rFonts w:ascii="Calibri" w:eastAsia="Calibri" w:hAnsi="Calibri" w:cs="Calibri"/>
          <w:sz w:val="22"/>
          <w:szCs w:val="22"/>
        </w:rPr>
        <w:t>)) ≈ 6.2.</w:t>
      </w:r>
    </w:p>
    <w:p w14:paraId="33F0F1F1" w14:textId="77777777" w:rsidR="00BB6B8A" w:rsidRDefault="009C71CC">
      <w:pPr>
        <w:keepNext/>
        <w:spacing w:before="100" w:after="40"/>
      </w:pPr>
      <w:r>
        <w:rPr>
          <w:rFonts w:ascii="Calibri" w:eastAsia="Calibri" w:hAnsi="Calibri" w:cs="Calibri"/>
          <w:b/>
          <w:bCs/>
          <w:color w:val="1F3864"/>
          <w:sz w:val="23"/>
          <w:szCs w:val="23"/>
        </w:rPr>
        <w:t>Results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1200"/>
        <w:gridCol w:w="1300"/>
        <w:gridCol w:w="1300"/>
      </w:tblGrid>
      <w:tr w:rsidR="00BB6B8A" w14:paraId="33F0F1F8" w14:textId="77777777">
        <w:tblPrEx>
          <w:tblCellMar>
            <w:top w:w="0" w:type="dxa"/>
            <w:bottom w:w="0" w:type="dxa"/>
          </w:tblCellMar>
        </w:tblPrEx>
        <w:trP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CE3EE"/>
            <w:tcMar>
              <w:top w:w="30" w:type="dxa"/>
              <w:left w:w="80" w:type="dxa"/>
              <w:bottom w:w="30" w:type="dxa"/>
              <w:right w:w="80" w:type="dxa"/>
            </w:tcMar>
          </w:tcPr>
          <w:p w14:paraId="33F0F1F2" w14:textId="77777777" w:rsidR="00BB6B8A" w:rsidRDefault="009C71CC">
            <w:pPr>
              <w:jc w:val="center"/>
            </w:pPr>
            <w:r>
              <w:rPr>
                <w:rFonts w:ascii="Calibri" w:eastAsia="Calibri" w:hAnsi="Calibri" w:cs="Calibri"/>
                <w:b/>
                <w:bCs/>
                <w:sz w:val="22"/>
                <w:szCs w:val="22"/>
              </w:rPr>
              <w:t>Method</w:t>
            </w:r>
          </w:p>
        </w:tc>
        <w:tc>
          <w:tcPr>
            <w:tcW w:w="1000" w:type="dxa"/>
            <w:tcBorders>
              <w:top w:val="single" w:sz="4" w:space="0" w:color="808080"/>
              <w:left w:val="single" w:sz="4" w:space="0" w:color="808080"/>
              <w:bottom w:val="single" w:sz="4" w:space="0" w:color="808080"/>
              <w:right w:val="single" w:sz="4" w:space="0" w:color="808080"/>
            </w:tcBorders>
            <w:shd w:val="clear" w:color="auto" w:fill="DCE3EE"/>
            <w:tcMar>
              <w:top w:w="30" w:type="dxa"/>
              <w:left w:w="80" w:type="dxa"/>
              <w:bottom w:w="30" w:type="dxa"/>
              <w:right w:w="80" w:type="dxa"/>
            </w:tcMar>
          </w:tcPr>
          <w:p w14:paraId="33F0F1F3" w14:textId="77777777" w:rsidR="00BB6B8A" w:rsidRDefault="009C71CC">
            <w:pPr>
              <w:jc w:val="center"/>
            </w:pPr>
            <w:r>
              <w:rPr>
                <w:rFonts w:ascii="Calibri" w:eastAsia="Calibri" w:hAnsi="Calibri" w:cs="Calibri"/>
                <w:b/>
                <w:bCs/>
                <w:i/>
                <w:iCs/>
                <w:sz w:val="22"/>
                <w:szCs w:val="22"/>
              </w:rPr>
              <w:t>T</w:t>
            </w:r>
          </w:p>
        </w:tc>
        <w:tc>
          <w:tcPr>
            <w:tcW w:w="1000" w:type="dxa"/>
            <w:tcBorders>
              <w:top w:val="single" w:sz="4" w:space="0" w:color="808080"/>
              <w:left w:val="single" w:sz="4" w:space="0" w:color="808080"/>
              <w:bottom w:val="single" w:sz="4" w:space="0" w:color="808080"/>
              <w:right w:val="single" w:sz="4" w:space="0" w:color="808080"/>
            </w:tcBorders>
            <w:shd w:val="clear" w:color="auto" w:fill="DCE3EE"/>
            <w:tcMar>
              <w:top w:w="30" w:type="dxa"/>
              <w:left w:w="80" w:type="dxa"/>
              <w:bottom w:w="30" w:type="dxa"/>
              <w:right w:w="80" w:type="dxa"/>
            </w:tcMar>
          </w:tcPr>
          <w:p w14:paraId="33F0F1F4" w14:textId="77777777" w:rsidR="00BB6B8A" w:rsidRDefault="009C71CC">
            <w:pPr>
              <w:jc w:val="center"/>
            </w:pPr>
            <w:r>
              <w:rPr>
                <w:rFonts w:ascii="Calibri" w:eastAsia="Calibri" w:hAnsi="Calibri" w:cs="Calibri"/>
                <w:b/>
                <w:bCs/>
                <w:i/>
                <w:iCs/>
                <w:sz w:val="22"/>
                <w:szCs w:val="22"/>
              </w:rPr>
              <w:t>x</w:t>
            </w:r>
          </w:p>
        </w:tc>
        <w:tc>
          <w:tcPr>
            <w:tcW w:w="1200" w:type="dxa"/>
            <w:tcBorders>
              <w:top w:val="single" w:sz="4" w:space="0" w:color="808080"/>
              <w:left w:val="single" w:sz="4" w:space="0" w:color="808080"/>
              <w:bottom w:val="single" w:sz="4" w:space="0" w:color="808080"/>
              <w:right w:val="single" w:sz="4" w:space="0" w:color="808080"/>
            </w:tcBorders>
            <w:shd w:val="clear" w:color="auto" w:fill="DCE3EE"/>
            <w:tcMar>
              <w:top w:w="30" w:type="dxa"/>
              <w:left w:w="80" w:type="dxa"/>
              <w:bottom w:w="30" w:type="dxa"/>
              <w:right w:w="80" w:type="dxa"/>
            </w:tcMar>
          </w:tcPr>
          <w:p w14:paraId="33F0F1F5" w14:textId="77777777" w:rsidR="00BB6B8A" w:rsidRDefault="009C71CC">
            <w:pPr>
              <w:jc w:val="center"/>
            </w:pPr>
            <w:r>
              <w:rPr>
                <w:rFonts w:ascii="Calibri" w:eastAsia="Calibri" w:hAnsi="Calibri" w:cs="Calibri"/>
                <w:b/>
                <w:bCs/>
                <w:i/>
                <w:iCs/>
                <w:sz w:val="22"/>
                <w:szCs w:val="22"/>
              </w:rPr>
              <w:t>x/T</w:t>
            </w:r>
          </w:p>
        </w:tc>
        <w:tc>
          <w:tcPr>
            <w:tcW w:w="1300" w:type="dxa"/>
            <w:tcBorders>
              <w:top w:val="single" w:sz="4" w:space="0" w:color="808080"/>
              <w:left w:val="single" w:sz="4" w:space="0" w:color="808080"/>
              <w:bottom w:val="single" w:sz="4" w:space="0" w:color="808080"/>
              <w:right w:val="single" w:sz="4" w:space="0" w:color="808080"/>
            </w:tcBorders>
            <w:shd w:val="clear" w:color="auto" w:fill="DCE3EE"/>
            <w:tcMar>
              <w:top w:w="30" w:type="dxa"/>
              <w:left w:w="80" w:type="dxa"/>
              <w:bottom w:w="30" w:type="dxa"/>
              <w:right w:w="80" w:type="dxa"/>
            </w:tcMar>
          </w:tcPr>
          <w:p w14:paraId="33F0F1F6" w14:textId="77777777" w:rsidR="00BB6B8A" w:rsidRDefault="009C71CC">
            <w:pPr>
              <w:jc w:val="center"/>
            </w:pPr>
            <w:r>
              <w:rPr>
                <w:rFonts w:ascii="Calibri" w:eastAsia="Calibri" w:hAnsi="Calibri" w:cs="Calibri"/>
                <w:b/>
                <w:bCs/>
                <w:sz w:val="22"/>
                <w:szCs w:val="22"/>
              </w:rPr>
              <w:t>LR</w:t>
            </w:r>
            <w:r>
              <w:rPr>
                <w:rFonts w:ascii="Calibri" w:eastAsia="Calibri" w:hAnsi="Calibri" w:cs="Calibri"/>
                <w:b/>
                <w:bCs/>
                <w:sz w:val="22"/>
                <w:szCs w:val="22"/>
                <w:vertAlign w:val="subscript"/>
              </w:rPr>
              <w:t>uc</w:t>
            </w:r>
          </w:p>
        </w:tc>
        <w:tc>
          <w:tcPr>
            <w:tcW w:w="1300" w:type="dxa"/>
            <w:tcBorders>
              <w:top w:val="single" w:sz="4" w:space="0" w:color="808080"/>
              <w:left w:val="single" w:sz="4" w:space="0" w:color="808080"/>
              <w:bottom w:val="single" w:sz="4" w:space="0" w:color="808080"/>
              <w:right w:val="single" w:sz="4" w:space="0" w:color="808080"/>
            </w:tcBorders>
            <w:shd w:val="clear" w:color="auto" w:fill="DCE3EE"/>
            <w:tcMar>
              <w:top w:w="30" w:type="dxa"/>
              <w:left w:w="80" w:type="dxa"/>
              <w:bottom w:w="30" w:type="dxa"/>
              <w:right w:w="80" w:type="dxa"/>
            </w:tcMar>
          </w:tcPr>
          <w:p w14:paraId="33F0F1F7" w14:textId="77777777" w:rsidR="00BB6B8A" w:rsidRDefault="009C71CC">
            <w:pPr>
              <w:jc w:val="center"/>
            </w:pPr>
            <w:r>
              <w:rPr>
                <w:rFonts w:ascii="Calibri" w:eastAsia="Calibri" w:hAnsi="Calibri" w:cs="Calibri"/>
                <w:b/>
                <w:bCs/>
                <w:sz w:val="22"/>
                <w:szCs w:val="22"/>
              </w:rPr>
              <w:t>p-value</w:t>
            </w:r>
          </w:p>
        </w:tc>
      </w:tr>
      <w:tr w:rsidR="00BB6B8A" w14:paraId="33F0F1FF" w14:textId="77777777">
        <w:tblPrEx>
          <w:tblCellMar>
            <w:top w:w="0" w:type="dxa"/>
            <w:bottom w:w="0" w:type="dxa"/>
          </w:tblCellMar>
        </w:tblPrEx>
        <w:trPr>
          <w:jc w:val="center"/>
        </w:trPr>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1F9" w14:textId="77777777" w:rsidR="00BB6B8A" w:rsidRDefault="009C71CC">
            <w:pPr>
              <w:jc w:val="center"/>
            </w:pPr>
            <w:r>
              <w:rPr>
                <w:rFonts w:ascii="Calibri" w:eastAsia="Calibri" w:hAnsi="Calibri" w:cs="Calibri"/>
                <w:sz w:val="22"/>
                <w:szCs w:val="22"/>
              </w:rPr>
              <w:t>Historical quantile</w:t>
            </w:r>
          </w:p>
        </w:tc>
        <w:tc>
          <w:tcPr>
            <w:tcW w:w="1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1FA" w14:textId="77777777" w:rsidR="00BB6B8A" w:rsidRDefault="009C71CC">
            <w:pPr>
              <w:jc w:val="center"/>
            </w:pPr>
            <w:r>
              <w:rPr>
                <w:rFonts w:ascii="Calibri" w:eastAsia="Calibri" w:hAnsi="Calibri" w:cs="Calibri"/>
                <w:sz w:val="22"/>
                <w:szCs w:val="22"/>
              </w:rPr>
              <w:t>812</w:t>
            </w:r>
          </w:p>
        </w:tc>
        <w:tc>
          <w:tcPr>
            <w:tcW w:w="1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1FB" w14:textId="77777777" w:rsidR="00BB6B8A" w:rsidRDefault="009C71CC">
            <w:pPr>
              <w:jc w:val="center"/>
            </w:pPr>
            <w:r>
              <w:rPr>
                <w:rFonts w:ascii="Calibri" w:eastAsia="Calibri" w:hAnsi="Calibri" w:cs="Calibri"/>
                <w:sz w:val="22"/>
                <w:szCs w:val="22"/>
              </w:rPr>
              <w:t>36</w:t>
            </w:r>
          </w:p>
        </w:tc>
        <w:tc>
          <w:tcPr>
            <w:tcW w:w="1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1FC" w14:textId="77777777" w:rsidR="00BB6B8A" w:rsidRDefault="009C71CC">
            <w:pPr>
              <w:jc w:val="center"/>
            </w:pPr>
            <w:r>
              <w:rPr>
                <w:rFonts w:ascii="Calibri" w:eastAsia="Calibri" w:hAnsi="Calibri" w:cs="Calibri"/>
                <w:sz w:val="22"/>
                <w:szCs w:val="22"/>
              </w:rPr>
              <w:t>4.43%</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1FD" w14:textId="77777777" w:rsidR="00BB6B8A" w:rsidRDefault="009C71CC">
            <w:pPr>
              <w:jc w:val="center"/>
            </w:pPr>
            <w:r>
              <w:rPr>
                <w:rFonts w:ascii="Calibri" w:eastAsia="Calibri" w:hAnsi="Calibri" w:cs="Calibri"/>
                <w:sz w:val="22"/>
                <w:szCs w:val="22"/>
              </w:rPr>
              <w:t>0.569</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1FE" w14:textId="77777777" w:rsidR="00BB6B8A" w:rsidRDefault="009C71CC">
            <w:pPr>
              <w:jc w:val="center"/>
            </w:pPr>
            <w:r>
              <w:rPr>
                <w:rFonts w:ascii="Calibri" w:eastAsia="Calibri" w:hAnsi="Calibri" w:cs="Calibri"/>
                <w:sz w:val="22"/>
                <w:szCs w:val="22"/>
              </w:rPr>
              <w:t>0.451</w:t>
            </w:r>
          </w:p>
        </w:tc>
      </w:tr>
      <w:tr w:rsidR="00BB6B8A" w14:paraId="33F0F206" w14:textId="77777777">
        <w:tblPrEx>
          <w:tblCellMar>
            <w:top w:w="0" w:type="dxa"/>
            <w:bottom w:w="0" w:type="dxa"/>
          </w:tblCellMar>
        </w:tblPrEx>
        <w:trPr>
          <w:jc w:val="center"/>
        </w:trPr>
        <w:tc>
          <w:tcPr>
            <w:tcW w:w="3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200" w14:textId="77777777" w:rsidR="00BB6B8A" w:rsidRDefault="009C71CC">
            <w:pPr>
              <w:jc w:val="center"/>
            </w:pPr>
            <w:r>
              <w:rPr>
                <w:rFonts w:ascii="Calibri" w:eastAsia="Calibri" w:hAnsi="Calibri" w:cs="Calibri"/>
                <w:sz w:val="22"/>
                <w:szCs w:val="22"/>
              </w:rPr>
              <w:t>Rolling Gaussian</w:t>
            </w:r>
          </w:p>
        </w:tc>
        <w:tc>
          <w:tcPr>
            <w:tcW w:w="1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201" w14:textId="77777777" w:rsidR="00BB6B8A" w:rsidRDefault="009C71CC">
            <w:pPr>
              <w:jc w:val="center"/>
            </w:pPr>
            <w:r>
              <w:rPr>
                <w:rFonts w:ascii="Calibri" w:eastAsia="Calibri" w:hAnsi="Calibri" w:cs="Calibri"/>
                <w:sz w:val="22"/>
                <w:szCs w:val="22"/>
              </w:rPr>
              <w:t>812</w:t>
            </w:r>
          </w:p>
        </w:tc>
        <w:tc>
          <w:tcPr>
            <w:tcW w:w="10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202" w14:textId="77777777" w:rsidR="00BB6B8A" w:rsidRDefault="009C71CC">
            <w:pPr>
              <w:jc w:val="center"/>
            </w:pPr>
            <w:r>
              <w:rPr>
                <w:rFonts w:ascii="Calibri" w:eastAsia="Calibri" w:hAnsi="Calibri" w:cs="Calibri"/>
                <w:sz w:val="22"/>
                <w:szCs w:val="22"/>
              </w:rPr>
              <w:t>30</w:t>
            </w:r>
          </w:p>
        </w:tc>
        <w:tc>
          <w:tcPr>
            <w:tcW w:w="12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203" w14:textId="77777777" w:rsidR="00BB6B8A" w:rsidRDefault="009C71CC">
            <w:pPr>
              <w:jc w:val="center"/>
            </w:pPr>
            <w:r>
              <w:rPr>
                <w:rFonts w:ascii="Calibri" w:eastAsia="Calibri" w:hAnsi="Calibri" w:cs="Calibri"/>
                <w:sz w:val="22"/>
                <w:szCs w:val="22"/>
              </w:rPr>
              <w:t>3.69%</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204" w14:textId="77777777" w:rsidR="00BB6B8A" w:rsidRDefault="009C71CC">
            <w:pPr>
              <w:jc w:val="center"/>
            </w:pPr>
            <w:r>
              <w:rPr>
                <w:rFonts w:ascii="Calibri" w:eastAsia="Calibri" w:hAnsi="Calibri" w:cs="Calibri"/>
                <w:sz w:val="22"/>
                <w:szCs w:val="22"/>
              </w:rPr>
              <w:t>3.191</w:t>
            </w:r>
          </w:p>
        </w:tc>
        <w:tc>
          <w:tcPr>
            <w:tcW w:w="1300" w:type="dxa"/>
            <w:tcBorders>
              <w:top w:val="single" w:sz="4" w:space="0" w:color="808080"/>
              <w:left w:val="single" w:sz="4" w:space="0" w:color="808080"/>
              <w:bottom w:val="single" w:sz="4" w:space="0" w:color="808080"/>
              <w:right w:val="single" w:sz="4" w:space="0" w:color="808080"/>
            </w:tcBorders>
            <w:tcMar>
              <w:top w:w="30" w:type="dxa"/>
              <w:left w:w="80" w:type="dxa"/>
              <w:bottom w:w="30" w:type="dxa"/>
              <w:right w:w="80" w:type="dxa"/>
            </w:tcMar>
          </w:tcPr>
          <w:p w14:paraId="33F0F205" w14:textId="77777777" w:rsidR="00BB6B8A" w:rsidRDefault="009C71CC">
            <w:pPr>
              <w:jc w:val="center"/>
            </w:pPr>
            <w:r>
              <w:rPr>
                <w:rFonts w:ascii="Calibri" w:eastAsia="Calibri" w:hAnsi="Calibri" w:cs="Calibri"/>
                <w:sz w:val="22"/>
                <w:szCs w:val="22"/>
              </w:rPr>
              <w:t>0.074</w:t>
            </w:r>
          </w:p>
        </w:tc>
      </w:tr>
    </w:tbl>
    <w:p w14:paraId="33F0F207" w14:textId="77777777" w:rsidR="00BB6B8A" w:rsidRDefault="009C71CC">
      <w:pPr>
        <w:spacing w:before="80" w:after="60" w:line="252" w:lineRule="auto"/>
        <w:jc w:val="both"/>
      </w:pPr>
      <w:r>
        <w:rPr>
          <w:rFonts w:ascii="Calibri" w:eastAsia="Calibri" w:hAnsi="Calibri" w:cs="Calibri"/>
          <w:sz w:val="22"/>
          <w:szCs w:val="22"/>
        </w:rPr>
        <w:t>Neither model is rejected at the 5% level, and both produce fewer exceedances than expected. The historical method is about 0.7 standard deviations below expectation, which is consistent with sampling variation. The Gaussian method is about 1.7 standard deviations below and would be rejected at the 10% level.</w:t>
      </w:r>
    </w:p>
    <w:p w14:paraId="33F0F208" w14:textId="77777777" w:rsidR="00BB6B8A" w:rsidRDefault="009C71CC">
      <w:pPr>
        <w:spacing w:after="60" w:line="252" w:lineRule="auto"/>
        <w:jc w:val="both"/>
      </w:pPr>
      <w:r>
        <w:rPr>
          <w:rFonts w:ascii="Calibri" w:eastAsia="Calibri" w:hAnsi="Calibri" w:cs="Calibri"/>
          <w:sz w:val="22"/>
          <w:szCs w:val="22"/>
        </w:rPr>
        <w:t>Non-rejection by the Kupiec test means only that the observed exceedance frequency is not statistically inconsistent with 5% in this sample. It is not evidence that either model is correct: the test has limited power with about 41 expected exceedances and examines only the frequency of exceedances.</w:t>
      </w:r>
    </w:p>
    <w:p w14:paraId="33F0F209" w14:textId="77777777" w:rsidR="00BB6B8A" w:rsidRDefault="009C71CC">
      <w:pPr>
        <w:keepNext/>
        <w:spacing w:before="100" w:after="40"/>
      </w:pPr>
      <w:r>
        <w:rPr>
          <w:rFonts w:ascii="Calibri" w:eastAsia="Calibri" w:hAnsi="Calibri" w:cs="Calibri"/>
          <w:b/>
          <w:bCs/>
          <w:color w:val="1F3864"/>
          <w:sz w:val="23"/>
          <w:szCs w:val="23"/>
        </w:rPr>
        <w:t>Observations</w:t>
      </w:r>
    </w:p>
    <w:p w14:paraId="33F0F20A" w14:textId="77777777" w:rsidR="00BB6B8A" w:rsidRDefault="009C71CC">
      <w:pPr>
        <w:spacing w:after="60" w:line="252" w:lineRule="auto"/>
        <w:jc w:val="both"/>
      </w:pPr>
      <w:r>
        <w:rPr>
          <w:rFonts w:ascii="Calibri" w:eastAsia="Calibri" w:hAnsi="Calibri" w:cs="Calibri"/>
          <w:sz w:val="22"/>
          <w:szCs w:val="22"/>
        </w:rPr>
        <w:t>Over this test period, the historical quantile exceedance frequency is consistent with 5%. The rolling Gaussian is mildly conservative, not significantly so at 5%.</w:t>
      </w:r>
    </w:p>
    <w:p w14:paraId="33F0F20B" w14:textId="77777777" w:rsidR="00BB6B8A" w:rsidRDefault="009C71CC">
      <w:pPr>
        <w:spacing w:after="60" w:line="252" w:lineRule="auto"/>
        <w:jc w:val="both"/>
      </w:pPr>
      <w:r>
        <w:rPr>
          <w:rFonts w:ascii="Calibri" w:eastAsia="Calibri" w:hAnsi="Calibri" w:cs="Calibri"/>
          <w:sz w:val="22"/>
          <w:szCs w:val="22"/>
        </w:rPr>
        <w:t xml:space="preserve">Normality is strongly rejected, yet the Gaussian model over-predicts rather than under-predicts risk at 95%. Heavy-tailed distributions behave this way. For a unit-variance Student-t with 4 degrees of freedom, the 0.95 quantile is about 1.51, against 1.645 for the normal, but at 0.99 the order reverses (about 2.65 against 2.33). The positive skewness of losses points the same way, since a symmetric normal understates the far loss tail. </w:t>
      </w:r>
      <w:r>
        <w:rPr>
          <w:rFonts w:ascii="Calibri" w:eastAsia="Calibri" w:hAnsi="Calibri" w:cs="Calibri"/>
          <w:sz w:val="22"/>
          <w:szCs w:val="22"/>
        </w:rPr>
        <w:lastRenderedPageBreak/>
        <w:t>This motivates a hypothesis, not a result: at higher confidence levels such as 99%, the Gaussian model may become anti-conservative. The 95% backtest provides no evidence about behaviour at 99%; testing this would require a separate backtest at that level.</w:t>
      </w:r>
    </w:p>
    <w:p w14:paraId="33F0F20C" w14:textId="77777777" w:rsidR="00BB6B8A" w:rsidRDefault="009C71CC">
      <w:pPr>
        <w:spacing w:after="60" w:line="252" w:lineRule="auto"/>
        <w:jc w:val="both"/>
      </w:pPr>
      <w:r>
        <w:rPr>
          <w:rFonts w:ascii="Calibri" w:eastAsia="Calibri" w:hAnsi="Calibri" w:cs="Calibri"/>
          <w:sz w:val="22"/>
          <w:szCs w:val="22"/>
        </w:rPr>
        <w:t>The measured kurtosis is not purely a property of each day's return distribution. Part of it reflects volatility changing over 2015–2022, including the 2020 crash, which lies entirely in the training period. A 250-day rolling window partly adapts to such changes, so rejecting unconditional normality does not by itself imply that a rolling VaR will fail out of sample.</w:t>
      </w:r>
    </w:p>
    <w:p w14:paraId="33F0F20D" w14:textId="77777777" w:rsidR="00BB6B8A" w:rsidRDefault="009C71CC">
      <w:pPr>
        <w:keepNext/>
        <w:spacing w:before="100" w:after="40"/>
      </w:pPr>
      <w:r>
        <w:rPr>
          <w:rFonts w:ascii="Calibri" w:eastAsia="Calibri" w:hAnsi="Calibri" w:cs="Calibri"/>
          <w:b/>
          <w:bCs/>
          <w:color w:val="1F3864"/>
          <w:sz w:val="23"/>
          <w:szCs w:val="23"/>
        </w:rPr>
        <w:t>What the results do not establish</w:t>
      </w:r>
    </w:p>
    <w:p w14:paraId="33F0F20E" w14:textId="77777777" w:rsidR="00BB6B8A" w:rsidRDefault="009C71CC">
      <w:pPr>
        <w:spacing w:after="30" w:line="252" w:lineRule="auto"/>
        <w:ind w:left="300" w:hanging="300"/>
        <w:jc w:val="both"/>
      </w:pPr>
      <w:r>
        <w:rPr>
          <w:rFonts w:ascii="Calibri" w:eastAsia="Calibri" w:hAnsi="Calibri" w:cs="Calibri"/>
          <w:sz w:val="22"/>
          <w:szCs w:val="22"/>
        </w:rPr>
        <w:t xml:space="preserve">1.  </w:t>
      </w:r>
      <w:r>
        <w:rPr>
          <w:rFonts w:ascii="Calibri" w:eastAsia="Calibri" w:hAnsi="Calibri" w:cs="Calibri"/>
          <w:sz w:val="22"/>
          <w:szCs w:val="22"/>
        </w:rPr>
        <w:t>The Kupiec test checks only how often exceedances happen, not whether they cluster (Christoffersen, 1998) or how large losses are beyond VaR.</w:t>
      </w:r>
    </w:p>
    <w:p w14:paraId="33F0F20F" w14:textId="77777777" w:rsidR="00BB6B8A" w:rsidRDefault="009C71CC">
      <w:pPr>
        <w:spacing w:after="30" w:line="252" w:lineRule="auto"/>
        <w:ind w:left="300" w:hanging="300"/>
        <w:jc w:val="both"/>
      </w:pPr>
      <w:r>
        <w:rPr>
          <w:rFonts w:ascii="Calibri" w:eastAsia="Calibri" w:hAnsi="Calibri" w:cs="Calibri"/>
          <w:sz w:val="22"/>
          <w:szCs w:val="22"/>
        </w:rPr>
        <w:t>2.  With about 41 expected exceedances, the test has limited power, so not rejecting a model does not prove it is correct.</w:t>
      </w:r>
    </w:p>
    <w:p w14:paraId="33F0F210" w14:textId="77777777" w:rsidR="00BB6B8A" w:rsidRDefault="009C71CC">
      <w:pPr>
        <w:spacing w:after="30" w:line="252" w:lineRule="auto"/>
        <w:ind w:left="300" w:hanging="300"/>
        <w:jc w:val="both"/>
      </w:pPr>
      <w:r>
        <w:rPr>
          <w:rFonts w:ascii="Calibri" w:eastAsia="Calibri" w:hAnsi="Calibri" w:cs="Calibri"/>
          <w:sz w:val="22"/>
          <w:szCs w:val="22"/>
        </w:rPr>
        <w:t>3.  The results cover one index, one test period, one window (250 days), and one confidence level.</w:t>
      </w:r>
    </w:p>
    <w:p w14:paraId="33F0F211" w14:textId="77777777" w:rsidR="00BB6B8A" w:rsidRDefault="009C71CC">
      <w:pPr>
        <w:spacing w:after="30" w:line="252" w:lineRule="auto"/>
        <w:ind w:left="300" w:hanging="300"/>
        <w:jc w:val="both"/>
      </w:pPr>
      <w:r>
        <w:rPr>
          <w:rFonts w:ascii="Calibri" w:eastAsia="Calibri" w:hAnsi="Calibri" w:cs="Calibri"/>
          <w:sz w:val="22"/>
          <w:szCs w:val="22"/>
        </w:rPr>
        <w:t>4.  The comparison of the two methods is descriptive. No formal test of their difference was done.</w:t>
      </w:r>
    </w:p>
    <w:p w14:paraId="33F0F212" w14:textId="77777777" w:rsidR="00BB6B8A" w:rsidRDefault="009C71CC">
      <w:pPr>
        <w:keepNext/>
        <w:spacing w:before="100" w:after="40"/>
      </w:pPr>
      <w:r>
        <w:rPr>
          <w:rFonts w:ascii="Calibri" w:eastAsia="Calibri" w:hAnsi="Calibri" w:cs="Calibri"/>
          <w:b/>
          <w:bCs/>
          <w:color w:val="1F3864"/>
          <w:sz w:val="23"/>
          <w:szCs w:val="23"/>
        </w:rPr>
        <w:t>Reproducibility</w:t>
      </w:r>
    </w:p>
    <w:p w14:paraId="33F0F213" w14:textId="77777777" w:rsidR="00BB6B8A" w:rsidRDefault="009C71CC">
      <w:pPr>
        <w:spacing w:after="60" w:line="252" w:lineRule="auto"/>
      </w:pPr>
      <w:r>
        <w:rPr>
          <w:rFonts w:ascii="Calibri" w:eastAsia="Calibri" w:hAnsi="Calibri" w:cs="Calibri"/>
          <w:sz w:val="22"/>
          <w:szCs w:val="22"/>
        </w:rPr>
        <w:t xml:space="preserve">Python 3.12.10, numpy 2.4.2, pandas 3.0.1, scipy 1.17.1 (pinned in </w:t>
      </w:r>
      <w:r>
        <w:rPr>
          <w:rFonts w:ascii="Consolas" w:eastAsia="Consolas" w:hAnsi="Consolas" w:cs="Consolas"/>
        </w:rPr>
        <w:t>requirements.txt</w:t>
      </w:r>
      <w:r>
        <w:rPr>
          <w:rFonts w:ascii="Calibri" w:eastAsia="Calibri" w:hAnsi="Calibri" w:cs="Calibri"/>
          <w:sz w:val="22"/>
          <w:szCs w:val="22"/>
        </w:rPr>
        <w:t>). Fixed settings: ticker ^NSEI, requested dates 1 January 2015 to 31 December 2025 (end date exclusive), train fraction 0.70, window 250, p = 0.05.</w:t>
      </w:r>
    </w:p>
    <w:p w14:paraId="33F0F214" w14:textId="77777777" w:rsidR="00BB6B8A" w:rsidRDefault="009C71CC">
      <w:pPr>
        <w:spacing w:after="60" w:line="252" w:lineRule="auto"/>
      </w:pPr>
      <w:r>
        <w:rPr>
          <w:rFonts w:ascii="Calibri" w:eastAsia="Calibri" w:hAnsi="Calibri" w:cs="Calibri"/>
          <w:sz w:val="22"/>
          <w:szCs w:val="22"/>
        </w:rPr>
        <w:t xml:space="preserve">Frozen input: </w:t>
      </w:r>
      <w:r>
        <w:rPr>
          <w:rFonts w:ascii="Consolas" w:eastAsia="Consolas" w:hAnsi="Consolas" w:cs="Consolas"/>
        </w:rPr>
        <w:t>nifty50_close_snapshot.csv</w:t>
      </w:r>
      <w:r>
        <w:rPr>
          <w:rFonts w:ascii="Calibri" w:eastAsia="Calibri" w:hAnsi="Calibri" w:cs="Calibri"/>
          <w:sz w:val="22"/>
          <w:szCs w:val="22"/>
        </w:rPr>
        <w:t xml:space="preserve"> — Yahoo Finance ^NSEI Close (unadjusted), downloaded 18 October 2026 (16:25 UTC) with yfinance 1.2.0 using the call above; 2,707 price rows (2 January 2015 to 30 December 2025). SHA-256: </w:t>
      </w:r>
      <w:r>
        <w:rPr>
          <w:rFonts w:ascii="Consolas" w:eastAsia="Consolas" w:hAnsi="Consolas" w:cs="Consolas"/>
        </w:rPr>
        <w:t>245aac3ab0d9e18bb5c7660048394e744223dd0b392d1c96676dc7c42fd81296</w:t>
      </w:r>
      <w:r>
        <w:rPr>
          <w:rFonts w:ascii="Calibri" w:eastAsia="Calibri" w:hAnsi="Calibri" w:cs="Calibri"/>
          <w:sz w:val="22"/>
          <w:szCs w:val="22"/>
        </w:rPr>
        <w:t>. Yahoo data can be revised, so the backtest is run only from this file.</w:t>
      </w:r>
    </w:p>
    <w:p w14:paraId="33F0F215" w14:textId="77777777" w:rsidR="00BB6B8A" w:rsidRDefault="009C71CC">
      <w:pPr>
        <w:keepNext/>
        <w:spacing w:after="60" w:line="252" w:lineRule="auto"/>
      </w:pPr>
      <w:r>
        <w:rPr>
          <w:rFonts w:ascii="Calibri" w:eastAsia="Calibri" w:hAnsi="Calibri" w:cs="Calibri"/>
          <w:sz w:val="22"/>
          <w:szCs w:val="22"/>
        </w:rPr>
        <w:t>To regenerate the results table from the frozen input, run in the folder containing the files:</w:t>
      </w:r>
    </w:p>
    <w:p w14:paraId="33F0F216" w14:textId="77777777" w:rsidR="00BB6B8A" w:rsidRDefault="009C71CC">
      <w:pPr>
        <w:keepNext/>
        <w:ind w:left="400"/>
      </w:pPr>
      <w:r>
        <w:rPr>
          <w:rFonts w:ascii="Consolas" w:eastAsia="Consolas" w:hAnsi="Consolas" w:cs="Consolas"/>
        </w:rPr>
        <w:t>pip install -r requirements.txt</w:t>
      </w:r>
    </w:p>
    <w:p w14:paraId="33F0F217" w14:textId="77777777" w:rsidR="00BB6B8A" w:rsidRDefault="009C71CC">
      <w:pPr>
        <w:keepNext/>
        <w:spacing w:after="60"/>
        <w:ind w:left="400"/>
      </w:pPr>
      <w:r>
        <w:rPr>
          <w:rFonts w:ascii="Consolas" w:eastAsia="Consolas" w:hAnsi="Consolas" w:cs="Consolas"/>
        </w:rPr>
        <w:t>python main.py</w:t>
      </w:r>
    </w:p>
    <w:p w14:paraId="33F0F218" w14:textId="77777777" w:rsidR="00BB6B8A" w:rsidRDefault="009C71CC">
      <w:pPr>
        <w:spacing w:after="60" w:line="252" w:lineRule="auto"/>
      </w:pPr>
      <w:r>
        <w:rPr>
          <w:rFonts w:ascii="Calibri" w:eastAsia="Calibri" w:hAnsi="Calibri" w:cs="Calibri"/>
          <w:sz w:val="22"/>
          <w:szCs w:val="22"/>
        </w:rPr>
        <w:t>The script reads only this file and prints its SHA-256 checksum, which should match the value above. It then prints the dates, diagnostics and the table above.</w:t>
      </w:r>
    </w:p>
    <w:p w14:paraId="33F0F219" w14:textId="77777777" w:rsidR="00BB6B8A" w:rsidRDefault="009C71CC">
      <w:pPr>
        <w:keepNext/>
        <w:spacing w:before="100" w:after="40"/>
      </w:pPr>
      <w:r>
        <w:rPr>
          <w:rFonts w:ascii="Calibri" w:eastAsia="Calibri" w:hAnsi="Calibri" w:cs="Calibri"/>
          <w:b/>
          <w:bCs/>
          <w:color w:val="1F3864"/>
          <w:sz w:val="23"/>
          <w:szCs w:val="23"/>
        </w:rPr>
        <w:t>References</w:t>
      </w:r>
    </w:p>
    <w:p w14:paraId="33F0F21A" w14:textId="77777777" w:rsidR="00BB6B8A" w:rsidRDefault="009C71CC">
      <w:pPr>
        <w:spacing w:after="20"/>
        <w:ind w:left="300" w:hanging="300"/>
      </w:pPr>
      <w:r>
        <w:rPr>
          <w:rFonts w:ascii="Calibri" w:eastAsia="Calibri" w:hAnsi="Calibri" w:cs="Calibri"/>
          <w:sz w:val="22"/>
          <w:szCs w:val="22"/>
        </w:rPr>
        <w:t xml:space="preserve">Christoffersen, P. F. (1998). Evaluating interval forecasts. </w:t>
      </w:r>
      <w:r>
        <w:rPr>
          <w:rFonts w:ascii="Calibri" w:eastAsia="Calibri" w:hAnsi="Calibri" w:cs="Calibri"/>
          <w:i/>
          <w:iCs/>
          <w:sz w:val="22"/>
          <w:szCs w:val="22"/>
        </w:rPr>
        <w:t>International Economic Review</w:t>
      </w:r>
      <w:r>
        <w:rPr>
          <w:rFonts w:ascii="Calibri" w:eastAsia="Calibri" w:hAnsi="Calibri" w:cs="Calibri"/>
          <w:sz w:val="22"/>
          <w:szCs w:val="22"/>
        </w:rPr>
        <w:t>, 39(4), 841–862.</w:t>
      </w:r>
    </w:p>
    <w:p w14:paraId="33F0F21B" w14:textId="77777777" w:rsidR="00BB6B8A" w:rsidRDefault="009C71CC">
      <w:pPr>
        <w:spacing w:after="20"/>
        <w:ind w:left="300" w:hanging="300"/>
      </w:pPr>
      <w:r>
        <w:rPr>
          <w:rFonts w:ascii="Calibri" w:eastAsia="Calibri" w:hAnsi="Calibri" w:cs="Calibri"/>
          <w:sz w:val="22"/>
          <w:szCs w:val="22"/>
        </w:rPr>
        <w:t xml:space="preserve">Hyndman, R. J., &amp; Fan, Y. (1996). Sample quantiles in statistical packages. </w:t>
      </w:r>
      <w:r>
        <w:rPr>
          <w:rFonts w:ascii="Calibri" w:eastAsia="Calibri" w:hAnsi="Calibri" w:cs="Calibri"/>
          <w:i/>
          <w:iCs/>
          <w:sz w:val="22"/>
          <w:szCs w:val="22"/>
        </w:rPr>
        <w:t>The American Statistician</w:t>
      </w:r>
      <w:r>
        <w:rPr>
          <w:rFonts w:ascii="Calibri" w:eastAsia="Calibri" w:hAnsi="Calibri" w:cs="Calibri"/>
          <w:sz w:val="22"/>
          <w:szCs w:val="22"/>
        </w:rPr>
        <w:t>, 50(4), 361–365.</w:t>
      </w:r>
    </w:p>
    <w:p w14:paraId="33F0F21C" w14:textId="77777777" w:rsidR="00BB6B8A" w:rsidRDefault="009C71CC">
      <w:pPr>
        <w:spacing w:after="20"/>
        <w:ind w:left="300" w:hanging="300"/>
      </w:pPr>
      <w:r>
        <w:rPr>
          <w:rFonts w:ascii="Calibri" w:eastAsia="Calibri" w:hAnsi="Calibri" w:cs="Calibri"/>
          <w:sz w:val="22"/>
          <w:szCs w:val="22"/>
        </w:rPr>
        <w:t xml:space="preserve">Jarque, C. M., &amp; Bera, A. K. (1987). A test for normality of observations and regression residuals. </w:t>
      </w:r>
      <w:r>
        <w:rPr>
          <w:rFonts w:ascii="Calibri" w:eastAsia="Calibri" w:hAnsi="Calibri" w:cs="Calibri"/>
          <w:i/>
          <w:iCs/>
          <w:sz w:val="22"/>
          <w:szCs w:val="22"/>
        </w:rPr>
        <w:t>International Statistical Review</w:t>
      </w:r>
      <w:r>
        <w:rPr>
          <w:rFonts w:ascii="Calibri" w:eastAsia="Calibri" w:hAnsi="Calibri" w:cs="Calibri"/>
          <w:sz w:val="22"/>
          <w:szCs w:val="22"/>
        </w:rPr>
        <w:t>, 55(2), 163–172.</w:t>
      </w:r>
    </w:p>
    <w:p w14:paraId="33F0F21D" w14:textId="77777777" w:rsidR="00BB6B8A" w:rsidRDefault="009C71CC">
      <w:pPr>
        <w:spacing w:after="20"/>
        <w:ind w:left="300" w:hanging="300"/>
      </w:pPr>
      <w:r>
        <w:rPr>
          <w:rFonts w:ascii="Calibri" w:eastAsia="Calibri" w:hAnsi="Calibri" w:cs="Calibri"/>
          <w:sz w:val="22"/>
          <w:szCs w:val="22"/>
        </w:rPr>
        <w:t xml:space="preserve">Jorion, P. </w:t>
      </w:r>
      <w:r>
        <w:rPr>
          <w:rFonts w:ascii="Calibri" w:eastAsia="Calibri" w:hAnsi="Calibri" w:cs="Calibri"/>
          <w:i/>
          <w:iCs/>
          <w:sz w:val="22"/>
          <w:szCs w:val="22"/>
        </w:rPr>
        <w:t>Value at Risk: The New Benchmark for Managing Financial Risk</w:t>
      </w:r>
      <w:r>
        <w:rPr>
          <w:rFonts w:ascii="Calibri" w:eastAsia="Calibri" w:hAnsi="Calibri" w:cs="Calibri"/>
          <w:sz w:val="22"/>
          <w:szCs w:val="22"/>
        </w:rPr>
        <w:t>. McGraw-Hill.</w:t>
      </w:r>
    </w:p>
    <w:p w14:paraId="33F0F21E" w14:textId="77777777" w:rsidR="00BB6B8A" w:rsidRDefault="009C71CC">
      <w:pPr>
        <w:spacing w:after="20"/>
        <w:ind w:left="300" w:hanging="300"/>
      </w:pPr>
      <w:r>
        <w:rPr>
          <w:rFonts w:ascii="Calibri" w:eastAsia="Calibri" w:hAnsi="Calibri" w:cs="Calibri"/>
          <w:sz w:val="22"/>
          <w:szCs w:val="22"/>
        </w:rPr>
        <w:t xml:space="preserve">Kupiec, P. H. (1995). Techniques for verifying the accuracy of risk measurement models. </w:t>
      </w:r>
      <w:r>
        <w:rPr>
          <w:rFonts w:ascii="Calibri" w:eastAsia="Calibri" w:hAnsi="Calibri" w:cs="Calibri"/>
          <w:i/>
          <w:iCs/>
          <w:sz w:val="22"/>
          <w:szCs w:val="22"/>
        </w:rPr>
        <w:t>Journal of Derivatives</w:t>
      </w:r>
      <w:r>
        <w:rPr>
          <w:rFonts w:ascii="Calibri" w:eastAsia="Calibri" w:hAnsi="Calibri" w:cs="Calibri"/>
          <w:sz w:val="22"/>
          <w:szCs w:val="22"/>
        </w:rPr>
        <w:t>, 3(2), 73–84.</w:t>
      </w:r>
    </w:p>
    <w:p w14:paraId="33F0F21F" w14:textId="77777777" w:rsidR="00BB6B8A" w:rsidRDefault="009C71CC">
      <w:pPr>
        <w:spacing w:after="20"/>
        <w:ind w:left="300" w:hanging="300"/>
      </w:pPr>
      <w:r>
        <w:rPr>
          <w:rFonts w:ascii="Calibri" w:eastAsia="Calibri" w:hAnsi="Calibri" w:cs="Calibri"/>
          <w:sz w:val="22"/>
          <w:szCs w:val="22"/>
        </w:rPr>
        <w:t xml:space="preserve">J.P. Morgan (1996). </w:t>
      </w:r>
      <w:r>
        <w:rPr>
          <w:rFonts w:ascii="Calibri" w:eastAsia="Calibri" w:hAnsi="Calibri" w:cs="Calibri"/>
          <w:i/>
          <w:iCs/>
          <w:sz w:val="22"/>
          <w:szCs w:val="22"/>
        </w:rPr>
        <w:t>RiskMetrics Technical Document</w:t>
      </w:r>
      <w:r>
        <w:rPr>
          <w:rFonts w:ascii="Calibri" w:eastAsia="Calibri" w:hAnsi="Calibri" w:cs="Calibri"/>
          <w:sz w:val="22"/>
          <w:szCs w:val="22"/>
        </w:rPr>
        <w:t xml:space="preserve"> (4th edition).</w:t>
      </w:r>
    </w:p>
    <w:sectPr w:rsidR="00BB6B8A">
      <w:pgSz w:w="11906" w:h="16838"/>
      <w:pgMar w:top="1020" w:right="1134" w:bottom="102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B60DD"/>
    <w:multiLevelType w:val="hybridMultilevel"/>
    <w:tmpl w:val="C764EBE2"/>
    <w:lvl w:ilvl="0" w:tplc="CED0C226">
      <w:start w:val="1"/>
      <w:numFmt w:val="bullet"/>
      <w:lvlText w:val="●"/>
      <w:lvlJc w:val="left"/>
      <w:pPr>
        <w:ind w:left="720" w:hanging="360"/>
      </w:pPr>
    </w:lvl>
    <w:lvl w:ilvl="1" w:tplc="ACD60B84">
      <w:start w:val="1"/>
      <w:numFmt w:val="bullet"/>
      <w:lvlText w:val="○"/>
      <w:lvlJc w:val="left"/>
      <w:pPr>
        <w:ind w:left="1440" w:hanging="360"/>
      </w:pPr>
    </w:lvl>
    <w:lvl w:ilvl="2" w:tplc="2B6C5406">
      <w:start w:val="1"/>
      <w:numFmt w:val="bullet"/>
      <w:lvlText w:val="■"/>
      <w:lvlJc w:val="left"/>
      <w:pPr>
        <w:ind w:left="2160" w:hanging="360"/>
      </w:pPr>
    </w:lvl>
    <w:lvl w:ilvl="3" w:tplc="BFF6D632">
      <w:start w:val="1"/>
      <w:numFmt w:val="bullet"/>
      <w:lvlText w:val="●"/>
      <w:lvlJc w:val="left"/>
      <w:pPr>
        <w:ind w:left="2880" w:hanging="360"/>
      </w:pPr>
    </w:lvl>
    <w:lvl w:ilvl="4" w:tplc="F2A2CEDC">
      <w:start w:val="1"/>
      <w:numFmt w:val="bullet"/>
      <w:lvlText w:val="○"/>
      <w:lvlJc w:val="left"/>
      <w:pPr>
        <w:ind w:left="3600" w:hanging="360"/>
      </w:pPr>
    </w:lvl>
    <w:lvl w:ilvl="5" w:tplc="69648514">
      <w:start w:val="1"/>
      <w:numFmt w:val="bullet"/>
      <w:lvlText w:val="■"/>
      <w:lvlJc w:val="left"/>
      <w:pPr>
        <w:ind w:left="4320" w:hanging="360"/>
      </w:pPr>
    </w:lvl>
    <w:lvl w:ilvl="6" w:tplc="E9D660A6">
      <w:start w:val="1"/>
      <w:numFmt w:val="bullet"/>
      <w:lvlText w:val="●"/>
      <w:lvlJc w:val="left"/>
      <w:pPr>
        <w:ind w:left="5040" w:hanging="360"/>
      </w:pPr>
    </w:lvl>
    <w:lvl w:ilvl="7" w:tplc="3A540760">
      <w:start w:val="1"/>
      <w:numFmt w:val="bullet"/>
      <w:lvlText w:val="●"/>
      <w:lvlJc w:val="left"/>
      <w:pPr>
        <w:ind w:left="5760" w:hanging="360"/>
      </w:pPr>
    </w:lvl>
    <w:lvl w:ilvl="8" w:tplc="6874BAC0">
      <w:start w:val="1"/>
      <w:numFmt w:val="bullet"/>
      <w:lvlText w:val="●"/>
      <w:lvlJc w:val="left"/>
      <w:pPr>
        <w:ind w:left="6480" w:hanging="360"/>
      </w:pPr>
    </w:lvl>
  </w:abstractNum>
  <w:num w:numId="1" w16cid:durableId="1718392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B8A"/>
    <w:rsid w:val="002B105A"/>
    <w:rsid w:val="009C71CC"/>
    <w:rsid w:val="00BB6B8A"/>
    <w:rsid w:val="00E36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0F1E2"/>
  <w15:docId w15:val="{A54EDB00-C383-442A-8D67-776804FC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942</Words>
  <Characters>5374</Characters>
  <Application>Microsoft Office Word</Application>
  <DocSecurity>0</DocSecurity>
  <Lines>44</Lines>
  <Paragraphs>12</Paragraphs>
  <ScaleCrop>false</ScaleCrop>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Backtesting One-Day-Ahead 95% VaR for Nifty 50</dc:title>
  <dc:creator>Sudeep Mukunda Krishna Gangula</dc:creator>
  <cp:lastModifiedBy>Sudeep Mukunda Krishna Gangula</cp:lastModifiedBy>
  <cp:revision>2</cp:revision>
  <dcterms:created xsi:type="dcterms:W3CDTF">2026-10-18T16:53:00Z</dcterms:created>
  <dcterms:modified xsi:type="dcterms:W3CDTF">2026-10-18T16:59:00Z</dcterms:modified>
</cp:coreProperties>
</file>