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Week 04: Transformers without heavy mathematics</w:t>
      </w:r>
    </w:p>
    <w:p>
      <w:pPr>
        <w:keepLines/>
      </w:pPr>
      <w:r>
        <w:t>Generative AI | MSc teaching notes and further reading | 2027</w:t>
      </w:r>
    </w:p>
    <w:p>
      <w:pPr>
        <w:pStyle w:val="Heading1"/>
        <w:keepLines/>
      </w:pPr>
      <w:r>
        <w:t>Learning target</w:t>
      </w:r>
    </w:p>
    <w:p>
      <w:pPr>
        <w:keepLines/>
      </w:pPr>
      <w:r>
        <w:t>Explain tokens, attention weights, masking and model roles.</w:t>
      </w:r>
    </w:p>
    <w:p>
      <w:pPr>
        <w:pStyle w:val="Heading1"/>
        <w:keepLines/>
      </w:pPr>
      <w:r>
        <w:t>Context and teaching plan</w:t>
      </w:r>
    </w:p>
    <w:p>
      <w:pPr>
        <w:keepLines/>
      </w:pPr>
      <w:r>
        <w:t>A document assistant must choose what earlier words matter when drafting a sentence.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Contact time</w:t>
            </w:r>
          </w:p>
        </w:tc>
        <w:tc>
          <w:tcPr>
            <w:tcW w:type="dxa" w:w="4882"/>
          </w:tcPr>
          <w:p>
            <w:r>
              <w:t>Suggested use</w:t>
            </w:r>
          </w:p>
        </w:tc>
      </w:tr>
      <w:tr>
        <w:tc>
          <w:tcPr>
            <w:tcW w:type="dxa" w:w="4882"/>
          </w:tcPr>
          <w:p>
            <w:r>
              <w:t>Two hours: concepts</w:t>
            </w:r>
          </w:p>
        </w:tc>
        <w:tc>
          <w:tcPr>
            <w:tcW w:type="dxa" w:w="4882"/>
          </w:tcPr>
          <w:p>
            <w:r>
              <w:t>Case introduction, four ideas, worked example and misconception.</w:t>
            </w:r>
          </w:p>
        </w:tc>
      </w:tr>
      <w:tr>
        <w:tc>
          <w:tcPr>
            <w:tcW w:type="dxa" w:w="4882"/>
          </w:tcPr>
          <w:p>
            <w:r>
              <w:t>Two hours: practice</w:t>
            </w:r>
          </w:p>
        </w:tc>
        <w:tc>
          <w:tcPr>
            <w:tcW w:type="dxa" w:w="4882"/>
          </w:tcPr>
          <w:p>
            <w:r>
              <w:t>10 min recall, 20 min demo, 40 min guided practice, 25 min independent change, 15 min review, 10 min exit check.</w:t>
            </w:r>
          </w:p>
        </w:tc>
      </w:tr>
    </w:tbl>
    <w:p>
      <w:pPr>
        <w:pStyle w:val="Heading1"/>
        <w:keepLines/>
      </w:pPr>
      <w:r>
        <w:t>Explain the key ideas</w:t>
      </w:r>
    </w:p>
    <w:p>
      <w:pPr>
        <w:pStyle w:val="Heading2"/>
        <w:keepLines/>
      </w:pPr>
      <w:r>
        <w:t>Token</w:t>
      </w:r>
    </w:p>
    <w:p>
      <w:pPr>
        <w:keepLines/>
      </w:pPr>
      <w:r>
        <w:t>A model processes pieces of text represented as IDs. A word may use more than one token.</w:t>
      </w:r>
    </w:p>
    <w:p>
      <w:pPr>
        <w:keepLines/>
      </w:pPr>
      <w:r>
        <w:t>Teacher question: Where does token appear in the weekly case, and what could go wrong if we omit it?</w:t>
      </w:r>
    </w:p>
    <w:p>
      <w:pPr>
        <w:pStyle w:val="Heading2"/>
        <w:keepLines/>
      </w:pPr>
      <w:r>
        <w:t>Attention</w:t>
      </w:r>
    </w:p>
    <w:p>
      <w:pPr>
        <w:keepLines/>
      </w:pPr>
      <w:r>
        <w:t>Each query uses scores to weight available tokens; the weighted combination carries contextual information.</w:t>
      </w:r>
    </w:p>
    <w:p>
      <w:pPr>
        <w:keepLines/>
      </w:pPr>
      <w:r>
        <w:t>Teacher question: Where does attention appear in the weekly case, and what could go wrong if we omit it?</w:t>
      </w:r>
    </w:p>
    <w:p>
      <w:pPr>
        <w:pStyle w:val="Heading2"/>
        <w:keepLines/>
      </w:pPr>
      <w:r>
        <w:t>Mask</w:t>
      </w:r>
    </w:p>
    <w:p>
      <w:pPr>
        <w:keepLines/>
      </w:pPr>
      <w:r>
        <w:t>A decoder mask prevents a token from using future tokens while generating left to right.</w:t>
      </w:r>
    </w:p>
    <w:p>
      <w:pPr>
        <w:keepLines/>
      </w:pPr>
      <w:r>
        <w:t>Teacher question: Where does mask appear in the weekly case, and what could go wrong if we omit it?</w:t>
      </w:r>
    </w:p>
    <w:p>
      <w:pPr>
        <w:pStyle w:val="Heading2"/>
        <w:keepLines/>
      </w:pPr>
      <w:r>
        <w:t>Model roles</w:t>
      </w:r>
    </w:p>
    <w:p>
      <w:pPr>
        <w:keepLines/>
      </w:pPr>
      <w:r>
        <w:t>Encoders read inputs; decoders generate; encoder-decoder models read then generate from a separate component.</w:t>
      </w:r>
    </w:p>
    <w:p>
      <w:pPr>
        <w:keepLines/>
      </w:pPr>
      <w:r>
        <w:t>Teacher question: Where does model roles appear in the weekly case, and what could go wrong if we omit it?</w:t>
      </w:r>
    </w:p>
    <w:p>
      <w:pPr>
        <w:pStyle w:val="Heading1"/>
        <w:keepLines/>
      </w:pPr>
      <w:r>
        <w:t>Worked example and answer guide</w:t>
      </w:r>
    </w:p>
    <w:p>
      <w:pPr>
        <w:pStyle w:val="ListBullet"/>
        <w:keepLines/>
      </w:pPr>
      <w:r>
        <w:t>Input: Scores for three tokens: 1, 2, 0.</w:t>
      </w:r>
    </w:p>
    <w:p>
      <w:pPr>
        <w:pStyle w:val="ListBullet"/>
        <w:keepLines/>
      </w:pPr>
      <w:r>
        <w:t>Change or question: Softmax weights approximately 0.245, 0.665, 0.090.</w:t>
      </w:r>
    </w:p>
    <w:p>
      <w:pPr>
        <w:pStyle w:val="ListBullet"/>
        <w:keepLines/>
      </w:pPr>
      <w:r>
        <w:t>Supported observation: If the third token is future text, its masked weight becomes 0.</w:t>
      </w:r>
    </w:p>
    <w:p>
      <w:pPr>
        <w:keepLines/>
      </w:pPr>
      <w:r>
        <w:t>Reasoning: state the given evidence first, then the calculation or rule, then the conclusion. If a value is absent, say what cannot be concluded. Keep any simulated mechanism distinct from a trained model or deployed service.</w:t>
      </w:r>
    </w:p>
    <w:p>
      <w:pPr>
        <w:pStyle w:val="Title"/>
        <w:keepLines/>
      </w:pPr>
      <w:r>
        <w:t>Teach the week as a story</w:t>
      </w:r>
    </w:p>
    <w:p>
      <w:pPr>
        <w:keepLines/>
      </w:pPr>
      <w:r>
        <w:t>The confusing sentence: In “Ava told Bea that she won,” which earlier word does “she” refer to? A model must use context, yet ambiguity can remain.</w:t>
      </w:r>
    </w:p>
    <w:p>
      <w:pPr>
        <w:keepLines/>
      </w:pPr>
      <w:r>
        <w:t>Ask for a quick prediction before each technical explanation. Return to the prediction after the example and ask what evidence changed the answer. The analogies below are memory aids, and each has a stated limit.</w:t>
      </w:r>
    </w:p>
    <w:p>
      <w:pPr>
        <w:pStyle w:val="Heading1"/>
        <w:keepLines/>
      </w:pPr>
      <w:r>
        <w:t>Token: analogy, mechanism and check</w:t>
      </w:r>
    </w:p>
    <w:p>
      <w:pPr>
        <w:keepLines/>
      </w:pPr>
      <w:r>
        <w:t>Familiar picture: A sentence is cut into tiles before a game reads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Sentence</w:t>
            </w:r>
          </w:p>
        </w:tc>
        <w:tc>
          <w:tcPr>
            <w:tcW w:type="dxa" w:w="4882"/>
          </w:tcPr>
          <w:p>
            <w:r>
              <w:t>input string</w:t>
            </w:r>
          </w:p>
        </w:tc>
      </w:tr>
      <w:tr>
        <w:tc>
          <w:tcPr>
            <w:tcW w:type="dxa" w:w="4882"/>
          </w:tcPr>
          <w:p>
            <w:r>
              <w:t>Tiles</w:t>
            </w:r>
          </w:p>
        </w:tc>
        <w:tc>
          <w:tcPr>
            <w:tcW w:type="dxa" w:w="4882"/>
          </w:tcPr>
          <w:p>
            <w:r>
              <w:t>tokens</w:t>
            </w:r>
          </w:p>
        </w:tc>
      </w:tr>
      <w:tr>
        <w:tc>
          <w:tcPr>
            <w:tcW w:type="dxa" w:w="4882"/>
          </w:tcPr>
          <w:p>
            <w:r>
              <w:t>Tile numbers</w:t>
            </w:r>
          </w:p>
        </w:tc>
        <w:tc>
          <w:tcPr>
            <w:tcW w:type="dxa" w:w="4882"/>
          </w:tcPr>
          <w:p>
            <w:r>
              <w:t>IDs</w:t>
            </w:r>
          </w:p>
        </w:tc>
      </w:tr>
    </w:tbl>
    <w:p>
      <w:pPr>
        <w:keepLines/>
      </w:pPr>
      <w:r>
        <w:t>Where this analogy breaks: Token pieces need not be complete words; the vocabulary is model-specific.</w:t>
      </w:r>
    </w:p>
    <w:p>
      <w:pPr>
        <w:keepLines/>
      </w:pPr>
      <w:r>
        <w:t>Actual idea: A model processes pieces of text represented as IDs. A word may use more than one token.</w:t>
      </w:r>
    </w:p>
    <w:p>
      <w:pPr>
        <w:keepLines/>
      </w:pPr>
      <w:r>
        <w:t>Work it aloud: “unbelievable” might be one piece or several; record the tokenizer used before counting.</w:t>
      </w:r>
    </w:p>
    <w:p>
      <w:pPr>
        <w:keepLines/>
      </w:pPr>
      <w:r>
        <w:t>Ask before revealing: Why can word count differ from token count?</w:t>
      </w:r>
    </w:p>
    <w:p>
      <w:pPr>
        <w:keepLines/>
      </w:pPr>
      <w:r>
        <w:t>Supported response: A tokenizer may split a word into several pieces.</w:t>
      </w:r>
    </w:p>
    <w:p>
      <w:pPr>
        <w:keepLines/>
      </w:pPr>
      <w:r>
        <w:t>Look for this misconception: One word always equals one token.</w:t>
      </w:r>
    </w:p>
    <w:p>
      <w:pPr>
        <w:pStyle w:val="Heading1"/>
        <w:keepLines/>
      </w:pPr>
      <w:r>
        <w:t>Attention: analogy, mechanism and check</w:t>
      </w:r>
    </w:p>
    <w:p>
      <w:pPr>
        <w:keepLines/>
      </w:pPr>
      <w:r>
        <w:t>Familiar picture: A reader highlights earlier words that matter to the current word.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Current word</w:t>
            </w:r>
          </w:p>
        </w:tc>
        <w:tc>
          <w:tcPr>
            <w:tcW w:type="dxa" w:w="4882"/>
          </w:tcPr>
          <w:p>
            <w:r>
              <w:t>query</w:t>
            </w:r>
          </w:p>
        </w:tc>
      </w:tr>
      <w:tr>
        <w:tc>
          <w:tcPr>
            <w:tcW w:type="dxa" w:w="4882"/>
          </w:tcPr>
          <w:p>
            <w:r>
              <w:t>Highlight strength</w:t>
            </w:r>
          </w:p>
        </w:tc>
        <w:tc>
          <w:tcPr>
            <w:tcW w:type="dxa" w:w="4882"/>
          </w:tcPr>
          <w:p>
            <w:r>
              <w:t>attention weight</w:t>
            </w:r>
          </w:p>
        </w:tc>
      </w:tr>
      <w:tr>
        <w:tc>
          <w:tcPr>
            <w:tcW w:type="dxa" w:w="4882"/>
          </w:tcPr>
          <w:p>
            <w:r>
              <w:t>Notes</w:t>
            </w:r>
          </w:p>
        </w:tc>
        <w:tc>
          <w:tcPr>
            <w:tcW w:type="dxa" w:w="4882"/>
          </w:tcPr>
          <w:p>
            <w:r>
              <w:t>weighted context</w:t>
            </w:r>
          </w:p>
        </w:tc>
      </w:tr>
    </w:tbl>
    <w:p>
      <w:pPr>
        <w:keepLines/>
      </w:pPr>
      <w:r>
        <w:t>Where this analogy breaks: Attention weights alone are not a complete explanation of model decisions.</w:t>
      </w:r>
    </w:p>
    <w:p>
      <w:pPr>
        <w:keepLines/>
      </w:pPr>
      <w:r>
        <w:t>Actual idea: Each query uses scores to weight available tokens; the weighted combination carries contextual information.</w:t>
      </w:r>
    </w:p>
    <w:p>
      <w:pPr>
        <w:keepLines/>
      </w:pPr>
      <w:r>
        <w:t>Work it aloud: Scores [1,2,0] yield about [0.245,0.665,0.090]; the middle token gets most weight.</w:t>
      </w:r>
    </w:p>
    <w:p>
      <w:pPr>
        <w:keepLines/>
      </w:pPr>
      <w:r>
        <w:t>Ask before revealing: Do weights identify a proven causal explanation?</w:t>
      </w:r>
    </w:p>
    <w:p>
      <w:pPr>
        <w:keepLines/>
      </w:pPr>
      <w:r>
        <w:t>Supported response: No. They show one computation, not the whole model’s reason.</w:t>
      </w:r>
    </w:p>
    <w:p>
      <w:pPr>
        <w:keepLines/>
      </w:pPr>
      <w:r>
        <w:t>Look for this misconception: The largest attention cell proves the final answer.</w:t>
      </w:r>
    </w:p>
    <w:p>
      <w:pPr>
        <w:pStyle w:val="Heading1"/>
        <w:keepLines/>
      </w:pPr>
      <w:r>
        <w:t>Mask: analogy, mechanism and check</w:t>
      </w:r>
    </w:p>
    <w:p>
      <w:pPr>
        <w:keepLines/>
      </w:pPr>
      <w:r>
        <w:t>Familiar picture: An exam candidate may consult earlier pages, not tomorrow’s answer sheet.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Earlier page</w:t>
            </w:r>
          </w:p>
        </w:tc>
        <w:tc>
          <w:tcPr>
            <w:tcW w:type="dxa" w:w="4882"/>
          </w:tcPr>
          <w:p>
            <w:r>
              <w:t>past token</w:t>
            </w:r>
          </w:p>
        </w:tc>
      </w:tr>
      <w:tr>
        <w:tc>
          <w:tcPr>
            <w:tcW w:type="dxa" w:w="4882"/>
          </w:tcPr>
          <w:p>
            <w:r>
              <w:t>Covered page</w:t>
            </w:r>
          </w:p>
        </w:tc>
        <w:tc>
          <w:tcPr>
            <w:tcW w:type="dxa" w:w="4882"/>
          </w:tcPr>
          <w:p>
            <w:r>
              <w:t>masked future token</w:t>
            </w:r>
          </w:p>
        </w:tc>
      </w:tr>
      <w:tr>
        <w:tc>
          <w:tcPr>
            <w:tcW w:type="dxa" w:w="4882"/>
          </w:tcPr>
          <w:p>
            <w:r>
              <w:t>Allowed view</w:t>
            </w:r>
          </w:p>
        </w:tc>
        <w:tc>
          <w:tcPr>
            <w:tcW w:type="dxa" w:w="4882"/>
          </w:tcPr>
          <w:p>
            <w:r>
              <w:t>causal context</w:t>
            </w:r>
          </w:p>
        </w:tc>
      </w:tr>
    </w:tbl>
    <w:p>
      <w:pPr>
        <w:keepLines/>
      </w:pPr>
      <w:r>
        <w:t>Where this analogy breaks: A mask is an enforced attention constraint; it does not ensure factual accuracy.</w:t>
      </w:r>
    </w:p>
    <w:p>
      <w:pPr>
        <w:keepLines/>
      </w:pPr>
      <w:r>
        <w:t>Actual idea: A decoder mask prevents a token from using future tokens while generating left to right.</w:t>
      </w:r>
    </w:p>
    <w:p>
      <w:pPr>
        <w:keepLines/>
      </w:pPr>
      <w:r>
        <w:t>Work it aloud: Mask the third of three scores [1,2,0]; renormalised weights are about [0.269,0.731,0].</w:t>
      </w:r>
    </w:p>
    <w:p>
      <w:pPr>
        <w:keepLines/>
      </w:pPr>
      <w:r>
        <w:t>Ask before revealing: What happens to the forbidden position?</w:t>
      </w:r>
    </w:p>
    <w:p>
      <w:pPr>
        <w:keepLines/>
      </w:pPr>
      <w:r>
        <w:t>Supported response: Its weight is zero; visible positions are renormalised.</w:t>
      </w:r>
    </w:p>
    <w:p>
      <w:pPr>
        <w:keepLines/>
      </w:pPr>
      <w:r>
        <w:t>Look for this misconception: Masking deletes a token from the vocabulary.</w:t>
      </w:r>
    </w:p>
    <w:p>
      <w:pPr>
        <w:pStyle w:val="Heading1"/>
        <w:keepLines/>
      </w:pPr>
      <w:r>
        <w:t>Model roles: analogy, mechanism and check</w:t>
      </w:r>
    </w:p>
    <w:p>
      <w:pPr>
        <w:keepLines/>
      </w:pPr>
      <w:r>
        <w:t>Familiar picture: A reader, a writer, and a reader-writer have different jobs.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Reader</w:t>
            </w:r>
          </w:p>
        </w:tc>
        <w:tc>
          <w:tcPr>
            <w:tcW w:type="dxa" w:w="4882"/>
          </w:tcPr>
          <w:p>
            <w:r>
              <w:t>encoder</w:t>
            </w:r>
          </w:p>
        </w:tc>
      </w:tr>
      <w:tr>
        <w:tc>
          <w:tcPr>
            <w:tcW w:type="dxa" w:w="4882"/>
          </w:tcPr>
          <w:p>
            <w:r>
              <w:t>Writer</w:t>
            </w:r>
          </w:p>
        </w:tc>
        <w:tc>
          <w:tcPr>
            <w:tcW w:type="dxa" w:w="4882"/>
          </w:tcPr>
          <w:p>
            <w:r>
              <w:t>decoder</w:t>
            </w:r>
          </w:p>
        </w:tc>
      </w:tr>
      <w:tr>
        <w:tc>
          <w:tcPr>
            <w:tcW w:type="dxa" w:w="4882"/>
          </w:tcPr>
          <w:p>
            <w:r>
              <w:t>Read and write</w:t>
            </w:r>
          </w:p>
        </w:tc>
        <w:tc>
          <w:tcPr>
            <w:tcW w:type="dxa" w:w="4882"/>
          </w:tcPr>
          <w:p>
            <w:r>
              <w:t>encoder–decoder</w:t>
            </w:r>
          </w:p>
        </w:tc>
      </w:tr>
    </w:tbl>
    <w:p>
      <w:pPr>
        <w:keepLines/>
      </w:pPr>
      <w:r>
        <w:t>Where this analogy breaks: Many current systems combine components; this is a useful role sketch, not a full taxonomy.</w:t>
      </w:r>
    </w:p>
    <w:p>
      <w:pPr>
        <w:keepLines/>
      </w:pPr>
      <w:r>
        <w:t>Actual idea: Encoders read inputs; decoders generate; encoder-decoder models read then generate from a separate component.</w:t>
      </w:r>
    </w:p>
    <w:p>
      <w:pPr>
        <w:keepLines/>
      </w:pPr>
      <w:r>
        <w:t>Work it aloud: Classify a sentence: encoder. Continue it: decoder. Translate it: encoder–decoder.</w:t>
      </w:r>
    </w:p>
    <w:p>
      <w:pPr>
        <w:keepLines/>
      </w:pPr>
      <w:r>
        <w:t>Ask before revealing: Which role suits translation in this simplified comparison?</w:t>
      </w:r>
    </w:p>
    <w:p>
      <w:pPr>
        <w:keepLines/>
      </w:pPr>
      <w:r>
        <w:t>Supported response: An encoder reads source text and a decoder writes target text.</w:t>
      </w:r>
    </w:p>
    <w:p>
      <w:pPr>
        <w:keepLines/>
      </w:pPr>
      <w:r>
        <w:t>Look for this misconception: An encoder always generates the final long reply.</w:t>
      </w:r>
    </w:p>
    <w:p>
      <w:pPr>
        <w:pStyle w:val="Heading1"/>
        <w:keepLines/>
      </w:pPr>
      <w:r>
        <w:t>New situation for discussion</w:t>
      </w:r>
    </w:p>
    <w:p>
      <w:pPr>
        <w:keepLines/>
      </w:pPr>
      <w:r>
        <w:t>A drafting decoder has the next word hidden. What happens to that column in its attention grid?</w:t>
      </w:r>
    </w:p>
    <w:p>
      <w:pPr>
        <w:keepLines/>
      </w:pPr>
      <w:r>
        <w:t>Memory cue: Tokenise, score visible context, and choose the model role for reading or writing.</w:t>
      </w:r>
    </w:p>
    <w:p>
      <w:pPr>
        <w:pStyle w:val="Heading1"/>
        <w:keepLines/>
      </w:pPr>
      <w:r>
        <w:t>Guided laboratory</w:t>
      </w:r>
    </w:p>
    <w:p>
      <w:pPr>
        <w:keepLines/>
      </w:pPr>
      <w:r>
        <w:t>Compute attention for three tokens and explain one mask.</w:t>
      </w:r>
    </w:p>
    <w:p>
      <w:pPr>
        <w:keepLines/>
      </w:pPr>
      <w:r>
        <w:t>1. Tokenize a tiny three-word classroom example</w:t>
      </w:r>
    </w:p>
    <w:p>
      <w:pPr>
        <w:keepLines/>
      </w:pPr>
      <w:r>
        <w:t>2. Compute normalized attention weights from simple scores</w:t>
      </w:r>
    </w:p>
    <w:p>
      <w:pPr>
        <w:keepLines/>
      </w:pPr>
      <w:r>
        <w:t>3. Apply a mask to hide a future word</w:t>
      </w:r>
    </w:p>
    <w:p>
      <w:pPr>
        <w:keepLines/>
      </w:pPr>
      <w:r>
        <w:t>4. Compare an encoder and a decoder task</w:t>
      </w:r>
    </w:p>
    <w:p>
      <w:pPr>
        <w:keepLines/>
      </w:pPr>
      <w:r>
        <w:t>Individual change: Mask the last token and recompute the weights. Expected evidence: Annotated attention table and one model-role choice.</w:t>
      </w:r>
    </w:p>
    <w:p>
      <w:pPr>
        <w:pStyle w:val="Heading1"/>
        <w:keepLines/>
      </w:pPr>
      <w:r>
        <w:t>Checks and common error</w:t>
      </w:r>
    </w:p>
    <w:p>
      <w:pPr>
        <w:keepLines/>
      </w:pPr>
      <w:r>
        <w:t>Measure: Weights sum to one over visible tokens. Record the input, setting, source version, result and the relevant numerator and denominator.</w:t>
      </w:r>
    </w:p>
    <w:p>
      <w:pPr>
        <w:keepLines/>
      </w:pPr>
      <w:r>
        <w:t>Plausible incorrect claim: Attention weights are a complete explanation of a model decision.</w:t>
      </w:r>
    </w:p>
    <w:p>
      <w:pPr>
        <w:keepLines/>
      </w:pPr>
      <w:r>
        <w:t>Correction: They show one internal weighting operation; they do not prove causal importance or factual correctness.</w:t>
      </w:r>
    </w:p>
    <w:p>
      <w:pPr>
        <w:keepLines/>
      </w:pPr>
      <w:r>
        <w:t>If learners disagree, reproduce the same case and compare the underlying source or expected answer. Record unresolved cases for instructor review.</w:t>
      </w:r>
    </w:p>
    <w:p>
      <w:pPr>
        <w:pStyle w:val="Heading1"/>
        <w:keepLines/>
      </w:pPr>
      <w:r>
        <w:t>Further discussion</w:t>
      </w:r>
    </w:p>
    <w:p>
      <w:pPr>
        <w:pStyle w:val="ListBullet"/>
        <w:keepLines/>
      </w:pPr>
      <w:r>
        <w:t>How could the conclusion change if the source or input changes?</w:t>
      </w:r>
    </w:p>
    <w:p>
      <w:pPr>
        <w:pStyle w:val="ListBullet"/>
        <w:keepLines/>
      </w:pPr>
      <w:r>
        <w:t>Which part of the result is observed and which part is an assumption?</w:t>
      </w:r>
    </w:p>
    <w:p>
      <w:pPr>
        <w:pStyle w:val="ListBullet"/>
        <w:keepLines/>
      </w:pPr>
      <w:r>
        <w:t>What simple test would detect the failure described above?</w:t>
      </w:r>
    </w:p>
    <w:p>
      <w:pPr>
        <w:pStyle w:val="Heading1"/>
        <w:keepLines/>
      </w:pPr>
      <w:r>
        <w:t>References and optional extension</w:t>
      </w:r>
    </w:p>
    <w:p>
      <w:pPr>
        <w:keepLines/>
      </w:pPr>
      <w:r>
        <w:t>Core readings are official vendor documentation or original research. Read the relevant section; an account or paid API is unnecessary for this notebook. Page details may change before 2027.</w:t>
      </w:r>
    </w:p>
    <w:p>
      <w:pPr>
        <w:keepLines/>
      </w:pPr>
      <w:r>
        <w:t>Vaswani et al., Attention Is All You Need. https://arxiv.org/abs/1706.03762</w:t>
      </w:r>
    </w:p>
    <w:p>
      <w:pPr>
        <w:keepLines/>
      </w:pPr>
      <w:r>
        <w:t>Google, Transformer model overview. https://cloud.google.com/discover/what-is-gpt</w:t>
      </w:r>
    </w:p>
    <w:p>
      <w:pPr>
        <w:keepLines/>
      </w:pPr>
      <w:r>
        <w:t>Optional extension: replace one classroom proxy with a locally approved model or service, keep the original baseline, repeat the same checks, and state the additional privacy and cost assumptions.</w:t>
      </w:r>
    </w:p>
    <w:p>
      <w:pPr>
        <w:keepLines/>
      </w:pPr>
      <w:r>
        <w:t>Curriculum scope: the supplied 12-week teaching sequence, recorded in docs/SYLLABUS_ALIGNMENT.md. The original module descriptor is retained in sources/originals/07-Descriptor-Generative-AI-new-.docx. Supporting project notes: Deep-reserach.txt, RAG.txt, AI-Agents.txt, MCP-&amp;-Vectore-Database.txt, Muti-Agent-AI-System.txt, Eval-&amp;-Finetune&amp;-Loop-Enginnering.txt. These are planning sources, not empirical performance evidence.</w:t>
      </w:r>
    </w:p>
    <w:p>
      <w:pPr>
        <w:pStyle w:val="Title"/>
        <w:keepLines/>
      </w:pPr>
      <w:r>
        <w:t>Student revision and exam preparation</w:t>
      </w:r>
    </w:p>
    <w:p>
      <w:pPr>
        <w:keepLines/>
      </w:pPr>
      <w:r>
        <w:t>Outcomes: LO1, LO2 | 2 hours concepts + 2 hours guided practice</w:t>
      </w:r>
    </w:p>
    <w:p>
      <w:pPr>
        <w:pStyle w:val="Heading1"/>
        <w:keepLines/>
      </w:pPr>
      <w:r>
        <w:t>The idea in plain language</w:t>
      </w:r>
    </w:p>
    <w:p>
      <w:pPr>
        <w:keepLines/>
      </w:pPr>
      <w:r>
        <w:t>Tokens are model-specific pieces of input, not always words. Attention combines representations using weights. A causal mask stops a decoder using future positions. Encoders suit understanding inputs; decoders generate continuations; encoder-decoder models read an input and generate a corresponding output.</w:t>
      </w:r>
    </w:p>
    <w:p>
      <w:pPr>
        <w:pStyle w:val="Heading1"/>
        <w:keepLines/>
      </w:pPr>
      <w:r>
        <w:t>A worked example</w:t>
      </w:r>
    </w:p>
    <w:p>
      <w:pPr>
        <w:keepLines/>
      </w:pPr>
      <w:r>
        <w:t>Weights 0.25, 0.65 and 0.10 sum to 1. A token in position two cannot see position three under a causal mask. Scores [1,2,-infinity] produce weights about [0.269,0.731,0]. A large attention weight alone does not establish causal explanation or factual accuracy.</w:t>
      </w:r>
    </w:p>
    <w:p>
      <w:pPr>
        <w:pStyle w:val="Heading1"/>
        <w:keepLines/>
      </w:pPr>
      <w:r>
        <w:t>Practice before reading the answers</w:t>
      </w:r>
    </w:p>
    <w:p>
      <w:pPr>
        <w:keepLines/>
      </w:pPr>
      <w:r>
        <w:t>1. Why does a decoder use a causal mask? (4 suggested practice marks)</w:t>
      </w:r>
    </w:p>
    <w:p>
      <w:pPr>
        <w:keepLines/>
      </w:pPr>
      <w:r>
        <w:t>2. For weights 0.25, 0.65, 0.10, which input receives most weight? (4 suggested practice marks)</w:t>
      </w:r>
    </w:p>
    <w:p>
      <w:pPr>
        <w:keepLines/>
      </w:pPr>
      <w:r>
        <w:t>3. Choose a model role for translating one sentence into another language. (4 suggested practice marks)</w:t>
      </w:r>
    </w:p>
    <w:p>
      <w:pPr>
        <w:keepLines/>
      </w:pPr>
      <w:r>
        <w:t>Draw the main diagram from memory, explain each arrow, then check it against the slides. Answer the three questions without notes before reading the model answers.</w:t>
      </w:r>
    </w:p>
    <w:p>
      <w:pPr>
        <w:pStyle w:val="Heading1"/>
        <w:keepLines/>
      </w:pPr>
      <w:r>
        <w:t>Model answers and marking guidance</w:t>
      </w:r>
    </w:p>
    <w:p>
      <w:pPr>
        <w:keepLines/>
      </w:pPr>
      <w:r>
        <w:t>1. To ensure generation at a position depends only on permitted earlier/current positions, not future target tokens.</w:t>
      </w:r>
    </w:p>
    <w:p>
      <w:pPr>
        <w:keepLines/>
      </w:pPr>
      <w:r>
        <w:t>2. The second input, with 0.65. The three weights sum to 1.</w:t>
      </w:r>
    </w:p>
    <w:p>
      <w:pPr>
        <w:keepLines/>
      </w:pPr>
      <w:r>
        <w:t>3. An encoder-decoder design is a suitable example: read the source then generate the target. Other architectures can also translate.</w:t>
      </w:r>
    </w:p>
    <w:p>
      <w:pPr>
        <w:keepLines/>
      </w:pPr>
      <w:r>
        <w:t>For each four-mark practice answer: two marks for the correct idea, one for a relevant example or calculation, one for an appropriate explanation or limitation. These suggested practice marks do not change the module assessment scheme.</w:t>
      </w:r>
    </w:p>
    <w:p>
      <w:pPr>
        <w:pStyle w:val="Heading1"/>
        <w:keepLines/>
      </w:pPr>
      <w:r>
        <w:t>Official reading and video support</w:t>
      </w:r>
    </w:p>
    <w:p>
      <w:pPr>
        <w:keepLines/>
      </w:pPr>
      <w:r>
        <w:t>G1  Google: Introduction to Generative AI</w:t>
        <w:br/>
        <w:t>https://www.cloudskillsboost.google/course_templates/536</w:t>
        <w:br/>
        <w:t>Study focus: Generation versus traditional machine learning.</w:t>
      </w:r>
    </w:p>
    <w:p>
      <w:pPr>
        <w:keepLines/>
      </w:pPr>
      <w:r>
        <w:t>G5  Google Cloud Tech: Attention mechanism: Overview</w:t>
        <w:br/>
        <w:t>https://www.youtube.com/watch?v=fjJOgb-E41w</w:t>
        <w:br/>
        <w:t>Study focus: Attention intuition. Verified channel in indexed metadata; full transcript not retrieved.</w:t>
      </w:r>
    </w:p>
    <w:p>
      <w:pPr>
        <w:keepLines/>
      </w:pPr>
      <w:r>
        <w:t>Selected source concepts inform the lesson. Examples, figures, questions and solutions are original classroom material; no exam questions are claimed to be official.</w:t>
      </w:r>
    </w:p>
    <w:sectPr w:rsidR="00FC693F" w:rsidRPr="0006063C" w:rsidSect="00034616"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F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8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