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Week 10: Working with an image or document</w:t>
      </w:r>
    </w:p>
    <w:p>
      <w:pPr>
        <w:keepLines/>
      </w:pPr>
      <w:r>
        <w:t>Generative AI | MSc teaching notes and further reading | 2027</w:t>
      </w:r>
    </w:p>
    <w:p>
      <w:pPr>
        <w:pStyle w:val="Heading1"/>
        <w:keepLines/>
      </w:pPr>
      <w:r>
        <w:t>Learning target</w:t>
      </w:r>
    </w:p>
    <w:p>
      <w:pPr>
        <w:keepLines/>
      </w:pPr>
      <w:r>
        <w:t>Distinguish reading from independently checking a document value.</w:t>
      </w:r>
    </w:p>
    <w:p>
      <w:pPr>
        <w:pStyle w:val="Heading1"/>
        <w:keepLines/>
      </w:pPr>
      <w:r>
        <w:t>Context and teaching plan</w:t>
      </w:r>
    </w:p>
    <w:p>
      <w:pPr>
        <w:keepLines/>
      </w:pPr>
      <w:r>
        <w:t>A synthetic invoice image has fields supplied by a prepared transcription.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Contact time</w:t>
            </w:r>
          </w:p>
        </w:tc>
        <w:tc>
          <w:tcPr>
            <w:tcW w:type="dxa" w:w="4882"/>
          </w:tcPr>
          <w:p>
            <w:r>
              <w:t>Suggested use</w:t>
            </w:r>
          </w:p>
        </w:tc>
      </w:tr>
      <w:tr>
        <w:tc>
          <w:tcPr>
            <w:tcW w:type="dxa" w:w="4882"/>
          </w:tcPr>
          <w:p>
            <w:r>
              <w:t>Two hours: concepts</w:t>
            </w:r>
          </w:p>
        </w:tc>
        <w:tc>
          <w:tcPr>
            <w:tcW w:type="dxa" w:w="4882"/>
          </w:tcPr>
          <w:p>
            <w:r>
              <w:t>Case introduction, four ideas, worked example and misconception.</w:t>
            </w:r>
          </w:p>
        </w:tc>
      </w:tr>
      <w:tr>
        <w:tc>
          <w:tcPr>
            <w:tcW w:type="dxa" w:w="4882"/>
          </w:tcPr>
          <w:p>
            <w:r>
              <w:t>Two hours: practice</w:t>
            </w:r>
          </w:p>
        </w:tc>
        <w:tc>
          <w:tcPr>
            <w:tcW w:type="dxa" w:w="4882"/>
          </w:tcPr>
          <w:p>
            <w:r>
              <w:t>10 min recall, 20 min demo, 40 min guided practice, 25 min independent change, 15 min review, 10 min exit check.</w:t>
            </w:r>
          </w:p>
        </w:tc>
      </w:tr>
    </w:tbl>
    <w:p>
      <w:pPr>
        <w:pStyle w:val="Heading1"/>
        <w:keepLines/>
      </w:pPr>
      <w:r>
        <w:t>Explain the key ideas</w:t>
      </w:r>
    </w:p>
    <w:p>
      <w:pPr>
        <w:pStyle w:val="Heading2"/>
        <w:keepLines/>
      </w:pPr>
      <w:r>
        <w:t>Multimodal input</w:t>
      </w:r>
    </w:p>
    <w:p>
      <w:pPr>
        <w:keepLines/>
      </w:pPr>
      <w:r>
        <w:t>A system may process text, images or other signals. Here the transcription stands in for an image reader.</w:t>
      </w:r>
    </w:p>
    <w:p>
      <w:pPr>
        <w:keepLines/>
      </w:pPr>
      <w:r>
        <w:t>Teacher question: Where does multimodal input appear in the weekly case, and what could go wrong if we omit it?</w:t>
      </w:r>
    </w:p>
    <w:p>
      <w:pPr>
        <w:pStyle w:val="Heading2"/>
        <w:keepLines/>
      </w:pPr>
      <w:r>
        <w:t>Extraction</w:t>
      </w:r>
    </w:p>
    <w:p>
      <w:pPr>
        <w:keepLines/>
      </w:pPr>
      <w:r>
        <w:t>Read fields present in the document and retain a pointer to the source.</w:t>
      </w:r>
    </w:p>
    <w:p>
      <w:pPr>
        <w:keepLines/>
      </w:pPr>
      <w:r>
        <w:t>Teacher question: Where does extraction appear in the weekly case, and what could go wrong if we omit it?</w:t>
      </w:r>
    </w:p>
    <w:p>
      <w:pPr>
        <w:pStyle w:val="Heading2"/>
        <w:keepLines/>
      </w:pPr>
      <w:r>
        <w:t>Verification</w:t>
      </w:r>
    </w:p>
    <w:p>
      <w:pPr>
        <w:keepLines/>
      </w:pPr>
      <w:r>
        <w:t>Recalculate totals and compare against the listed values.</w:t>
      </w:r>
    </w:p>
    <w:p>
      <w:pPr>
        <w:keepLines/>
      </w:pPr>
      <w:r>
        <w:t>Teacher question: Where does verification appear in the weekly case, and what could go wrong if we omit it?</w:t>
      </w:r>
    </w:p>
    <w:p>
      <w:pPr>
        <w:pStyle w:val="Heading2"/>
        <w:keepLines/>
      </w:pPr>
      <w:r>
        <w:t>Uncertainty</w:t>
      </w:r>
    </w:p>
    <w:p>
      <w:pPr>
        <w:keepLines/>
      </w:pPr>
      <w:r>
        <w:t>Mark unreadable or absent fields for review rather than inventing a value.</w:t>
      </w:r>
    </w:p>
    <w:p>
      <w:pPr>
        <w:keepLines/>
      </w:pPr>
      <w:r>
        <w:t>Teacher question: Where does uncertainty appear in the weekly case, and what could go wrong if we omit it?</w:t>
      </w:r>
    </w:p>
    <w:p>
      <w:pPr>
        <w:pStyle w:val="Heading1"/>
        <w:keepLines/>
      </w:pPr>
      <w:r>
        <w:t>Worked example and answer guide</w:t>
      </w:r>
    </w:p>
    <w:p>
      <w:pPr>
        <w:pStyle w:val="ListBullet"/>
        <w:keepLines/>
      </w:pPr>
      <w:r>
        <w:t>Input: Invoice shows 2 items at €20 plus €5 tax.</w:t>
      </w:r>
    </w:p>
    <w:p>
      <w:pPr>
        <w:pStyle w:val="ListBullet"/>
        <w:keepLines/>
      </w:pPr>
      <w:r>
        <w:t>Change or question: Calculated total is €45.</w:t>
      </w:r>
    </w:p>
    <w:p>
      <w:pPr>
        <w:pStyle w:val="ListBullet"/>
        <w:keepLines/>
      </w:pPr>
      <w:r>
        <w:t>Supported observation: Listed total of €54 triggers review, even if transcription is syntactically valid.</w:t>
      </w:r>
    </w:p>
    <w:p>
      <w:pPr>
        <w:keepLines/>
      </w:pPr>
      <w:r>
        <w:t>Reasoning: state the given evidence first, then the calculation or rule, then the conclusion. If a value is absent, say what cannot be concluded. Keep any simulated mechanism distinct from a trained model or deployed service.</w:t>
      </w:r>
    </w:p>
    <w:p>
      <w:pPr>
        <w:pStyle w:val="Title"/>
        <w:keepLines/>
      </w:pPr>
      <w:r>
        <w:t>Teach the week as a story</w:t>
      </w:r>
    </w:p>
    <w:p>
      <w:pPr>
        <w:keepLines/>
      </w:pPr>
      <w:r>
        <w:t>The €54 invoice: An invoice image lists two items at €20 and €5 tax, yet displays €54 total. A model reads €54 correctly. Should the payment pass?</w:t>
      </w:r>
    </w:p>
    <w:p>
      <w:pPr>
        <w:keepLines/>
      </w:pPr>
      <w:r>
        <w:t>Ask for a quick prediction before each technical explanation. Return to the prediction after the example and ask what evidence changed the answer. The analogies below are memory aids, and each has a stated limit.</w:t>
      </w:r>
    </w:p>
    <w:p>
      <w:pPr>
        <w:pStyle w:val="Heading1"/>
        <w:keepLines/>
      </w:pPr>
      <w:r>
        <w:t>Multimodal input: analogy, mechanism and check</w:t>
      </w:r>
    </w:p>
    <w:p>
      <w:pPr>
        <w:keepLines/>
      </w:pPr>
      <w:r>
        <w:t>Familiar picture: A person can read a photo and a text note together.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Photo</w:t>
            </w:r>
          </w:p>
        </w:tc>
        <w:tc>
          <w:tcPr>
            <w:tcW w:type="dxa" w:w="4882"/>
          </w:tcPr>
          <w:p>
            <w:r>
              <w:t>visual input</w:t>
            </w:r>
          </w:p>
        </w:tc>
      </w:tr>
      <w:tr>
        <w:tc>
          <w:tcPr>
            <w:tcW w:type="dxa" w:w="4882"/>
          </w:tcPr>
          <w:p>
            <w:r>
              <w:t>Reader</w:t>
            </w:r>
          </w:p>
        </w:tc>
        <w:tc>
          <w:tcPr>
            <w:tcW w:type="dxa" w:w="4882"/>
          </w:tcPr>
          <w:p>
            <w:r>
              <w:t>OCR or vision step</w:t>
            </w:r>
          </w:p>
        </w:tc>
      </w:tr>
      <w:tr>
        <w:tc>
          <w:tcPr>
            <w:tcW w:type="dxa" w:w="4882"/>
          </w:tcPr>
          <w:p>
            <w:r>
              <w:t>Typed note</w:t>
            </w:r>
          </w:p>
        </w:tc>
        <w:tc>
          <w:tcPr>
            <w:tcW w:type="dxa" w:w="4882"/>
          </w:tcPr>
          <w:p>
            <w:r>
              <w:t>transcribed text</w:t>
            </w:r>
          </w:p>
        </w:tc>
      </w:tr>
    </w:tbl>
    <w:p>
      <w:pPr>
        <w:keepLines/>
      </w:pPr>
      <w:r>
        <w:t>Where this analogy breaks: This notebook uses a prepared transcription; it does not run OCR or test a vision model.</w:t>
      </w:r>
    </w:p>
    <w:p>
      <w:pPr>
        <w:keepLines/>
      </w:pPr>
      <w:r>
        <w:t>Actual idea: A system may process text, images or other signals. Here the transcription stands in for an image reader.</w:t>
      </w:r>
    </w:p>
    <w:p>
      <w:pPr>
        <w:keepLines/>
      </w:pPr>
      <w:r>
        <w:t>Work it aloud: The prepared text records quantity 2, unit price €20, tax €5 and listed total €54.</w:t>
      </w:r>
    </w:p>
    <w:p>
      <w:pPr>
        <w:keepLines/>
      </w:pPr>
      <w:r>
        <w:t>Ask before revealing: What capability is represented by the supplied transcription?</w:t>
      </w:r>
    </w:p>
    <w:p>
      <w:pPr>
        <w:keepLines/>
      </w:pPr>
      <w:r>
        <w:t>Supported response: An upstream reading step, whose accuracy still needs checking.</w:t>
      </w:r>
    </w:p>
    <w:p>
      <w:pPr>
        <w:keepLines/>
      </w:pPr>
      <w:r>
        <w:t>Look for this misconception: The notebook itself recognises image pixels.</w:t>
      </w:r>
    </w:p>
    <w:p>
      <w:pPr>
        <w:pStyle w:val="Heading1"/>
        <w:keepLines/>
      </w:pPr>
      <w:r>
        <w:t>Extraction: analogy, mechanism and check</w:t>
      </w:r>
    </w:p>
    <w:p>
      <w:pPr>
        <w:keepLines/>
      </w:pPr>
      <w:r>
        <w:t>Familiar picture: An auditor writes the page and line beside every copied number.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Printed number</w:t>
            </w:r>
          </w:p>
        </w:tc>
        <w:tc>
          <w:tcPr>
            <w:tcW w:type="dxa" w:w="4882"/>
          </w:tcPr>
          <w:p>
            <w:r>
              <w:t>visible field</w:t>
            </w:r>
          </w:p>
        </w:tc>
      </w:tr>
      <w:tr>
        <w:tc>
          <w:tcPr>
            <w:tcW w:type="dxa" w:w="4882"/>
          </w:tcPr>
          <w:p>
            <w:r>
              <w:t>Copied value</w:t>
            </w:r>
          </w:p>
        </w:tc>
        <w:tc>
          <w:tcPr>
            <w:tcW w:type="dxa" w:w="4882"/>
          </w:tcPr>
          <w:p>
            <w:r>
              <w:t>extraction</w:t>
            </w:r>
          </w:p>
        </w:tc>
      </w:tr>
      <w:tr>
        <w:tc>
          <w:tcPr>
            <w:tcW w:type="dxa" w:w="4882"/>
          </w:tcPr>
          <w:p>
            <w:r>
              <w:t>Page pointer</w:t>
            </w:r>
          </w:p>
        </w:tc>
        <w:tc>
          <w:tcPr>
            <w:tcW w:type="dxa" w:w="4882"/>
          </w:tcPr>
          <w:p>
            <w:r>
              <w:t>source location</w:t>
            </w:r>
          </w:p>
        </w:tc>
      </w:tr>
    </w:tbl>
    <w:p>
      <w:pPr>
        <w:keepLines/>
      </w:pPr>
      <w:r>
        <w:t>Where this analogy breaks: A pointer can be wrong or ambiguous, especially with poor image quality.</w:t>
      </w:r>
    </w:p>
    <w:p>
      <w:pPr>
        <w:keepLines/>
      </w:pPr>
      <w:r>
        <w:t>Actual idea: Read fields present in the document and retain a pointer to the source.</w:t>
      </w:r>
    </w:p>
    <w:p>
      <w:pPr>
        <w:keepLines/>
      </w:pPr>
      <w:r>
        <w:t>Work it aloud: Record “listed_total = €54” with the invoice field location; keep calculation separate.</w:t>
      </w:r>
    </w:p>
    <w:p>
      <w:pPr>
        <w:keepLines/>
      </w:pPr>
      <w:r>
        <w:t>Ask before revealing: What does a source pointer let another person do?</w:t>
      </w:r>
    </w:p>
    <w:p>
      <w:pPr>
        <w:keepLines/>
      </w:pPr>
      <w:r>
        <w:t>Supported response: Find and verify the value in the original document.</w:t>
      </w:r>
    </w:p>
    <w:p>
      <w:pPr>
        <w:keepLines/>
      </w:pPr>
      <w:r>
        <w:t>Look for this misconception: A correctly formatted field proves its source.</w:t>
      </w:r>
    </w:p>
    <w:p>
      <w:pPr>
        <w:pStyle w:val="Heading1"/>
        <w:keepLines/>
      </w:pPr>
      <w:r>
        <w:t>Verification: analogy, mechanism and check</w:t>
      </w:r>
    </w:p>
    <w:p>
      <w:pPr>
        <w:keepLines/>
      </w:pPr>
      <w:r>
        <w:t>Familiar picture: A cashier recomputes a bill instead of trusting the printed sum.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Items</w:t>
            </w:r>
          </w:p>
        </w:tc>
        <w:tc>
          <w:tcPr>
            <w:tcW w:type="dxa" w:w="4882"/>
          </w:tcPr>
          <w:p>
            <w:r>
              <w:t>2 × €20</w:t>
            </w:r>
          </w:p>
        </w:tc>
      </w:tr>
      <w:tr>
        <w:tc>
          <w:tcPr>
            <w:tcW w:type="dxa" w:w="4882"/>
          </w:tcPr>
          <w:p>
            <w:r>
              <w:t>Tax</w:t>
            </w:r>
          </w:p>
        </w:tc>
        <w:tc>
          <w:tcPr>
            <w:tcW w:type="dxa" w:w="4882"/>
          </w:tcPr>
          <w:p>
            <w:r>
              <w:t>€5</w:t>
            </w:r>
          </w:p>
        </w:tc>
      </w:tr>
      <w:tr>
        <w:tc>
          <w:tcPr>
            <w:tcW w:type="dxa" w:w="4882"/>
          </w:tcPr>
          <w:p>
            <w:r>
              <w:t>Independent sum</w:t>
            </w:r>
          </w:p>
        </w:tc>
        <w:tc>
          <w:tcPr>
            <w:tcW w:type="dxa" w:w="4882"/>
          </w:tcPr>
          <w:p>
            <w:r>
              <w:t>€45</w:t>
            </w:r>
          </w:p>
        </w:tc>
      </w:tr>
    </w:tbl>
    <w:p>
      <w:pPr>
        <w:keepLines/>
      </w:pPr>
      <w:r>
        <w:t>Where this analogy breaks: Real invoices may have discounts and other rules; specify the case assumptions.</w:t>
      </w:r>
    </w:p>
    <w:p>
      <w:pPr>
        <w:keepLines/>
      </w:pPr>
      <w:r>
        <w:t>Actual idea: Recalculate totals and compare against the listed values.</w:t>
      </w:r>
    </w:p>
    <w:p>
      <w:pPr>
        <w:keepLines/>
      </w:pPr>
      <w:r>
        <w:t>Work it aloud: 2 × €20 + €5 = €45; listed total €54, a €9 discrepancy.</w:t>
      </w:r>
    </w:p>
    <w:p>
      <w:pPr>
        <w:keepLines/>
      </w:pPr>
      <w:r>
        <w:t>Ask before revealing: Does reading €54 correctly make it a correct payable total?</w:t>
      </w:r>
    </w:p>
    <w:p>
      <w:pPr>
        <w:keepLines/>
      </w:pPr>
      <w:r>
        <w:t>Supported response: No. The independent arithmetic disagrees by €9.</w:t>
      </w:r>
    </w:p>
    <w:p>
      <w:pPr>
        <w:keepLines/>
      </w:pPr>
      <w:r>
        <w:t>Look for this misconception: Accurate OCR implies accurate arithmetic.</w:t>
      </w:r>
    </w:p>
    <w:p>
      <w:pPr>
        <w:pStyle w:val="Heading1"/>
        <w:keepLines/>
      </w:pPr>
      <w:r>
        <w:t>Uncertainty: analogy, mechanism and check</w:t>
      </w:r>
    </w:p>
    <w:p>
      <w:pPr>
        <w:keepLines/>
      </w:pPr>
      <w:r>
        <w:t>Familiar picture: A reviewer marks an unreadable receipt field with a question mark.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</w:tcPr>
          <w:p>
            <w:r>
              <w:t>Familiar part</w:t>
            </w:r>
          </w:p>
        </w:tc>
        <w:tc>
          <w:tcPr>
            <w:tcW w:type="dxa" w:w="4882"/>
          </w:tcPr>
          <w:p>
            <w:r>
              <w:t>Technical meaning</w:t>
            </w:r>
          </w:p>
        </w:tc>
      </w:tr>
      <w:tr>
        <w:tc>
          <w:tcPr>
            <w:tcW w:type="dxa" w:w="4882"/>
          </w:tcPr>
          <w:p>
            <w:r>
              <w:t>Blurred area</w:t>
            </w:r>
          </w:p>
        </w:tc>
        <w:tc>
          <w:tcPr>
            <w:tcW w:type="dxa" w:w="4882"/>
          </w:tcPr>
          <w:p>
            <w:r>
              <w:t>uncertain observation</w:t>
            </w:r>
          </w:p>
        </w:tc>
      </w:tr>
      <w:tr>
        <w:tc>
          <w:tcPr>
            <w:tcW w:type="dxa" w:w="4882"/>
          </w:tcPr>
          <w:p>
            <w:r>
              <w:t>Question mark</w:t>
            </w:r>
          </w:p>
        </w:tc>
        <w:tc>
          <w:tcPr>
            <w:tcW w:type="dxa" w:w="4882"/>
          </w:tcPr>
          <w:p>
            <w:r>
              <w:t>review flag</w:t>
            </w:r>
          </w:p>
        </w:tc>
      </w:tr>
      <w:tr>
        <w:tc>
          <w:tcPr>
            <w:tcW w:type="dxa" w:w="4882"/>
          </w:tcPr>
          <w:p>
            <w:r>
              <w:t>Second look</w:t>
            </w:r>
          </w:p>
        </w:tc>
        <w:tc>
          <w:tcPr>
            <w:tcW w:type="dxa" w:w="4882"/>
          </w:tcPr>
          <w:p>
            <w:r>
              <w:t>verification</w:t>
            </w:r>
          </w:p>
        </w:tc>
      </w:tr>
    </w:tbl>
    <w:p>
      <w:pPr>
        <w:keepLines/>
      </w:pPr>
      <w:r>
        <w:t>Where this analogy breaks: Uncertainty needs a clear workflow; marking everything uncertain is unhelpful.</w:t>
      </w:r>
    </w:p>
    <w:p>
      <w:pPr>
        <w:keepLines/>
      </w:pPr>
      <w:r>
        <w:t>Actual idea: Mark unreadable or absent fields for review rather than inventing a value.</w:t>
      </w:r>
    </w:p>
    <w:p>
      <w:pPr>
        <w:keepLines/>
      </w:pPr>
      <w:r>
        <w:t>Work it aloud: If INV-08/INV-03 cannot be distinguished, store an uncertain ID and request review.</w:t>
      </w:r>
    </w:p>
    <w:p>
      <w:pPr>
        <w:keepLines/>
      </w:pPr>
      <w:r>
        <w:t>Ask before revealing: What would be unsafe to store?</w:t>
      </w:r>
    </w:p>
    <w:p>
      <w:pPr>
        <w:keepLines/>
      </w:pPr>
      <w:r>
        <w:t>Supported response: A guessed invoice ID presented as certain.</w:t>
      </w:r>
    </w:p>
    <w:p>
      <w:pPr>
        <w:keepLines/>
      </w:pPr>
      <w:r>
        <w:t>Look for this misconception: A plausible guess should be saved silently.</w:t>
      </w:r>
    </w:p>
    <w:p>
      <w:pPr>
        <w:pStyle w:val="Heading1"/>
        <w:keepLines/>
      </w:pPr>
      <w:r>
        <w:t>New situation for discussion</w:t>
      </w:r>
    </w:p>
    <w:p>
      <w:pPr>
        <w:keepLines/>
      </w:pPr>
      <w:r>
        <w:t>A blurred invoice number looks like INV-08 or INV-03. Which field should be marked uncertain?</w:t>
      </w:r>
    </w:p>
    <w:p>
      <w:pPr>
        <w:keepLines/>
      </w:pPr>
      <w:r>
        <w:t>Memory cue: Read the source, preserve field pointers, calculate independently, and flag discrepancies.</w:t>
      </w:r>
    </w:p>
    <w:p>
      <w:pPr>
        <w:pStyle w:val="Heading1"/>
        <w:keepLines/>
      </w:pPr>
      <w:r>
        <w:t>Guided laboratory</w:t>
      </w:r>
    </w:p>
    <w:p>
      <w:pPr>
        <w:keepLines/>
      </w:pPr>
      <w:r>
        <w:t>Check two synthetic invoices, including a mismatched total.</w:t>
      </w:r>
    </w:p>
    <w:p>
      <w:pPr>
        <w:keepLines/>
      </w:pPr>
      <w:r>
        <w:t>1. Inspect a synthetic source transcription</w:t>
      </w:r>
    </w:p>
    <w:p>
      <w:pPr>
        <w:keepLines/>
      </w:pPr>
      <w:r>
        <w:t>2. Extract amount, quantity, tax and stated total</w:t>
      </w:r>
    </w:p>
    <w:p>
      <w:pPr>
        <w:keepLines/>
      </w:pPr>
      <w:r>
        <w:t>3. Calculate the expected total independently</w:t>
      </w:r>
    </w:p>
    <w:p>
      <w:pPr>
        <w:keepLines/>
      </w:pPr>
      <w:r>
        <w:t>4. Flag mismatches and retain the source ID</w:t>
      </w:r>
    </w:p>
    <w:p>
      <w:pPr>
        <w:keepLines/>
      </w:pPr>
      <w:r>
        <w:t>Individual change: Correct the listed total and rerun the checker. Expected evidence: Source-linked field table and calculation.</w:t>
      </w:r>
    </w:p>
    <w:p>
      <w:pPr>
        <w:pStyle w:val="Heading1"/>
        <w:keepLines/>
      </w:pPr>
      <w:r>
        <w:t>Checks and common error</w:t>
      </w:r>
    </w:p>
    <w:p>
      <w:pPr>
        <w:keepLines/>
      </w:pPr>
      <w:r>
        <w:t>Measure: Number of correctly checked fields / fields reviewed. Record the input, setting, source version, result and the relevant numerator and denominator.</w:t>
      </w:r>
    </w:p>
    <w:p>
      <w:pPr>
        <w:keepLines/>
      </w:pPr>
      <w:r>
        <w:t>Plausible incorrect claim: The notebook performs OCR on a real image.</w:t>
      </w:r>
    </w:p>
    <w:p>
      <w:pPr>
        <w:keepLines/>
      </w:pPr>
      <w:r>
        <w:t>Correction: This core lab uses prepared transcription to teach verification. Image/OCR integration is an optional extension.</w:t>
      </w:r>
    </w:p>
    <w:p>
      <w:pPr>
        <w:keepLines/>
      </w:pPr>
      <w:r>
        <w:t>If learners disagree, reproduce the same case and compare the underlying source or expected answer. Record unresolved cases for instructor review.</w:t>
      </w:r>
    </w:p>
    <w:p>
      <w:pPr>
        <w:pStyle w:val="Heading1"/>
        <w:keepLines/>
      </w:pPr>
      <w:r>
        <w:t>Further discussion</w:t>
      </w:r>
    </w:p>
    <w:p>
      <w:pPr>
        <w:pStyle w:val="ListBullet"/>
        <w:keepLines/>
      </w:pPr>
      <w:r>
        <w:t>How could the conclusion change if the source or input changes?</w:t>
      </w:r>
    </w:p>
    <w:p>
      <w:pPr>
        <w:pStyle w:val="ListBullet"/>
        <w:keepLines/>
      </w:pPr>
      <w:r>
        <w:t>Which part of the result is observed and which part is an assumption?</w:t>
      </w:r>
    </w:p>
    <w:p>
      <w:pPr>
        <w:pStyle w:val="ListBullet"/>
        <w:keepLines/>
      </w:pPr>
      <w:r>
        <w:t>What simple test would detect the failure described above?</w:t>
      </w:r>
    </w:p>
    <w:p>
      <w:pPr>
        <w:pStyle w:val="Heading1"/>
        <w:keepLines/>
      </w:pPr>
      <w:r>
        <w:t>References and optional extension</w:t>
      </w:r>
    </w:p>
    <w:p>
      <w:pPr>
        <w:keepLines/>
      </w:pPr>
      <w:r>
        <w:t>Core readings are official vendor documentation or original research. Read the relevant section; an account or paid API is unnecessary for this notebook. Page details may change before 2027.</w:t>
      </w:r>
    </w:p>
    <w:p>
      <w:pPr>
        <w:keepLines/>
      </w:pPr>
      <w:r>
        <w:t>Google, Develop a generative AI application. https://docs.cloud.google.com/docs/ai-ml/generative-ai/develop-generative-ai-application</w:t>
      </w:r>
    </w:p>
    <w:p>
      <w:pPr>
        <w:keepLines/>
      </w:pPr>
      <w:r>
        <w:t>OpenAI, Evaluation best practices. https://developers.openai.com/api/docs/guides/evaluation-best-practices</w:t>
      </w:r>
    </w:p>
    <w:p>
      <w:pPr>
        <w:keepLines/>
      </w:pPr>
      <w:r>
        <w:t>Optional extension: replace one classroom proxy with a locally approved model or service, keep the original baseline, repeat the same checks, and state the additional privacy and cost assumptions.</w:t>
      </w:r>
    </w:p>
    <w:p>
      <w:pPr>
        <w:keepLines/>
      </w:pPr>
      <w:r>
        <w:t>Curriculum scope: the supplied 12-week teaching sequence, recorded in docs/SYLLABUS_ALIGNMENT.md. The original module descriptor is retained in sources/originals/07-Descriptor-Generative-AI-new-.docx. Supporting project notes: Deep-reserach.txt, RAG.txt, AI-Agents.txt, MCP-&amp;-Vectore-Database.txt, Muti-Agent-AI-System.txt, Eval-&amp;-Finetune&amp;-Loop-Enginnering.txt. These are planning sources, not empirical performance evidence.</w:t>
      </w:r>
    </w:p>
    <w:p>
      <w:pPr>
        <w:pStyle w:val="Title"/>
        <w:keepLines/>
      </w:pPr>
      <w:r>
        <w:t>Student revision and exam preparation</w:t>
      </w:r>
    </w:p>
    <w:p>
      <w:pPr>
        <w:keepLines/>
      </w:pPr>
      <w:r>
        <w:t>Outcomes: LO2, LO4 | 2 hours concepts + 2 hours guided practice</w:t>
      </w:r>
    </w:p>
    <w:p>
      <w:pPr>
        <w:pStyle w:val="Heading1"/>
        <w:keepLines/>
      </w:pPr>
      <w:r>
        <w:t>The idea in plain language</w:t>
      </w:r>
    </w:p>
    <w:p>
      <w:pPr>
        <w:keepLines/>
      </w:pPr>
      <w:r>
        <w:t>A multimodal system can accept an image and text. Reading a value from an image and verifying that value are different operations. Retain the original source location, mark unreadable fields and recalculate totals with ordinary code.</w:t>
      </w:r>
    </w:p>
    <w:p>
      <w:pPr>
        <w:pStyle w:val="Heading1"/>
        <w:keepLines/>
      </w:pPr>
      <w:r>
        <w:t>A worked example</w:t>
      </w:r>
    </w:p>
    <w:p>
      <w:pPr>
        <w:keepLines/>
      </w:pPr>
      <w:r>
        <w:t>Two items at 20 plus tax 5 imply 45. If the image says 54, a perfect transcription of 54 is still inconsistent with arithmetic. Flag the mismatch and ask for review; the discrepancy alone does not prove fraud.</w:t>
      </w:r>
    </w:p>
    <w:p>
      <w:pPr>
        <w:pStyle w:val="Heading1"/>
        <w:keepLines/>
      </w:pPr>
      <w:r>
        <w:t>Practice before reading the answers</w:t>
      </w:r>
    </w:p>
    <w:p>
      <w:pPr>
        <w:keepLines/>
      </w:pPr>
      <w:r>
        <w:t>1. What is the difference between extraction and verification? (4 suggested practice marks)</w:t>
      </w:r>
    </w:p>
    <w:p>
      <w:pPr>
        <w:keepLines/>
      </w:pPr>
      <w:r>
        <w:t>2. Calculate the total for 2 × 20 plus 5 tax. (4 suggested practice marks)</w:t>
      </w:r>
    </w:p>
    <w:p>
      <w:pPr>
        <w:keepLines/>
      </w:pPr>
      <w:r>
        <w:t>3. How should an unreadable digit be handled? (4 suggested practice marks)</w:t>
      </w:r>
    </w:p>
    <w:p>
      <w:pPr>
        <w:keepLines/>
      </w:pPr>
      <w:r>
        <w:t>Draw the main diagram from memory, explain each arrow, then check it against the slides. Answer the three questions without notes before reading the model answers.</w:t>
      </w:r>
    </w:p>
    <w:p>
      <w:pPr>
        <w:pStyle w:val="Heading1"/>
        <w:keepLines/>
      </w:pPr>
      <w:r>
        <w:t>Model answers and marking guidance</w:t>
      </w:r>
    </w:p>
    <w:p>
      <w:pPr>
        <w:keepLines/>
      </w:pPr>
      <w:r>
        <w:t>1. Extraction records the visible value. Verification checks it against arithmetic, evidence or rules.</w:t>
      </w:r>
    </w:p>
    <w:p>
      <w:pPr>
        <w:keepLines/>
      </w:pPr>
      <w:r>
        <w:t>2. 45. A listed value of 54 differs by 9 and should be reviewed.</w:t>
      </w:r>
    </w:p>
    <w:p>
      <w:pPr>
        <w:keepLines/>
      </w:pPr>
      <w:r>
        <w:t>3. Mark it uncertain or missing and request a clearer source; do not silently guess.</w:t>
      </w:r>
    </w:p>
    <w:p>
      <w:pPr>
        <w:keepLines/>
      </w:pPr>
      <w:r>
        <w:t>For each four-mark practice answer: two marks for the correct idea, one for a relevant example or calculation, one for an appropriate explanation or limitation. These suggested practice marks do not change the module assessment scheme.</w:t>
      </w:r>
    </w:p>
    <w:p>
      <w:pPr>
        <w:pStyle w:val="Heading1"/>
        <w:keepLines/>
      </w:pPr>
      <w:r>
        <w:t>Official reading and video support</w:t>
      </w:r>
    </w:p>
    <w:p>
      <w:pPr>
        <w:keepLines/>
      </w:pPr>
      <w:r>
        <w:t>G7  Google Developers: Image understanding</w:t>
        <w:br/>
        <w:t>https://ai.google.dev/gemini-api/docs/image-understanding</w:t>
        <w:br/>
        <w:t>Study focus: Multimodal image inputs. The core notebook uses a prepared transcription.</w:t>
      </w:r>
    </w:p>
    <w:p>
      <w:pPr>
        <w:keepLines/>
      </w:pPr>
      <w:r>
        <w:t>O1  OpenAI: Evaluation best practices</w:t>
        <w:br/>
        <w:t>https://developers.openai.com/api/docs/guides/evaluation-best-practices</w:t>
        <w:br/>
        <w:t>Study focus: Task-specific testing, repeated outputs and separate evaluation cases.</w:t>
      </w:r>
    </w:p>
    <w:p>
      <w:pPr>
        <w:keepLines/>
      </w:pPr>
      <w:r>
        <w:t>Selected source concepts inform the lesson. Examples, figures, questions and solutions are original classroom material; no exam questions are claimed to be official.</w:t>
      </w:r>
    </w:p>
    <w:sectPr w:rsidR="00FC693F" w:rsidRPr="0006063C" w:rsidSect="00034616">
      <w:pgSz w:w="12240" w:h="15840"/>
      <w:pgMar w:top="1037" w:right="1238" w:bottom="97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F8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84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