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Week 12: Final demonstration and explanation</w:t>
      </w:r>
    </w:p>
    <w:p>
      <w:pPr>
        <w:keepLines/>
      </w:pPr>
      <w:r>
        <w:t>Generative AI | MSc teaching notes and further reading | 2027</w:t>
      </w:r>
    </w:p>
    <w:p>
      <w:pPr>
        <w:pStyle w:val="Heading1"/>
        <w:keepLines/>
      </w:pPr>
      <w:r>
        <w:t>Learning target</w:t>
      </w:r>
    </w:p>
    <w:p>
      <w:pPr>
        <w:keepLines/>
      </w:pPr>
      <w:r>
        <w:t>Demonstrate the policy assistant and explain its limits with evidence.</w:t>
      </w:r>
    </w:p>
    <w:p>
      <w:pPr>
        <w:pStyle w:val="Heading1"/>
        <w:keepLines/>
      </w:pPr>
      <w:r>
        <w:t>Context and teaching plan</w:t>
      </w:r>
    </w:p>
    <w:p>
      <w:pPr>
        <w:keepLines/>
      </w:pPr>
      <w:r>
        <w:t>A fresh student question and a previously unseen failure are presented.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Contact time</w:t>
            </w:r>
          </w:p>
        </w:tc>
        <w:tc>
          <w:tcPr>
            <w:tcW w:type="dxa" w:w="4882"/>
          </w:tcPr>
          <w:p>
            <w:r>
              <w:t>Suggested use</w:t>
            </w:r>
          </w:p>
        </w:tc>
      </w:tr>
      <w:tr>
        <w:tc>
          <w:tcPr>
            <w:tcW w:type="dxa" w:w="4882"/>
          </w:tcPr>
          <w:p>
            <w:r>
              <w:t>Two hours: concepts</w:t>
            </w:r>
          </w:p>
        </w:tc>
        <w:tc>
          <w:tcPr>
            <w:tcW w:type="dxa" w:w="4882"/>
          </w:tcPr>
          <w:p>
            <w:r>
              <w:t>Case introduction, four ideas, worked example and misconception.</w:t>
            </w:r>
          </w:p>
        </w:tc>
      </w:tr>
      <w:tr>
        <w:tc>
          <w:tcPr>
            <w:tcW w:type="dxa" w:w="4882"/>
          </w:tcPr>
          <w:p>
            <w:r>
              <w:t>Two hours: practice</w:t>
            </w:r>
          </w:p>
        </w:tc>
        <w:tc>
          <w:tcPr>
            <w:tcW w:type="dxa" w:w="4882"/>
          </w:tcPr>
          <w:p>
            <w:r>
              <w:t>10 min recall, 20 min demo, 40 min guided practice, 25 min independent change, 15 min review, 10 min exit check.</w:t>
            </w:r>
          </w:p>
        </w:tc>
      </w:tr>
    </w:tbl>
    <w:p>
      <w:pPr>
        <w:pStyle w:val="Heading1"/>
        <w:keepLines/>
      </w:pPr>
      <w:r>
        <w:t>Explain the key ideas</w:t>
      </w:r>
    </w:p>
    <w:p>
      <w:pPr>
        <w:pStyle w:val="Heading2"/>
        <w:keepLines/>
      </w:pPr>
      <w:r>
        <w:t>Integrated system</w:t>
      </w:r>
    </w:p>
    <w:p>
      <w:pPr>
        <w:keepLines/>
      </w:pPr>
      <w:r>
        <w:t>The student question enters retrieval, access checks, answer construction and evaluation.</w:t>
      </w:r>
    </w:p>
    <w:p>
      <w:pPr>
        <w:keepLines/>
      </w:pPr>
      <w:r>
        <w:t>Teacher question: Where does integrated system appear in the weekly case, and what could go wrong if we omit it?</w:t>
      </w:r>
    </w:p>
    <w:p>
      <w:pPr>
        <w:pStyle w:val="Heading2"/>
        <w:keepLines/>
      </w:pPr>
      <w:r>
        <w:t>Attribution</w:t>
      </w:r>
    </w:p>
    <w:p>
      <w:pPr>
        <w:keepLines/>
      </w:pPr>
      <w:r>
        <w:t>Each learner shows the part they changed and explains the choice.</w:t>
      </w:r>
    </w:p>
    <w:p>
      <w:pPr>
        <w:keepLines/>
      </w:pPr>
      <w:r>
        <w:t>Teacher question: Where does attribution appear in the weekly case, and what could go wrong if we omit it?</w:t>
      </w:r>
    </w:p>
    <w:p>
      <w:pPr>
        <w:pStyle w:val="Heading2"/>
        <w:keepLines/>
      </w:pPr>
      <w:r>
        <w:t>Fresh challenge</w:t>
      </w:r>
    </w:p>
    <w:p>
      <w:pPr>
        <w:keepLines/>
      </w:pPr>
      <w:r>
        <w:t>A new example of a practised failure tests understanding rather than memorization.</w:t>
      </w:r>
    </w:p>
    <w:p>
      <w:pPr>
        <w:keepLines/>
      </w:pPr>
      <w:r>
        <w:t>Teacher question: Where does fresh challenge appear in the weekly case, and what could go wrong if we omit it?</w:t>
      </w:r>
    </w:p>
    <w:p>
      <w:pPr>
        <w:pStyle w:val="Heading2"/>
        <w:keepLines/>
      </w:pPr>
      <w:r>
        <w:t>Handover</w:t>
      </w:r>
    </w:p>
    <w:p>
      <w:pPr>
        <w:keepLines/>
      </w:pPr>
      <w:r>
        <w:t>Another person can run, test and review the solution from written instructions.</w:t>
      </w:r>
    </w:p>
    <w:p>
      <w:pPr>
        <w:keepLines/>
      </w:pPr>
      <w:r>
        <w:t>Teacher question: Where does handover appear in the weekly case, and what could go wrong if we omit it?</w:t>
      </w:r>
    </w:p>
    <w:p>
      <w:pPr>
        <w:pStyle w:val="Heading1"/>
        <w:keepLines/>
      </w:pPr>
      <w:r>
        <w:t>Worked example and answer guide</w:t>
      </w:r>
    </w:p>
    <w:p>
      <w:pPr>
        <w:pStyle w:val="ListBullet"/>
        <w:keepLines/>
      </w:pPr>
      <w:r>
        <w:t>Input: P4: appeals must be filed within ten days.</w:t>
      </w:r>
    </w:p>
    <w:p>
      <w:pPr>
        <w:pStyle w:val="ListBullet"/>
        <w:keepLines/>
      </w:pPr>
      <w:r>
        <w:t>Change or question: Q: May I appeal on day 12?</w:t>
      </w:r>
    </w:p>
    <w:p>
      <w:pPr>
        <w:pStyle w:val="ListBullet"/>
        <w:keepLines/>
      </w:pPr>
      <w:r>
        <w:t>Supported observation: A: No; the ten-day window has passed [P4], subject to the policy version used.</w:t>
      </w:r>
    </w:p>
    <w:p>
      <w:pPr>
        <w:keepLines/>
      </w:pPr>
      <w:r>
        <w:t>Reasoning: state the given evidence first, then the calculation or rule, then the conclusion. If a value is absent, say what cannot be concluded. Keep any simulated mechanism distinct from a trained model or deployed service.</w:t>
      </w:r>
    </w:p>
    <w:p>
      <w:pPr>
        <w:pStyle w:val="Title"/>
        <w:keepLines/>
      </w:pPr>
      <w:r>
        <w:t>Teach the week as a story</w:t>
      </w:r>
    </w:p>
    <w:p>
      <w:pPr>
        <w:keepLines/>
      </w:pPr>
      <w:r>
        <w:t>The fresh policy question: A student appeals on day 12. P4 says appeals must be filed within ten days. The team must answer, cite, test and explain a fresh failure.</w:t>
      </w:r>
    </w:p>
    <w:p>
      <w:pPr>
        <w:keepLines/>
      </w:pPr>
      <w:r>
        <w:t>Ask for a quick prediction before each technical explanation. Return to the prediction after the example and ask what evidence changed the answer. The analogies below are memory aids, and each has a stated limit.</w:t>
      </w:r>
    </w:p>
    <w:p>
      <w:pPr>
        <w:pStyle w:val="Heading1"/>
        <w:keepLines/>
      </w:pPr>
      <w:r>
        <w:t>Integrated system: analogy, mechanism and check</w:t>
      </w:r>
    </w:p>
    <w:p>
      <w:pPr>
        <w:keepLines/>
      </w:pPr>
      <w:r>
        <w:t>Familiar picture: A museum guide checks which rooms a visitor may enter before quoting a label.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Visitor role</w:t>
            </w:r>
          </w:p>
        </w:tc>
        <w:tc>
          <w:tcPr>
            <w:tcW w:type="dxa" w:w="4882"/>
          </w:tcPr>
          <w:p>
            <w:r>
              <w:t>access check</w:t>
            </w:r>
          </w:p>
        </w:tc>
      </w:tr>
      <w:tr>
        <w:tc>
          <w:tcPr>
            <w:tcW w:type="dxa" w:w="4882"/>
          </w:tcPr>
          <w:p>
            <w:r>
              <w:t>Exhibit label</w:t>
            </w:r>
          </w:p>
        </w:tc>
        <w:tc>
          <w:tcPr>
            <w:tcW w:type="dxa" w:w="4882"/>
          </w:tcPr>
          <w:p>
            <w:r>
              <w:t>retrieved P4</w:t>
            </w:r>
          </w:p>
        </w:tc>
      </w:tr>
      <w:tr>
        <w:tc>
          <w:tcPr>
            <w:tcW w:type="dxa" w:w="4882"/>
          </w:tcPr>
          <w:p>
            <w:r>
              <w:t>Guided answer</w:t>
            </w:r>
          </w:p>
        </w:tc>
        <w:tc>
          <w:tcPr>
            <w:tcW w:type="dxa" w:w="4882"/>
          </w:tcPr>
          <w:p>
            <w:r>
              <w:t>cited response</w:t>
            </w:r>
          </w:p>
        </w:tc>
      </w:tr>
    </w:tbl>
    <w:p>
      <w:pPr>
        <w:keepLines/>
      </w:pPr>
      <w:r>
        <w:t>Where this analogy breaks: A citation needs to support the exact statement and the version in force.</w:t>
      </w:r>
    </w:p>
    <w:p>
      <w:pPr>
        <w:keepLines/>
      </w:pPr>
      <w:r>
        <w:t>Actual idea: The student question enters retrieval, access checks, answer construction and evaluation.</w:t>
      </w:r>
    </w:p>
    <w:p>
      <w:pPr>
        <w:keepLines/>
      </w:pPr>
      <w:r>
        <w:t>Work it aloud: For day 12 under the supplied ten-day P4, answer no and cite P4 with the used version.</w:t>
      </w:r>
    </w:p>
    <w:p>
      <w:pPr>
        <w:keepLines/>
      </w:pPr>
      <w:r>
        <w:t>Ask before revealing: Which three checks precede a confident reply?</w:t>
      </w:r>
    </w:p>
    <w:p>
      <w:pPr>
        <w:keepLines/>
      </w:pPr>
      <w:r>
        <w:t>Supported response: Allowed source, relevant passage and supported claim.</w:t>
      </w:r>
    </w:p>
    <w:p>
      <w:pPr>
        <w:keepLines/>
      </w:pPr>
      <w:r>
        <w:t>Look for this misconception: An answer is valid because it includes [P4].</w:t>
      </w:r>
    </w:p>
    <w:p>
      <w:pPr>
        <w:pStyle w:val="Heading1"/>
        <w:keepLines/>
      </w:pPr>
      <w:r>
        <w:t>Attribution: analogy, mechanism and check</w:t>
      </w:r>
    </w:p>
    <w:p>
      <w:pPr>
        <w:keepLines/>
      </w:pPr>
      <w:r>
        <w:t>Familiar picture: A science notebook shows a changed setting, observation and explanation.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Setting change</w:t>
            </w:r>
          </w:p>
        </w:tc>
        <w:tc>
          <w:tcPr>
            <w:tcW w:type="dxa" w:w="4882"/>
          </w:tcPr>
          <w:p>
            <w:r>
              <w:t>your code change</w:t>
            </w:r>
          </w:p>
        </w:tc>
      </w:tr>
      <w:tr>
        <w:tc>
          <w:tcPr>
            <w:tcW w:type="dxa" w:w="4882"/>
          </w:tcPr>
          <w:p>
            <w:r>
              <w:t>Measurement</w:t>
            </w:r>
          </w:p>
        </w:tc>
        <w:tc>
          <w:tcPr>
            <w:tcW w:type="dxa" w:w="4882"/>
          </w:tcPr>
          <w:p>
            <w:r>
              <w:t>experiment table</w:t>
            </w:r>
          </w:p>
        </w:tc>
      </w:tr>
      <w:tr>
        <w:tc>
          <w:tcPr>
            <w:tcW w:type="dxa" w:w="4882"/>
          </w:tcPr>
          <w:p>
            <w:r>
              <w:t>Reason</w:t>
            </w:r>
          </w:p>
        </w:tc>
        <w:tc>
          <w:tcPr>
            <w:tcW w:type="dxa" w:w="4882"/>
          </w:tcPr>
          <w:p>
            <w:r>
              <w:t>individual explanation</w:t>
            </w:r>
          </w:p>
        </w:tc>
      </w:tr>
    </w:tbl>
    <w:p>
      <w:pPr>
        <w:keepLines/>
      </w:pPr>
      <w:r>
        <w:t>Where this analogy breaks: A before/after result in one toy case cannot establish general reliability.</w:t>
      </w:r>
    </w:p>
    <w:p>
      <w:pPr>
        <w:keepLines/>
      </w:pPr>
      <w:r>
        <w:t>Actual idea: Each learner shows the part they changed and explains the choice.</w:t>
      </w:r>
    </w:p>
    <w:p>
      <w:pPr>
        <w:keepLines/>
      </w:pPr>
      <w:r>
        <w:t>Work it aloud: Show baseline, chosen setting, case counts and one error that still remains.</w:t>
      </w:r>
    </w:p>
    <w:p>
      <w:pPr>
        <w:keepLines/>
      </w:pPr>
      <w:r>
        <w:t>Ask before revealing: What proves the work is yours and reproducible?</w:t>
      </w:r>
    </w:p>
    <w:p>
      <w:pPr>
        <w:keepLines/>
      </w:pPr>
      <w:r>
        <w:t>Supported response: The changed code, settings, inputs and explanation.</w:t>
      </w:r>
    </w:p>
    <w:p>
      <w:pPr>
        <w:keepLines/>
      </w:pPr>
      <w:r>
        <w:t>Look for this misconception: A polished demonstration alone proves understanding.</w:t>
      </w:r>
    </w:p>
    <w:p>
      <w:pPr>
        <w:pStyle w:val="Heading1"/>
        <w:keepLines/>
      </w:pPr>
      <w:r>
        <w:t>Fresh challenge: analogy, mechanism and check</w:t>
      </w:r>
    </w:p>
    <w:p>
      <w:pPr>
        <w:keepLines/>
      </w:pPr>
      <w:r>
        <w:t>Familiar picture: A mechanic diagnoses a new symptom by testing the failing part.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Symptom</w:t>
            </w:r>
          </w:p>
        </w:tc>
        <w:tc>
          <w:tcPr>
            <w:tcW w:type="dxa" w:w="4882"/>
          </w:tcPr>
          <w:p>
            <w:r>
              <w:t>new failure</w:t>
            </w:r>
          </w:p>
        </w:tc>
      </w:tr>
      <w:tr>
        <w:tc>
          <w:tcPr>
            <w:tcW w:type="dxa" w:w="4882"/>
          </w:tcPr>
          <w:p>
            <w:r>
              <w:t>Component</w:t>
            </w:r>
          </w:p>
        </w:tc>
        <w:tc>
          <w:tcPr>
            <w:tcW w:type="dxa" w:w="4882"/>
          </w:tcPr>
          <w:p>
            <w:r>
              <w:t>likely layer</w:t>
            </w:r>
          </w:p>
        </w:tc>
      </w:tr>
      <w:tr>
        <w:tc>
          <w:tcPr>
            <w:tcW w:type="dxa" w:w="4882"/>
          </w:tcPr>
          <w:p>
            <w:r>
              <w:t>Check</w:t>
            </w:r>
          </w:p>
        </w:tc>
        <w:tc>
          <w:tcPr>
            <w:tcW w:type="dxa" w:w="4882"/>
          </w:tcPr>
          <w:p>
            <w:r>
              <w:t>targeted test</w:t>
            </w:r>
          </w:p>
        </w:tc>
      </w:tr>
    </w:tbl>
    <w:p>
      <w:pPr>
        <w:keepLines/>
      </w:pPr>
      <w:r>
        <w:t>Where this analogy breaks: Some failures cross layers; record uncertainty and test competing causes.</w:t>
      </w:r>
    </w:p>
    <w:p>
      <w:pPr>
        <w:keepLines/>
      </w:pPr>
      <w:r>
        <w:t>Actual idea: A new example of a practised failure tests understanding rather than memorization.</w:t>
      </w:r>
    </w:p>
    <w:p>
      <w:pPr>
        <w:keepLines/>
      </w:pPr>
      <w:r>
        <w:t>Work it aloud: If P4 is retrieved but the answer says 12 days is allowed, test claim support before changing search.</w:t>
      </w:r>
    </w:p>
    <w:p>
      <w:pPr>
        <w:keepLines/>
      </w:pPr>
      <w:r>
        <w:t>Ask before revealing: Which layer deserves the first test here?</w:t>
      </w:r>
    </w:p>
    <w:p>
      <w:pPr>
        <w:keepLines/>
      </w:pPr>
      <w:r>
        <w:t>Supported response: Answer support using the retrieved P4 passage.</w:t>
      </w:r>
    </w:p>
    <w:p>
      <w:pPr>
        <w:keepLines/>
      </w:pPr>
      <w:r>
        <w:t>Look for this misconception: Every wrong answer is a retrieval failure.</w:t>
      </w:r>
    </w:p>
    <w:p>
      <w:pPr>
        <w:pStyle w:val="Heading1"/>
        <w:keepLines/>
      </w:pPr>
      <w:r>
        <w:t>Handover: analogy, mechanism and check</w:t>
      </w:r>
    </w:p>
    <w:p>
      <w:pPr>
        <w:keepLines/>
      </w:pPr>
      <w:r>
        <w:t>Familiar picture: A relief teacher can run a lesson from a clear folder and known limits.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Folder</w:t>
            </w:r>
          </w:p>
        </w:tc>
        <w:tc>
          <w:tcPr>
            <w:tcW w:type="dxa" w:w="4882"/>
          </w:tcPr>
          <w:p>
            <w:r>
              <w:t>setup guide</w:t>
            </w:r>
          </w:p>
        </w:tc>
      </w:tr>
      <w:tr>
        <w:tc>
          <w:tcPr>
            <w:tcW w:type="dxa" w:w="4882"/>
          </w:tcPr>
          <w:p>
            <w:r>
              <w:t>Known gaps</w:t>
            </w:r>
          </w:p>
        </w:tc>
        <w:tc>
          <w:tcPr>
            <w:tcW w:type="dxa" w:w="4882"/>
          </w:tcPr>
          <w:p>
            <w:r>
              <w:t>limitations</w:t>
            </w:r>
          </w:p>
        </w:tc>
      </w:tr>
      <w:tr>
        <w:tc>
          <w:tcPr>
            <w:tcW w:type="dxa" w:w="4882"/>
          </w:tcPr>
          <w:p>
            <w:r>
              <w:t>Trial run</w:t>
            </w:r>
          </w:p>
        </w:tc>
        <w:tc>
          <w:tcPr>
            <w:tcW w:type="dxa" w:w="4882"/>
          </w:tcPr>
          <w:p>
            <w:r>
              <w:t>repeatable handover</w:t>
            </w:r>
          </w:p>
        </w:tc>
      </w:tr>
    </w:tbl>
    <w:p>
      <w:pPr>
        <w:keepLines/>
      </w:pPr>
      <w:r>
        <w:t>Where this analogy breaks: Documentation can go stale; date versions and rerun the checks.</w:t>
      </w:r>
    </w:p>
    <w:p>
      <w:pPr>
        <w:keepLines/>
      </w:pPr>
      <w:r>
        <w:t>Actual idea: Another person can run, test and review the solution from written instructions.</w:t>
      </w:r>
    </w:p>
    <w:p>
      <w:pPr>
        <w:keepLines/>
      </w:pPr>
      <w:r>
        <w:t>Work it aloud: Give installation steps, source versions, test commands, role rules and rollback instructions.</w:t>
      </w:r>
    </w:p>
    <w:p>
      <w:pPr>
        <w:keepLines/>
      </w:pPr>
      <w:r>
        <w:t>Ask before revealing: What can the next maintainer reproduce?</w:t>
      </w:r>
    </w:p>
    <w:p>
      <w:pPr>
        <w:keepLines/>
      </w:pPr>
      <w:r>
        <w:t>Supported response: The setup, evaluation and known-failure checks from the handover.</w:t>
      </w:r>
    </w:p>
    <w:p>
      <w:pPr>
        <w:keepLines/>
      </w:pPr>
      <w:r>
        <w:t>Look for this misconception: The notebook is self-explanatory without instructions.</w:t>
      </w:r>
    </w:p>
    <w:p>
      <w:pPr>
        <w:pStyle w:val="Heading1"/>
        <w:keepLines/>
      </w:pPr>
      <w:r>
        <w:t>New situation for discussion</w:t>
      </w:r>
    </w:p>
    <w:p>
      <w:pPr>
        <w:keepLines/>
      </w:pPr>
      <w:r>
        <w:t>A new policy edition changes the appeal window. What records, index and tests need updating?</w:t>
      </w:r>
    </w:p>
    <w:p>
      <w:pPr>
        <w:keepLines/>
      </w:pPr>
      <w:r>
        <w:t>Memory cue: Show the question-to-evidence path, your measured change and a repeatable handover.</w:t>
      </w:r>
    </w:p>
    <w:p>
      <w:pPr>
        <w:pStyle w:val="Heading1"/>
        <w:keepLines/>
      </w:pPr>
      <w:r>
        <w:t>Guided laboratory</w:t>
      </w:r>
    </w:p>
    <w:p>
      <w:pPr>
        <w:keepLines/>
      </w:pPr>
      <w:r>
        <w:t>Present a self-contained end-to-end policy assistant.</w:t>
      </w:r>
    </w:p>
    <w:p>
      <w:pPr>
        <w:keepLines/>
      </w:pPr>
      <w:r>
        <w:t>1. Run an answerable student policy question</w:t>
      </w:r>
    </w:p>
    <w:p>
      <w:pPr>
        <w:keepLines/>
      </w:pPr>
      <w:r>
        <w:t>2. Run a no-answer question</w:t>
      </w:r>
    </w:p>
    <w:p>
      <w:pPr>
        <w:keepLines/>
      </w:pPr>
      <w:r>
        <w:t>3. Demonstrate blocked staff-only access</w:t>
      </w:r>
    </w:p>
    <w:p>
      <w:pPr>
        <w:keepLines/>
      </w:pPr>
      <w:r>
        <w:t>4. Explain one failure and propose a new test</w:t>
      </w:r>
    </w:p>
    <w:p>
      <w:pPr>
        <w:keepLines/>
      </w:pPr>
      <w:r>
        <w:t>Individual change: Use a new policy version and explain which index and tests must change. Expected evidence: Demo, test table, known limits and individual explanation.</w:t>
      </w:r>
    </w:p>
    <w:p>
      <w:pPr>
        <w:pStyle w:val="Heading1"/>
        <w:keepLines/>
      </w:pPr>
      <w:r>
        <w:t>Checks and common error</w:t>
      </w:r>
    </w:p>
    <w:p>
      <w:pPr>
        <w:keepLines/>
      </w:pPr>
      <w:r>
        <w:t>Measure: Task success, citation support, no-answer accuracy and access gate. Record the input, setting, source version, result and the relevant numerator and denominator.</w:t>
      </w:r>
    </w:p>
    <w:p>
      <w:pPr>
        <w:keepLines/>
      </w:pPr>
      <w:r>
        <w:t>Plausible incorrect claim: A polished demonstration without tests establishes that the system is ready.</w:t>
      </w:r>
    </w:p>
    <w:p>
      <w:pPr>
        <w:keepLines/>
      </w:pPr>
      <w:r>
        <w:t>Correction: Show the test cases, negative cases, access result and remaining limitations.</w:t>
      </w:r>
    </w:p>
    <w:p>
      <w:pPr>
        <w:keepLines/>
      </w:pPr>
      <w:r>
        <w:t>If learners disagree, reproduce the same case and compare the underlying source or expected answer. Record unresolved cases for instructor review.</w:t>
      </w:r>
    </w:p>
    <w:p>
      <w:pPr>
        <w:pStyle w:val="Heading1"/>
        <w:keepLines/>
      </w:pPr>
      <w:r>
        <w:t>Further discussion</w:t>
      </w:r>
    </w:p>
    <w:p>
      <w:pPr>
        <w:pStyle w:val="ListBullet"/>
        <w:keepLines/>
      </w:pPr>
      <w:r>
        <w:t>How could the conclusion change if the source or input changes?</w:t>
      </w:r>
    </w:p>
    <w:p>
      <w:pPr>
        <w:pStyle w:val="ListBullet"/>
        <w:keepLines/>
      </w:pPr>
      <w:r>
        <w:t>Which part of the result is observed and which part is an assumption?</w:t>
      </w:r>
    </w:p>
    <w:p>
      <w:pPr>
        <w:pStyle w:val="ListBullet"/>
        <w:keepLines/>
      </w:pPr>
      <w:r>
        <w:t>What simple test would detect the failure described above?</w:t>
      </w:r>
    </w:p>
    <w:p>
      <w:pPr>
        <w:pStyle w:val="Heading1"/>
        <w:keepLines/>
      </w:pPr>
      <w:r>
        <w:t>References and optional extension</w:t>
      </w:r>
    </w:p>
    <w:p>
      <w:pPr>
        <w:keepLines/>
      </w:pPr>
      <w:r>
        <w:t>Core readings are official vendor documentation or original research. Read the relevant section; an account or paid API is unnecessary for this notebook. Page details may change before 2027.</w:t>
      </w:r>
    </w:p>
    <w:p>
      <w:pPr>
        <w:keepLines/>
      </w:pPr>
      <w:r>
        <w:t>Microsoft, Retrieval augmented generation. https://learn.microsoft.com/en-us/azure/foundry/concepts/retrieval-augmented-generation</w:t>
      </w:r>
    </w:p>
    <w:p>
      <w:pPr>
        <w:keepLines/>
      </w:pPr>
      <w:r>
        <w:t>OpenAI, Evaluation best practices. https://developers.openai.com/api/docs/guides/evaluation-best-practices</w:t>
      </w:r>
    </w:p>
    <w:p>
      <w:pPr>
        <w:keepLines/>
      </w:pPr>
      <w:r>
        <w:t>Anthropic, Building effective agents. https://www.anthropic.com/engineering/building-effective-agents</w:t>
      </w:r>
    </w:p>
    <w:p>
      <w:pPr>
        <w:keepLines/>
      </w:pPr>
      <w:r>
        <w:t>Optional extension: replace one classroom proxy with a locally approved model or service, keep the original baseline, repeat the same checks, and state the additional privacy and cost assumptions.</w:t>
      </w:r>
    </w:p>
    <w:p>
      <w:pPr>
        <w:keepLines/>
      </w:pPr>
      <w:r>
        <w:t>Curriculum scope: the supplied 12-week teaching sequence, recorded in docs/SYLLABUS_ALIGNMENT.md. The original module descriptor is retained in sources/originals/07-Descriptor-Generative-AI-new-.docx. Supporting project notes: Deep-reserach.txt, RAG.txt, AI-Agents.txt, MCP-&amp;-Vectore-Database.txt, Muti-Agent-AI-System.txt, Eval-&amp;-Finetune&amp;-Loop-Enginnering.txt. These are planning sources, not empirical performance evidence.</w:t>
      </w:r>
    </w:p>
    <w:p>
      <w:pPr>
        <w:pStyle w:val="Title"/>
        <w:keepLines/>
      </w:pPr>
      <w:r>
        <w:t>Student revision and exam preparation</w:t>
      </w:r>
    </w:p>
    <w:p>
      <w:pPr>
        <w:keepLines/>
      </w:pPr>
      <w:r>
        <w:t>Outcomes: LO1–LO5 | 2 hours concepts + 2 hours guided practice</w:t>
      </w:r>
    </w:p>
    <w:p>
      <w:pPr>
        <w:pStyle w:val="Heading1"/>
        <w:keepLines/>
      </w:pPr>
      <w:r>
        <w:t>The idea in plain language</w:t>
      </w:r>
    </w:p>
    <w:p>
      <w:pPr>
        <w:keepLines/>
      </w:pPr>
      <w:r>
        <w:t>A final demonstration must show an answerable case, an unsupported case, a denied-access case and recovery from a failure. Each learner explains their own change. Compare against week 1 only on matched questions with consistent scoring.</w:t>
      </w:r>
    </w:p>
    <w:p>
      <w:pPr>
        <w:pStyle w:val="Heading1"/>
        <w:keepLines/>
      </w:pPr>
      <w:r>
        <w:t>A worked example</w:t>
      </w:r>
    </w:p>
    <w:p>
      <w:pPr>
        <w:keepLines/>
      </w:pPr>
      <w:r>
        <w:t>Run the same two travel and appeal questions on baseline and final versions. Count supported correct answers under the same rubric. Explain changed settings and unresolved failures; do not compare a ten-question baseline percentage with a different final dataset as if they were controlled.</w:t>
      </w:r>
    </w:p>
    <w:p>
      <w:pPr>
        <w:pStyle w:val="Heading1"/>
        <w:keepLines/>
      </w:pPr>
      <w:r>
        <w:t>Practice before reading the answers</w:t>
      </w:r>
    </w:p>
    <w:p>
      <w:pPr>
        <w:keepLines/>
      </w:pPr>
      <w:r>
        <w:t>1. What makes a fair baseline comparison? (4 suggested practice marks)</w:t>
      </w:r>
    </w:p>
    <w:p>
      <w:pPr>
        <w:keepLines/>
      </w:pPr>
      <w:r>
        <w:t>2. Name the four demonstration cases. (4 suggested practice marks)</w:t>
      </w:r>
    </w:p>
    <w:p>
      <w:pPr>
        <w:keepLines/>
      </w:pPr>
      <w:r>
        <w:t>3. What should an individual explanation include? (4 suggested practice marks)</w:t>
      </w:r>
    </w:p>
    <w:p>
      <w:pPr>
        <w:keepLines/>
      </w:pPr>
      <w:r>
        <w:t>Draw the main diagram from memory, explain each arrow, then check it against the slides. Answer the three questions without notes before reading the model answers.</w:t>
      </w:r>
    </w:p>
    <w:p>
      <w:pPr>
        <w:pStyle w:val="Heading1"/>
        <w:keepLines/>
      </w:pPr>
      <w:r>
        <w:t>Model answers and marking guidance</w:t>
      </w:r>
    </w:p>
    <w:p>
      <w:pPr>
        <w:keepLines/>
      </w:pPr>
      <w:r>
        <w:t>1. Same task, matched cases, source version and scoring rubric, with changes and variability recorded.</w:t>
      </w:r>
    </w:p>
    <w:p>
      <w:pPr>
        <w:keepLines/>
      </w:pPr>
      <w:r>
        <w:t>2. Answerable, unsupported, access denied, and failure recovery.</w:t>
      </w:r>
    </w:p>
    <w:p>
      <w:pPr>
        <w:keepLines/>
      </w:pPr>
      <w:r>
        <w:t>3. The learner’s own change, why they made it, test evidence and a remaining limitation.</w:t>
      </w:r>
    </w:p>
    <w:p>
      <w:pPr>
        <w:keepLines/>
      </w:pPr>
      <w:r>
        <w:t>For each four-mark practice answer: two marks for the correct idea, one for a relevant example or calculation, one for an appropriate explanation or limitation. These suggested practice marks do not change the module assessment scheme.</w:t>
      </w:r>
    </w:p>
    <w:p>
      <w:pPr>
        <w:pStyle w:val="Heading1"/>
        <w:keepLines/>
      </w:pPr>
      <w:r>
        <w:t>Official reading and video support</w:t>
      </w:r>
    </w:p>
    <w:p>
      <w:pPr>
        <w:keepLines/>
      </w:pPr>
      <w:r>
        <w:t>M1  Microsoft Learn: Introduction to retrieval-augmented generation concepts</w:t>
        <w:br/>
        <w:t>https://learn.microsoft.com/en-us/training/modules/rag-fundamentals/</w:t>
        <w:br/>
        <w:t>Study focus: Preparation, retrieval, generation and evaluation.</w:t>
      </w:r>
    </w:p>
    <w:p>
      <w:pPr>
        <w:keepLines/>
      </w:pPr>
      <w:r>
        <w:t>O1  OpenAI: Evaluation best practices</w:t>
        <w:br/>
        <w:t>https://developers.openai.com/api/docs/guides/evaluation-best-practices</w:t>
        <w:br/>
        <w:t>Study focus: Task-specific testing, repeated outputs and separate evaluation cases.</w:t>
      </w:r>
    </w:p>
    <w:p>
      <w:pPr>
        <w:keepLines/>
      </w:pPr>
      <w:r>
        <w:t>N1  NVIDIA: Generative AI and LLM Learning Paths</w:t>
        <w:br/>
        <w:t>https://www.nvidia.com/en-us/learn/learning-path/generative-ai-llm/</w:t>
        <w:br/>
        <w:t>Study focus: Optional deeper RAG, diffusion and deployment training; some courses require payment.</w:t>
      </w:r>
    </w:p>
    <w:p>
      <w:pPr>
        <w:keepLines/>
      </w:pPr>
      <w:r>
        <w:t>Selected source concepts inform the lesson. Examples, figures, questions and solutions are original classroom material; no exam questions are claimed to be official.</w:t>
      </w:r>
    </w:p>
    <w:sectPr w:rsidR="00FC693F" w:rsidRPr="0006063C" w:rsidSect="00034616">
      <w:pgSz w:w="12240" w:h="15840"/>
      <w:pgMar w:top="1037" w:right="1238" w:bottom="979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5F8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84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