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Week 07: Building and checking RAG</w:t>
      </w:r>
    </w:p>
    <w:p>
      <w:pPr>
        <w:keepLines/>
      </w:pPr>
      <w:r>
        <w:t>Generative AI | MSc teaching notes and further reading | 2027</w:t>
      </w:r>
    </w:p>
    <w:p>
      <w:pPr>
        <w:pStyle w:val="Heading1"/>
        <w:keepLines/>
      </w:pPr>
      <w:r>
        <w:t>Learning target</w:t>
      </w:r>
    </w:p>
    <w:p>
      <w:pPr>
        <w:keepLines/>
      </w:pPr>
      <w:r>
        <w:t>Connect retrieved evidence to an answer and abstain when support is absent.</w:t>
      </w:r>
    </w:p>
    <w:p>
      <w:pPr>
        <w:pStyle w:val="Heading1"/>
        <w:keepLines/>
      </w:pPr>
      <w:r>
        <w:t>Context and teaching plan</w:t>
      </w:r>
    </w:p>
    <w:p>
      <w:pPr>
        <w:keepLines/>
      </w:pPr>
      <w:r>
        <w:t>The college-policy assistant answers questions with policy IDs.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Contact time</w:t>
            </w:r>
          </w:p>
        </w:tc>
        <w:tc>
          <w:tcPr>
            <w:tcW w:type="dxa" w:w="4882"/>
          </w:tcPr>
          <w:p>
            <w:r>
              <w:t>Suggested use</w:t>
            </w:r>
          </w:p>
        </w:tc>
      </w:tr>
      <w:tr>
        <w:tc>
          <w:tcPr>
            <w:tcW w:type="dxa" w:w="4882"/>
          </w:tcPr>
          <w:p>
            <w:r>
              <w:t>Two hours: concepts</w:t>
            </w:r>
          </w:p>
        </w:tc>
        <w:tc>
          <w:tcPr>
            <w:tcW w:type="dxa" w:w="4882"/>
          </w:tcPr>
          <w:p>
            <w:r>
              <w:t>Case introduction, four ideas, worked example and misconception.</w:t>
            </w:r>
          </w:p>
        </w:tc>
      </w:tr>
      <w:tr>
        <w:tc>
          <w:tcPr>
            <w:tcW w:type="dxa" w:w="4882"/>
          </w:tcPr>
          <w:p>
            <w:r>
              <w:t>Two hours: practice</w:t>
            </w:r>
          </w:p>
        </w:tc>
        <w:tc>
          <w:tcPr>
            <w:tcW w:type="dxa" w:w="4882"/>
          </w:tcPr>
          <w:p>
            <w:r>
              <w:t>10 min recall, 20 min demo, 40 min guided practice, 25 min independent change, 15 min review, 10 min exit check.</w:t>
            </w:r>
          </w:p>
        </w:tc>
      </w:tr>
    </w:tbl>
    <w:p>
      <w:pPr>
        <w:pStyle w:val="Heading1"/>
        <w:keepLines/>
      </w:pPr>
      <w:r>
        <w:t>Explain the key ideas</w:t>
      </w:r>
    </w:p>
    <w:p>
      <w:pPr>
        <w:pStyle w:val="Heading2"/>
        <w:keepLines/>
      </w:pPr>
      <w:r>
        <w:t>RAG</w:t>
      </w:r>
    </w:p>
    <w:p>
      <w:pPr>
        <w:keepLines/>
      </w:pPr>
      <w:r>
        <w:t>Retrieve relevant text for the current request, then draft an answer bounded by that text.</w:t>
      </w:r>
    </w:p>
    <w:p>
      <w:pPr>
        <w:keepLines/>
      </w:pPr>
      <w:r>
        <w:t>Teacher question: Where does rag appear in the weekly case, and what could go wrong if we omit it?</w:t>
      </w:r>
    </w:p>
    <w:p>
      <w:pPr>
        <w:pStyle w:val="Heading2"/>
        <w:keepLines/>
      </w:pPr>
      <w:r>
        <w:t>Citation support</w:t>
      </w:r>
    </w:p>
    <w:p>
      <w:pPr>
        <w:keepLines/>
      </w:pPr>
      <w:r>
        <w:t>Check every material claim against the cited passage.</w:t>
      </w:r>
    </w:p>
    <w:p>
      <w:pPr>
        <w:keepLines/>
      </w:pPr>
      <w:r>
        <w:t>Teacher question: Where does citation support appear in the weekly case, and what could go wrong if we omit it?</w:t>
      </w:r>
    </w:p>
    <w:p>
      <w:pPr>
        <w:pStyle w:val="Heading2"/>
        <w:keepLines/>
      </w:pPr>
      <w:r>
        <w:t>No-answer case</w:t>
      </w:r>
    </w:p>
    <w:p>
      <w:pPr>
        <w:keepLines/>
      </w:pPr>
      <w:r>
        <w:t>If approved sources lack an answer, return a clear unsupported status.</w:t>
      </w:r>
    </w:p>
    <w:p>
      <w:pPr>
        <w:keepLines/>
      </w:pPr>
      <w:r>
        <w:t>Teacher question: Where does no-answer case appear in the weekly case, and what could go wrong if we omit it?</w:t>
      </w:r>
    </w:p>
    <w:p>
      <w:pPr>
        <w:pStyle w:val="Heading2"/>
        <w:keepLines/>
      </w:pPr>
      <w:r>
        <w:t>Test split</w:t>
      </w:r>
    </w:p>
    <w:p>
      <w:pPr>
        <w:keepLines/>
      </w:pPr>
      <w:r>
        <w:t>Use 20 practice questions for improvements and keep ten separate questions for final checking.</w:t>
      </w:r>
    </w:p>
    <w:p>
      <w:pPr>
        <w:keepLines/>
      </w:pPr>
      <w:r>
        <w:t>Teacher question: Where does test split appear in the weekly case, and what could go wrong if we omit it?</w:t>
      </w:r>
    </w:p>
    <w:p>
      <w:pPr>
        <w:pStyle w:val="Heading1"/>
        <w:keepLines/>
      </w:pPr>
      <w:r>
        <w:t>Worked example and answer guide</w:t>
      </w:r>
    </w:p>
    <w:p>
      <w:pPr>
        <w:pStyle w:val="ListBullet"/>
        <w:keepLines/>
      </w:pPr>
      <w:r>
        <w:t>Input: P3: Students may request one deadline extension within seven days.</w:t>
      </w:r>
    </w:p>
    <w:p>
      <w:pPr>
        <w:pStyle w:val="ListBullet"/>
        <w:keepLines/>
      </w:pPr>
      <w:r>
        <w:t>Change or question: Q: How many extensions are allowed?</w:t>
      </w:r>
    </w:p>
    <w:p>
      <w:pPr>
        <w:pStyle w:val="ListBullet"/>
        <w:keepLines/>
      </w:pPr>
      <w:r>
        <w:t>Supported observation: A: One deadline extension [P3].</w:t>
      </w:r>
    </w:p>
    <w:p>
      <w:pPr>
        <w:keepLines/>
      </w:pPr>
      <w:r>
        <w:t>Reasoning: state the given evidence first, then the calculation or rule, then the conclusion. If a value is absent, say what cannot be concluded. Keep any simulated mechanism distinct from a trained model or deployed service.</w:t>
      </w:r>
    </w:p>
    <w:p>
      <w:pPr>
        <w:pStyle w:val="Title"/>
        <w:keepLines/>
      </w:pPr>
      <w:r>
        <w:t>Teach the week as a story</w:t>
      </w:r>
    </w:p>
    <w:p>
      <w:pPr>
        <w:keepLines/>
      </w:pPr>
      <w:r>
        <w:t>The cited deadline answer: The assistant cites P3 for “two extensions,” but P3 permits one. A citation is present. Is the answer supported?</w:t>
      </w:r>
    </w:p>
    <w:p>
      <w:pPr>
        <w:keepLines/>
      </w:pPr>
      <w:r>
        <w:t>Ask for a quick prediction before each technical explanation. Return to the prediction after the example and ask what evidence changed the answer. The analogies below are memory aids, and each has a stated limit.</w:t>
      </w:r>
    </w:p>
    <w:p>
      <w:pPr>
        <w:pStyle w:val="Heading1"/>
        <w:keepLines/>
      </w:pPr>
      <w:r>
        <w:t>RAG: analogy, mechanism and check</w:t>
      </w:r>
    </w:p>
    <w:p>
      <w:pPr>
        <w:keepLines/>
      </w:pPr>
      <w:r>
        <w:t>Familiar picture: An open-book examiner finds the page before writing the answer.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Question</w:t>
            </w:r>
          </w:p>
        </w:tc>
        <w:tc>
          <w:tcPr>
            <w:tcW w:type="dxa" w:w="4882"/>
          </w:tcPr>
          <w:p>
            <w:r>
              <w:t>query</w:t>
            </w:r>
          </w:p>
        </w:tc>
      </w:tr>
      <w:tr>
        <w:tc>
          <w:tcPr>
            <w:tcW w:type="dxa" w:w="4882"/>
          </w:tcPr>
          <w:p>
            <w:r>
              <w:t>Open page</w:t>
            </w:r>
          </w:p>
        </w:tc>
        <w:tc>
          <w:tcPr>
            <w:tcW w:type="dxa" w:w="4882"/>
          </w:tcPr>
          <w:p>
            <w:r>
              <w:t>retrieved passage</w:t>
            </w:r>
          </w:p>
        </w:tc>
      </w:tr>
      <w:tr>
        <w:tc>
          <w:tcPr>
            <w:tcW w:type="dxa" w:w="4882"/>
          </w:tcPr>
          <w:p>
            <w:r>
              <w:t>Answer</w:t>
            </w:r>
          </w:p>
        </w:tc>
        <w:tc>
          <w:tcPr>
            <w:tcW w:type="dxa" w:w="4882"/>
          </w:tcPr>
          <w:p>
            <w:r>
              <w:t>cited reply</w:t>
            </w:r>
          </w:p>
        </w:tc>
      </w:tr>
    </w:tbl>
    <w:p>
      <w:pPr>
        <w:keepLines/>
      </w:pPr>
      <w:r>
        <w:t>Where this analogy breaks: Retrieval can pick an irrelevant page; answer quality depends on what was found.</w:t>
      </w:r>
    </w:p>
    <w:p>
      <w:pPr>
        <w:keepLines/>
      </w:pPr>
      <w:r>
        <w:t>Actual idea: Retrieve relevant text for the current request, then draft an answer bounded by that text.</w:t>
      </w:r>
    </w:p>
    <w:p>
      <w:pPr>
        <w:keepLines/>
      </w:pPr>
      <w:r>
        <w:t>Work it aloud: P3 states one extension in seven days; answer “one [P3]” after retrieving P3.</w:t>
      </w:r>
    </w:p>
    <w:p>
      <w:pPr>
        <w:keepLines/>
      </w:pPr>
      <w:r>
        <w:t>Ask before revealing: Which step happens before drafting?</w:t>
      </w:r>
    </w:p>
    <w:p>
      <w:pPr>
        <w:keepLines/>
      </w:pPr>
      <w:r>
        <w:t>Supported response: Find the relevant allowed passage.</w:t>
      </w:r>
    </w:p>
    <w:p>
      <w:pPr>
        <w:keepLines/>
      </w:pPr>
      <w:r>
        <w:t>Look for this misconception: A citation added afterward repairs a false answer.</w:t>
      </w:r>
    </w:p>
    <w:p>
      <w:pPr>
        <w:pStyle w:val="Heading1"/>
        <w:keepLines/>
      </w:pPr>
      <w:r>
        <w:t>Citation support: analogy, mechanism and check</w:t>
      </w:r>
    </w:p>
    <w:p>
      <w:pPr>
        <w:keepLines/>
      </w:pPr>
      <w:r>
        <w:t>Familiar picture: A footnote is useful only when its source actually says the claim.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Sentence</w:t>
            </w:r>
          </w:p>
        </w:tc>
        <w:tc>
          <w:tcPr>
            <w:tcW w:type="dxa" w:w="4882"/>
          </w:tcPr>
          <w:p>
            <w:r>
              <w:t>claim</w:t>
            </w:r>
          </w:p>
        </w:tc>
      </w:tr>
      <w:tr>
        <w:tc>
          <w:tcPr>
            <w:tcW w:type="dxa" w:w="4882"/>
          </w:tcPr>
          <w:p>
            <w:r>
              <w:t>Footnote</w:t>
            </w:r>
          </w:p>
        </w:tc>
        <w:tc>
          <w:tcPr>
            <w:tcW w:type="dxa" w:w="4882"/>
          </w:tcPr>
          <w:p>
            <w:r>
              <w:t>source ID</w:t>
            </w:r>
          </w:p>
        </w:tc>
      </w:tr>
      <w:tr>
        <w:tc>
          <w:tcPr>
            <w:tcW w:type="dxa" w:w="4882"/>
          </w:tcPr>
          <w:p>
            <w:r>
              <w:t>Highlight</w:t>
            </w:r>
          </w:p>
        </w:tc>
        <w:tc>
          <w:tcPr>
            <w:tcW w:type="dxa" w:w="4882"/>
          </w:tcPr>
          <w:p>
            <w:r>
              <w:t>supporting span</w:t>
            </w:r>
          </w:p>
        </w:tc>
      </w:tr>
    </w:tbl>
    <w:p>
      <w:pPr>
        <w:keepLines/>
      </w:pPr>
      <w:r>
        <w:t>Where this analogy breaks: Checking entailment can involve nuance; use a human for disputed cases.</w:t>
      </w:r>
    </w:p>
    <w:p>
      <w:pPr>
        <w:keepLines/>
      </w:pPr>
      <w:r>
        <w:t>Actual idea: Check every material claim against the cited passage.</w:t>
      </w:r>
    </w:p>
    <w:p>
      <w:pPr>
        <w:keepLines/>
      </w:pPr>
      <w:r>
        <w:t>Work it aloud: “Two extensions [P3]” is unsupported because P3 says one, even though the ID exists.</w:t>
      </w:r>
    </w:p>
    <w:p>
      <w:pPr>
        <w:keepLines/>
      </w:pPr>
      <w:r>
        <w:t>Ask before revealing: What must be checked beyond the presence of a citation?</w:t>
      </w:r>
    </w:p>
    <w:p>
      <w:pPr>
        <w:keepLines/>
      </w:pPr>
      <w:r>
        <w:t>Supported response: The passage must support the exact claim.</w:t>
      </w:r>
    </w:p>
    <w:p>
      <w:pPr>
        <w:keepLines/>
      </w:pPr>
      <w:r>
        <w:t>Look for this misconception: Any source ID proves the sentence.</w:t>
      </w:r>
    </w:p>
    <w:p>
      <w:pPr>
        <w:pStyle w:val="Heading1"/>
        <w:keepLines/>
      </w:pPr>
      <w:r>
        <w:t>No-answer case: analogy, mechanism and check</w:t>
      </w:r>
    </w:p>
    <w:p>
      <w:pPr>
        <w:keepLines/>
      </w:pPr>
      <w:r>
        <w:t>Familiar picture: A careful researcher leaves a blank when the archive lacks evidence.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Missing page</w:t>
            </w:r>
          </w:p>
        </w:tc>
        <w:tc>
          <w:tcPr>
            <w:tcW w:type="dxa" w:w="4882"/>
          </w:tcPr>
          <w:p>
            <w:r>
              <w:t>no relevant passage</w:t>
            </w:r>
          </w:p>
        </w:tc>
      </w:tr>
      <w:tr>
        <w:tc>
          <w:tcPr>
            <w:tcW w:type="dxa" w:w="4882"/>
          </w:tcPr>
          <w:p>
            <w:r>
              <w:t>Blank</w:t>
            </w:r>
          </w:p>
        </w:tc>
        <w:tc>
          <w:tcPr>
            <w:tcW w:type="dxa" w:w="4882"/>
          </w:tcPr>
          <w:p>
            <w:r>
              <w:t>abstain</w:t>
            </w:r>
          </w:p>
        </w:tc>
      </w:tr>
      <w:tr>
        <w:tc>
          <w:tcPr>
            <w:tcW w:type="dxa" w:w="4882"/>
          </w:tcPr>
          <w:p>
            <w:r>
              <w:t>Search log</w:t>
            </w:r>
          </w:p>
        </w:tc>
        <w:tc>
          <w:tcPr>
            <w:tcW w:type="dxa" w:w="4882"/>
          </w:tcPr>
          <w:p>
            <w:r>
              <w:t>reason</w:t>
            </w:r>
          </w:p>
        </w:tc>
      </w:tr>
    </w:tbl>
    <w:p>
      <w:pPr>
        <w:keepLines/>
      </w:pPr>
      <w:r>
        <w:t>Where this analogy breaks: A retrieval miss may hide a real answer elsewhere; report the search limit.</w:t>
      </w:r>
    </w:p>
    <w:p>
      <w:pPr>
        <w:keepLines/>
      </w:pPr>
      <w:r>
        <w:t>Actual idea: If approved sources lack an answer, return a clear unsupported status.</w:t>
      </w:r>
    </w:p>
    <w:p>
      <w:pPr>
        <w:keepLines/>
      </w:pPr>
      <w:r>
        <w:t>Work it aloud: Ask about parking permits; none of five policies covers it, so say evidence is unavailable.</w:t>
      </w:r>
    </w:p>
    <w:p>
      <w:pPr>
        <w:keepLines/>
      </w:pPr>
      <w:r>
        <w:t>Ask before revealing: What should the system say?</w:t>
      </w:r>
    </w:p>
    <w:p>
      <w:pPr>
        <w:keepLines/>
      </w:pPr>
      <w:r>
        <w:t>Supported response: It lacks a relevant approved source in this corpus.</w:t>
      </w:r>
    </w:p>
    <w:p>
      <w:pPr>
        <w:keepLines/>
      </w:pPr>
      <w:r>
        <w:t>Look for this misconception: The model should guess from common knowledge.</w:t>
      </w:r>
    </w:p>
    <w:p>
      <w:pPr>
        <w:pStyle w:val="Heading1"/>
        <w:keepLines/>
      </w:pPr>
      <w:r>
        <w:t>Test split: analogy, mechanism and check</w:t>
      </w:r>
    </w:p>
    <w:p>
      <w:pPr>
        <w:keepLines/>
      </w:pPr>
      <w:r>
        <w:t>Familiar picture: A practice quiz guides choices; an unopened exam checks the choice.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20 questions</w:t>
            </w:r>
          </w:p>
        </w:tc>
        <w:tc>
          <w:tcPr>
            <w:tcW w:type="dxa" w:w="4882"/>
          </w:tcPr>
          <w:p>
            <w:r>
              <w:t>development set</w:t>
            </w:r>
          </w:p>
        </w:tc>
      </w:tr>
      <w:tr>
        <w:tc>
          <w:tcPr>
            <w:tcW w:type="dxa" w:w="4882"/>
          </w:tcPr>
          <w:p>
            <w:r>
              <w:t>Search setting</w:t>
            </w:r>
          </w:p>
        </w:tc>
        <w:tc>
          <w:tcPr>
            <w:tcW w:type="dxa" w:w="4882"/>
          </w:tcPr>
          <w:p>
            <w:r>
              <w:t>chosen configuration</w:t>
            </w:r>
          </w:p>
        </w:tc>
      </w:tr>
      <w:tr>
        <w:tc>
          <w:tcPr>
            <w:tcW w:type="dxa" w:w="4882"/>
          </w:tcPr>
          <w:p>
            <w:r>
              <w:t>10 new questions</w:t>
            </w:r>
          </w:p>
        </w:tc>
        <w:tc>
          <w:tcPr>
            <w:tcW w:type="dxa" w:w="4882"/>
          </w:tcPr>
          <w:p>
            <w:r>
              <w:t>final check</w:t>
            </w:r>
          </w:p>
        </w:tc>
      </w:tr>
    </w:tbl>
    <w:p>
      <w:pPr>
        <w:keepLines/>
      </w:pPr>
      <w:r>
        <w:t>Where this analogy breaks: Ten final cases are still a small sample; report each failure and denominator.</w:t>
      </w:r>
    </w:p>
    <w:p>
      <w:pPr>
        <w:keepLines/>
      </w:pPr>
      <w:r>
        <w:t>Actual idea: Use 20 practice questions for improvements and keep ten separate questions for final checking.</w:t>
      </w:r>
    </w:p>
    <w:p>
      <w:pPr>
        <w:keepLines/>
      </w:pPr>
      <w:r>
        <w:t>Work it aloud: Compare top-k 1 and 2 on 20 practice questions, freeze the choice, then open ten final cases.</w:t>
      </w:r>
    </w:p>
    <w:p>
      <w:pPr>
        <w:keepLines/>
      </w:pPr>
      <w:r>
        <w:t>Ask before revealing: Why not tune again after seeing the ten final answers?</w:t>
      </w:r>
    </w:p>
    <w:p>
      <w:pPr>
        <w:keepLines/>
      </w:pPr>
      <w:r>
        <w:t>Supported response: That would contaminate the independent check.</w:t>
      </w:r>
    </w:p>
    <w:p>
      <w:pPr>
        <w:keepLines/>
      </w:pPr>
      <w:r>
        <w:t>Look for this misconception: Reusing final questions improves an unbiased estimate.</w:t>
      </w:r>
    </w:p>
    <w:p>
      <w:pPr>
        <w:pStyle w:val="Heading1"/>
        <w:keepLines/>
      </w:pPr>
      <w:r>
        <w:t>New situation for discussion</w:t>
      </w:r>
    </w:p>
    <w:p>
      <w:pPr>
        <w:keepLines/>
      </w:pPr>
      <w:r>
        <w:t>A fresh question asks about a rule absent from all five policies. What should the assistant do?</w:t>
      </w:r>
    </w:p>
    <w:p>
      <w:pPr>
        <w:keepLines/>
      </w:pPr>
      <w:r>
        <w:t>Memory cue: Retrieve, answer, check each claim, and abstain without evidence.</w:t>
      </w:r>
    </w:p>
    <w:p>
      <w:pPr>
        <w:pStyle w:val="Heading1"/>
        <w:keepLines/>
      </w:pPr>
      <w:r>
        <w:t>Guided laboratory</w:t>
      </w:r>
    </w:p>
    <w:p>
      <w:pPr>
        <w:keepLines/>
      </w:pPr>
      <w:r>
        <w:t>Run a small extractive retrieval and answer pipeline.</w:t>
      </w:r>
    </w:p>
    <w:p>
      <w:pPr>
        <w:keepLines/>
      </w:pPr>
      <w:r>
        <w:t>1. Search for a relevant policy</w:t>
      </w:r>
    </w:p>
    <w:p>
      <w:pPr>
        <w:keepLines/>
      </w:pPr>
      <w:r>
        <w:t>2. Produce an extractive classroom answer with a source ID</w:t>
      </w:r>
    </w:p>
    <w:p>
      <w:pPr>
        <w:keepLines/>
      </w:pPr>
      <w:r>
        <w:t>3. Record supported and unsupported questions</w:t>
      </w:r>
    </w:p>
    <w:p>
      <w:pPr>
        <w:keepLines/>
      </w:pPr>
      <w:r>
        <w:t>4. Compare top-1 and top-2 on practice cases</w:t>
      </w:r>
    </w:p>
    <w:p>
      <w:pPr>
        <w:keepLines/>
      </w:pPr>
      <w:r>
        <w:t>Individual change: Replace a relevant passage with an irrelevant one and observe abstention. Expected evidence: Twenty-case practice table; ten final questions remain sealed for assessment.</w:t>
      </w:r>
    </w:p>
    <w:p>
      <w:pPr>
        <w:pStyle w:val="Heading1"/>
        <w:keepLines/>
      </w:pPr>
      <w:r>
        <w:t>Checks and common error</w:t>
      </w:r>
    </w:p>
    <w:p>
      <w:pPr>
        <w:keepLines/>
      </w:pPr>
      <w:r>
        <w:t>Measure: Supported claims / checked claims and no-answer accuracy. Record the input, setting, source version, result and the relevant numerator and denominator.</w:t>
      </w:r>
    </w:p>
    <w:p>
      <w:pPr>
        <w:keepLines/>
      </w:pPr>
      <w:r>
        <w:t>Plausible incorrect claim: A citation label proves that the cited passage supports the answer.</w:t>
      </w:r>
    </w:p>
    <w:p>
      <w:pPr>
        <w:keepLines/>
      </w:pPr>
      <w:r>
        <w:t>Correction: Read the passage and check that it entails the claim; a plausible-looking source tag can be wrong.</w:t>
      </w:r>
    </w:p>
    <w:p>
      <w:pPr>
        <w:keepLines/>
      </w:pPr>
      <w:r>
        <w:t>If learners disagree, reproduce the same case and compare the underlying source or expected answer. Record unresolved cases for instructor review.</w:t>
      </w:r>
    </w:p>
    <w:p>
      <w:pPr>
        <w:pStyle w:val="Heading1"/>
        <w:keepLines/>
      </w:pPr>
      <w:r>
        <w:t>Further discussion</w:t>
      </w:r>
    </w:p>
    <w:p>
      <w:pPr>
        <w:pStyle w:val="ListBullet"/>
        <w:keepLines/>
      </w:pPr>
      <w:r>
        <w:t>How could the conclusion change if the source or input changes?</w:t>
      </w:r>
    </w:p>
    <w:p>
      <w:pPr>
        <w:pStyle w:val="ListBullet"/>
        <w:keepLines/>
      </w:pPr>
      <w:r>
        <w:t>Which part of the result is observed and which part is an assumption?</w:t>
      </w:r>
    </w:p>
    <w:p>
      <w:pPr>
        <w:pStyle w:val="ListBullet"/>
        <w:keepLines/>
      </w:pPr>
      <w:r>
        <w:t>What simple test would detect the failure described above?</w:t>
      </w:r>
    </w:p>
    <w:p>
      <w:pPr>
        <w:pStyle w:val="Heading1"/>
        <w:keepLines/>
      </w:pPr>
      <w:r>
        <w:t>References and optional extension</w:t>
      </w:r>
    </w:p>
    <w:p>
      <w:pPr>
        <w:keepLines/>
      </w:pPr>
      <w:r>
        <w:t>Core readings are official vendor documentation or original research. Read the relevant section; an account or paid API is unnecessary for this notebook. Page details may change before 2027.</w:t>
      </w:r>
    </w:p>
    <w:p>
      <w:pPr>
        <w:keepLines/>
      </w:pPr>
      <w:r>
        <w:t>Microsoft, Retrieval augmented generation. https://learn.microsoft.com/en-us/azure/foundry/concepts/retrieval-augmented-generation</w:t>
      </w:r>
    </w:p>
    <w:p>
      <w:pPr>
        <w:keepLines/>
      </w:pPr>
      <w:r>
        <w:t>OpenAI, Evaluation best practices. https://developers.openai.com/api/docs/guides/evaluation-best-practices</w:t>
      </w:r>
    </w:p>
    <w:p>
      <w:pPr>
        <w:keepLines/>
      </w:pPr>
      <w:r>
        <w:t>Optional extension: replace one classroom proxy with a locally approved model or service, keep the original baseline, repeat the same checks, and state the additional privacy and cost assumptions.</w:t>
      </w:r>
    </w:p>
    <w:p>
      <w:pPr>
        <w:keepLines/>
      </w:pPr>
      <w:r>
        <w:t>Curriculum scope: the supplied 12-week teaching sequence, recorded in docs/SYLLABUS_ALIGNMENT.md. The original module descriptor is retained in sources/originals/07-Descriptor-Generative-AI-new-.docx. Supporting project notes: Deep-reserach.txt, RAG.txt, AI-Agents.txt, MCP-&amp;-Vectore-Database.txt, Muti-Agent-AI-System.txt, Eval-&amp;-Finetune&amp;-Loop-Enginnering.txt. These are planning sources, not empirical performance evidence.</w:t>
      </w:r>
    </w:p>
    <w:p>
      <w:pPr>
        <w:pStyle w:val="Title"/>
        <w:keepLines/>
      </w:pPr>
      <w:r>
        <w:t>Student revision and exam preparation</w:t>
      </w:r>
    </w:p>
    <w:p>
      <w:pPr>
        <w:keepLines/>
      </w:pPr>
      <w:r>
        <w:t>Outcomes: LO4, LO5 | 2 hours concepts + 2 hours guided practice</w:t>
      </w:r>
    </w:p>
    <w:p>
      <w:pPr>
        <w:pStyle w:val="Heading1"/>
        <w:keepLines/>
      </w:pPr>
      <w:r>
        <w:t>The idea in plain language</w:t>
      </w:r>
    </w:p>
    <w:p>
      <w:pPr>
        <w:keepLines/>
      </w:pPr>
      <w:r>
        <w:t>RAG combines retrieval with answer construction. Evaluate retrieval separately from answer support. A source label is not evidence unless its passage supports the claim. Tune settings on 20 practice questions. Freeze the choice before using the ten separate final questions.</w:t>
      </w:r>
    </w:p>
    <w:p>
      <w:pPr>
        <w:pStyle w:val="Heading1"/>
        <w:keepLines/>
      </w:pPr>
      <w:r>
        <w:t>A worked example</w:t>
      </w:r>
    </w:p>
    <w:p>
      <w:pPr>
        <w:keepLines/>
      </w:pPr>
      <w:r>
        <w:t>For a question with two relevant passages, top-1 retrieves one and top-2 retrieves both. Recall rises from 1/2 to 2/2. This does not by itself show that generated claims are correct. A separate citation check is required.</w:t>
      </w:r>
    </w:p>
    <w:p>
      <w:pPr>
        <w:pStyle w:val="Heading1"/>
        <w:keepLines/>
      </w:pPr>
      <w:r>
        <w:t>Practice before reading the answers</w:t>
      </w:r>
    </w:p>
    <w:p>
      <w:pPr>
        <w:keepLines/>
      </w:pPr>
      <w:r>
        <w:t>1. Why reserve final questions? (4 suggested practice marks)</w:t>
      </w:r>
    </w:p>
    <w:p>
      <w:pPr>
        <w:keepLines/>
      </w:pPr>
      <w:r>
        <w:t>2. Two of four material claims are supported. What is citation support? (4 suggested practice marks)</w:t>
      </w:r>
    </w:p>
    <w:p>
      <w:pPr>
        <w:keepLines/>
      </w:pPr>
      <w:r>
        <w:t>3. When should the assistant abstain? (4 suggested practice marks)</w:t>
      </w:r>
    </w:p>
    <w:p>
      <w:pPr>
        <w:keepLines/>
      </w:pPr>
      <w:r>
        <w:t>Draw the main diagram from memory, explain each arrow, then check it against the slides. Answer the three questions without notes before reading the model answers.</w:t>
      </w:r>
    </w:p>
    <w:p>
      <w:pPr>
        <w:pStyle w:val="Heading1"/>
        <w:keepLines/>
      </w:pPr>
      <w:r>
        <w:t>Model answers and marking guidance</w:t>
      </w:r>
    </w:p>
    <w:p>
      <w:pPr>
        <w:keepLines/>
      </w:pPr>
      <w:r>
        <w:t>1. They estimate performance on cases that did not guide tuning. Repeated tuning on them leaks evaluation information.</w:t>
      </w:r>
    </w:p>
    <w:p>
      <w:pPr>
        <w:keepLines/>
      </w:pPr>
      <w:r>
        <w:t>2. 2/4 = 50%. Check each claim against its cited evidence.</w:t>
      </w:r>
    </w:p>
    <w:p>
      <w:pPr>
        <w:keepLines/>
      </w:pPr>
      <w:r>
        <w:t>3. When the approved evidence does not support an answer, including missing or irrelevant sources.</w:t>
      </w:r>
    </w:p>
    <w:p>
      <w:pPr>
        <w:keepLines/>
      </w:pPr>
      <w:r>
        <w:t>For each four-mark practice answer: two marks for the correct idea, one for a relevant example or calculation, one for an appropriate explanation or limitation. These suggested practice marks do not change the module assessment scheme.</w:t>
      </w:r>
    </w:p>
    <w:p>
      <w:pPr>
        <w:pStyle w:val="Heading1"/>
        <w:keepLines/>
      </w:pPr>
      <w:r>
        <w:t>Official reading and video support</w:t>
      </w:r>
    </w:p>
    <w:p>
      <w:pPr>
        <w:keepLines/>
      </w:pPr>
      <w:r>
        <w:t>M1  Microsoft Learn: Introduction to retrieval-augmented generation concepts</w:t>
        <w:br/>
        <w:t>https://learn.microsoft.com/en-us/training/modules/rag-fundamentals/</w:t>
        <w:br/>
        <w:t>Study focus: Preparation, retrieval, generation and evaluation.</w:t>
      </w:r>
    </w:p>
    <w:p>
      <w:pPr>
        <w:keepLines/>
      </w:pPr>
      <w:r>
        <w:t>M3  Microsoft Learn: Building a RAG-powered AI chat app with Python and VS Code</w:t>
        <w:br/>
        <w:t>https://learn.microsoft.com/en-us/shows/vs-code-day-2024/building-a-rag-powered-ai-chat-app-with-python-and-vs-code</w:t>
        <w:br/>
        <w:t>Study focus: Optional system walkthrough. Older SDK interfaces are not the core lab dependency.</w:t>
      </w:r>
    </w:p>
    <w:p>
      <w:pPr>
        <w:keepLines/>
      </w:pPr>
      <w:r>
        <w:t>O1  OpenAI: Evaluation best practices</w:t>
        <w:br/>
        <w:t>https://developers.openai.com/api/docs/guides/evaluation-best-practices</w:t>
        <w:br/>
        <w:t>Study focus: Task-specific testing, repeated outputs and separate evaluation cases.</w:t>
      </w:r>
    </w:p>
    <w:p>
      <w:pPr>
        <w:keepLines/>
      </w:pPr>
      <w:r>
        <w:t>Selected source concepts inform the lesson. Examples, figures, questions and solutions are original classroom material; no exam questions are claimed to be official.</w:t>
      </w:r>
    </w:p>
    <w:sectPr w:rsidR="00FC693F" w:rsidRPr="0006063C" w:rsidSect="00034616">
      <w:pgSz w:w="12240" w:h="15840"/>
      <w:pgMar w:top="1037" w:right="1238" w:bottom="979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5F8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84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