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MODULE DESCRIPTOR</w:t>
      </w:r>
    </w:p>
    <w:p>
      <w:pPr>
        <w:pStyle w:val="Title"/>
        <w:spacing w:after="160"/>
      </w:pPr>
      <w:r>
        <w:rPr>
          <w:b/>
          <w:bCs/>
          <w:color w:val="000000"/>
          <w:sz w:val="56"/>
          <w:szCs w:val="56"/>
        </w:rPr>
        <w:t xml:space="preserve">Section 7.3: proposed revision and rationale</w:t>
      </w:r>
    </w:p>
    <w:p>
      <w:pPr>
        <w:spacing w:after="360"/>
      </w:pPr>
      <w:r>
        <w:rPr>
          <w:color w:val="6B7280"/>
          <w:sz w:val="28"/>
          <w:szCs w:val="28"/>
        </w:rPr>
        <w:t xml:space="preserve">Generative AI: what changes in the weekly content, what stays the same, and why</w:t>
      </w:r>
    </w:p>
    <w:p>
      <w:pPr>
        <w:spacing w:after="120"/>
      </w:pPr>
      <w:r>
        <w:rPr>
          <w:color w:val="1F2937"/>
          <w:sz w:val="22"/>
          <w:szCs w:val="22"/>
        </w:rPr>
        <w:t xml:space="preserve">For the module leader and programme team  ·  September 2026</w:t>
      </w:r>
    </w:p>
    <w:p>
      <w:pPr>
        <w:pStyle w:val="Heading1"/>
        <w:keepNext/>
        <w:pageBreakBefore/>
      </w:pPr>
      <w:r>
        <w:t xml:space="preserve">Purpose and scope</w:t>
      </w:r>
    </w:p>
    <w:p>
      <w:pPr>
        <w:keepNext w:val="false"/>
        <w:keepLines/>
        <w:spacing w:after="140" w:line="288"/>
      </w:pPr>
      <w:r>
        <w:t xml:space="preserve">This document explains the proposed revision of </w:t>
      </w:r>
      <w:r>
        <w:rPr>
          <w:b/>
          <w:bCs/>
        </w:rPr>
        <w:t xml:space="preserve">Section 7.3, Indicative Module Content, Organisation and Structure</w:t>
      </w:r>
      <w:r>
        <w:t xml:space="preserve">, of the Generative AI module descriptor. It accompanies two copies of the descriptor in the same folder:</w:t>
      </w:r>
    </w:p>
    <w:p>
      <w:pPr>
        <w:pStyle w:val="ListParagraph"/>
        <w:keepLines/>
        <w:numPr>
          <w:ilvl w:val="0"/>
          <w:numId w:val="2"/>
        </w:numPr>
        <w:spacing w:after="80" w:line="276"/>
      </w:pPr>
      <w:r>
        <w:rPr>
          <w:b/>
          <w:bCs/>
        </w:rPr>
        <w:t xml:space="preserve">Descriptor - Generative AI (7.3 revised).docx</w:t>
      </w:r>
      <w:r>
        <w:t xml:space="preserve">: a clean copy with the proposed text.</w:t>
      </w:r>
    </w:p>
    <w:p>
      <w:pPr>
        <w:pStyle w:val="ListParagraph"/>
        <w:keepLines/>
        <w:numPr>
          <w:ilvl w:val="0"/>
          <w:numId w:val="2"/>
        </w:numPr>
        <w:spacing w:after="80" w:line="276"/>
      </w:pPr>
      <w:r>
        <w:rPr>
          <w:b/>
          <w:bCs/>
        </w:rPr>
        <w:t xml:space="preserve">Descriptor - Generative AI (7.3 tracked changes).docx</w:t>
      </w:r>
      <w:r>
        <w:t xml:space="preserve">: the same edit shown as Word tracked changes, so each change can be accepted or rejected individually.</w:t>
      </w:r>
    </w:p>
    <w:p>
      <w:pPr>
        <w:keepNext w:val="false"/>
        <w:keepLines/>
        <w:spacing w:after="140" w:line="288"/>
      </w:pPr>
      <w:r>
        <w:rPr>
          <w:b/>
          <w:bCs/>
        </w:rPr>
        <w:t xml:space="preserve">What is unchanged.</w:t>
      </w:r>
      <w:r>
        <w:t xml:space="preserve"> Every other section of the descriptor is byte-for-byte identical to the original template, including the module overview, MIMLOs (7.2), learning and assessment strategy (7.6, 7.7) and reading lists (7.9); this was verified automatically by comparing every part of the Word file. Within Section 7.3, the </w:t>
      </w:r>
      <w:r>
        <w:rPr>
          <w:b/>
          <w:bCs/>
        </w:rPr>
        <w:t xml:space="preserve">twelve lecture topics and their order are unchanged</w:t>
      </w:r>
      <w:r>
        <w:t xml:space="preserve">. Only the </w:t>
      </w:r>
      <w:r>
        <w:rPr>
          <w:b/>
          <w:bCs/>
        </w:rPr>
        <w:t xml:space="preserve">Detail</w:t>
      </w:r>
      <w:r>
        <w:t xml:space="preserve"> and </w:t>
      </w:r>
      <w:r>
        <w:rPr>
          <w:b/>
          <w:bCs/>
        </w:rPr>
        <w:t xml:space="preserve">Tutorials (Examples)</w:t>
      </w:r>
      <w:r>
        <w:t xml:space="preserve"> columns are revised.</w:t>
      </w:r>
    </w:p>
    <w:p>
      <w:pPr>
        <w:pStyle w:val="Heading1"/>
        <w:keepNext/>
      </w:pPr>
      <w:r>
        <w:t xml:space="preserve">Principles of the revision</w:t>
      </w:r>
    </w:p>
    <w:p>
      <w:pPr>
        <w:pStyle w:val="ListParagraph"/>
        <w:keepLines/>
        <w:numPr>
          <w:ilvl w:val="0"/>
          <w:numId w:val="3"/>
        </w:numPr>
        <w:spacing w:after="80" w:line="276"/>
      </w:pPr>
      <w:r>
        <w:rPr>
          <w:b/>
          <w:bCs/>
        </w:rPr>
        <w:t xml:space="preserve">Keep the professor's structure; make the content specific and current.</w:t>
      </w:r>
      <w:r>
        <w:t xml:space="preserve"> Several original cells list headings only (for example "Theoretical Foundations. Core Architecture. Variants."). The revision names the concepts behind each heading, as they are taught in 2026, so that the descriptor is informative for students, external examiners and validation panels.</w:t>
      </w:r>
    </w:p>
    <w:p>
      <w:pPr>
        <w:pStyle w:val="ListParagraph"/>
        <w:keepLines/>
        <w:numPr>
          <w:ilvl w:val="0"/>
          <w:numId w:val="3"/>
        </w:numPr>
        <w:spacing w:after="80" w:line="276"/>
      </w:pPr>
      <w:r>
        <w:rPr>
          <w:b/>
          <w:bCs/>
        </w:rPr>
        <w:t xml:space="preserve">A general overview of all important concepts.</w:t>
      </w:r>
      <w:r>
        <w:t xml:space="preserve"> Other modules in the programme cover machine learning and deep learning in depth, so this module surveys every major family of generative models and the main ways of using them (prompting, fine-tuning, multimodal models, deployment, RAG and agents), without going deeper than an MSc overview requires.</w:t>
      </w:r>
    </w:p>
    <w:p>
      <w:pPr>
        <w:pStyle w:val="ListParagraph"/>
        <w:keepLines/>
        <w:numPr>
          <w:ilvl w:val="0"/>
          <w:numId w:val="3"/>
        </w:numPr>
        <w:spacing w:after="80" w:line="276"/>
      </w:pPr>
      <w:r>
        <w:rPr>
          <w:b/>
          <w:bCs/>
        </w:rPr>
        <w:t xml:space="preserve">How to use AI tools.</w:t>
      </w:r>
      <w:r>
        <w:t xml:space="preserve"> The module brief includes using AI tools well. This is now explicit in week 1 (the tool landscape and responsible use), week 7 (prompting with evaluation), weeks 11–12 (APIs, deployment, RAG and agents).</w:t>
      </w:r>
    </w:p>
    <w:p>
      <w:pPr>
        <w:pStyle w:val="ListParagraph"/>
        <w:keepLines/>
        <w:numPr>
          <w:ilvl w:val="0"/>
          <w:numId w:val="3"/>
        </w:numPr>
        <w:spacing w:after="80" w:line="276"/>
      </w:pPr>
      <w:r>
        <w:rPr>
          <w:b/>
          <w:bCs/>
        </w:rPr>
        <w:t xml:space="preserve">Evaluation and responsible AI in every week.</w:t>
      </w:r>
      <w:r>
        <w:t xml:space="preserve"> MIMLO 4 (critical evaluation, fairness, bias, hallucination) is practised throughout rather than in a single week: each Detail cell names the relevant evaluation methods, and risks such as deepfakes, prompt injection and data protection appear where they arise.</w:t>
      </w:r>
    </w:p>
    <w:p>
      <w:pPr>
        <w:pStyle w:val="ListParagraph"/>
        <w:keepLines/>
        <w:numPr>
          <w:ilvl w:val="0"/>
          <w:numId w:val="3"/>
        </w:numPr>
        <w:spacing w:after="80" w:line="276"/>
      </w:pPr>
      <w:r>
        <w:rPr>
          <w:b/>
          <w:bCs/>
        </w:rPr>
        <w:t xml:space="preserve">Model families, not versions.</w:t>
      </w:r>
      <w:r>
        <w:t xml:space="preserve"> Names such as GPT, Gemini, Claude, Llama, Qwen, Mistral and DeepSeek are used without version numbers, so the text stays valid as versions change every few months.</w:t>
      </w:r>
    </w:p>
    <w:p>
      <w:pPr>
        <w:pStyle w:val="ListParagraph"/>
        <w:keepLines/>
        <w:numPr>
          <w:ilvl w:val="0"/>
          <w:numId w:val="3"/>
        </w:numPr>
        <w:spacing w:after="80" w:line="276"/>
      </w:pPr>
      <w:r>
        <w:rPr>
          <w:b/>
          <w:bCs/>
        </w:rPr>
        <w:t xml:space="preserve">Practical tutorials on free infrastructure.</w:t>
      </w:r>
      <w:r>
        <w:t xml:space="preserve"> Tutorials target Google Colab with open models and CPU alternatives, in line with Section 7.5 (Python, Jupyter, Colab, PyTorch, Hugging Face Transformers and Diffusers, Git and Docker). Free GPU availability and memory vary; the instructor guide gives preparation options. Local checks do not verify a live Colab session.</w:t>
      </w:r>
    </w:p>
    <w:p>
      <w:pPr>
        <w:pStyle w:val="ListParagraph"/>
        <w:keepLines/>
        <w:numPr>
          <w:ilvl w:val="0"/>
          <w:numId w:val="3"/>
        </w:numPr>
        <w:spacing w:after="80" w:line="276"/>
      </w:pPr>
      <w:r>
        <w:rPr>
          <w:b/>
          <w:bCs/>
        </w:rPr>
        <w:t xml:space="preserve">Current regulation.</w:t>
      </w:r>
      <w:r>
        <w:t xml:space="preserve"> Article 50 transparency duties are reflected in weeks 1, 10 and 11, with provider/deployer roles and exceptions. They apply from 2 August 2026; Article 111(4) gives providers of systems placed on the market before that date until 2 December 2026 to meet Article 50(2)'s marking duty.</w:t>
      </w:r>
    </w:p>
    <w:p>
      <w:pPr>
        <w:pStyle w:val="Heading1"/>
        <w:keepNext/>
      </w:pPr>
      <w:r>
        <w:t xml:space="preserve">Alignment with MIMLOs and assessment</w:t>
      </w:r>
    </w:p>
    <w:p>
      <w:pPr>
        <w:keepNext w:val="false"/>
        <w:keepLines/>
        <w:spacing w:after="140" w:line="288"/>
      </w:pPr>
      <w:r>
        <w:t xml:space="preserve">The revision does not change the MIMLOs or the assessment strategy (group project 60%, proctored examination 40%). It strengthens their coverage: MIMLO 1 (core concepts and mathematics) through the named foundations in weeks 1–6; MIMLO 2 (multimodal) in weeks 4, 9 and 10; MIMLO 3 (implement and fine-tune with parameter-efficient methods) through the tutorials in weeks 2–5, 8 and 10–12; MIMLO 4 (evaluation and ethics) in every week; and MIMLO 5 (deployment, retrieval-augmented and agentic systems) in weeks 11–12, prepared by weeks 6–7.</w:t>
      </w:r>
    </w:p>
    <w:p>
      <w:pPr>
        <w:pStyle w:val="Heading1"/>
        <w:keepNext/>
      </w:pPr>
      <w:r>
        <w:t xml:space="preserve">Summary of changes by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2485"/>
        <w:gridCol w:w="3101"/>
        <w:gridCol w:w="3066"/>
      </w:tblGrid>
      <w:tr>
        <w:trPr>
          <w:cantSplit/>
          <w:tblHeader/>
        </w:trPr>
        <w:tc>
          <w:tcPr>
            <w:tcW w:type="dxa" w:w="76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Week</w:t>
            </w:r>
          </w:p>
        </w:tc>
        <w:tc>
          <w:tcPr>
            <w:tcW w:type="dxa" w:w="248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Topic (unchanged)</w:t>
            </w:r>
          </w:p>
        </w:tc>
        <w:tc>
          <w:tcPr>
            <w:tcW w:type="dxa" w:w="310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Main additions to Detail</w:t>
            </w:r>
          </w:p>
        </w:tc>
        <w:tc>
          <w:tcPr>
            <w:tcW w:type="dxa" w:w="3066"/>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Why</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w:t>
            </w:r>
          </w:p>
        </w:tc>
        <w:tc>
          <w:tcPr>
            <w:tcW w:type="dxa" w:w="248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Introduction to Generative &amp; Responsible AI</w:t>
            </w:r>
          </w:p>
        </w:tc>
        <w:tc>
          <w:tcPr>
            <w:tcW w:type="dxa" w:w="310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Landscape of today's AI tools (chat, coding, image, audio and video assistants); proprietary vs. open-weight model families; core concepts (tokens, parameters, training vs. inference, pre- and post-training); sampling and temperature; overview of the four model families; responsible AI and academic integrity.</w:t>
            </w:r>
          </w:p>
        </w:tc>
        <w:tc>
          <w:tcPr>
            <w:tcW w:type="dxa" w:w="3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 module brief is a high-level overview that also teaches students to use AI tools. Tokens, temperature and hallucination are needed from week 1 because every later week relies on them, and responsible-use rules (including the EU AI Act transparency duties applying from August 2026) must be set before students use AI tools in coursework.</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2</w:t>
            </w:r>
          </w:p>
        </w:tc>
        <w:tc>
          <w:tcPr>
            <w:tcW w:type="dxa" w:w="248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Variational Autoencoders (VAEs)</w:t>
            </w:r>
          </w:p>
        </w:tc>
        <w:tc>
          <w:tcPr>
            <w:tcW w:type="dxa" w:w="310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Probabilistic encoder and the reparameterisation trick; KL term and the evidence lower bound (ELBO); β-VAE and VQ-VAE; evaluation by reconstruction, sample quality and latent traversals; VAEs as the image autoencoder inside latent diffusion.</w:t>
            </w:r>
          </w:p>
        </w:tc>
        <w:tc>
          <w:tcPr>
            <w:tcW w:type="dxa" w:w="3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The ELBO and reparameterisation explain how a VAE learns a distribution. Image compression in latent diffusion and discrete VQ tokenisers for multimodal models give concrete applications, linking week 2 to weeks 4 and 9.</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3</w:t>
            </w:r>
          </w:p>
        </w:tc>
        <w:tc>
          <w:tcPr>
            <w:tcW w:type="dxa" w:w="248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Generative Adversarial Networks (GANs)</w:t>
            </w:r>
          </w:p>
        </w:tc>
        <w:tc>
          <w:tcPr>
            <w:tcW w:type="dxa" w:w="310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Minimax and non-saturating losses; named training failures (mode collapse, instability, vanishing gradients) and stabilisation (Wasserstein loss, spectral normalisation); Pix2Pix / CycleGAN; FID, Inception Score, precision/recall; GANs in super-resolution and adversarial distillation of fast diffusion models; deepfake misuse.</w:t>
            </w:r>
          </w:p>
        </w:tc>
        <w:tc>
          <w:tcPr>
            <w:tcW w:type="dxa" w:w="3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GANs are no longer the leading image generators, so the week now explains why (training instability) and where adversarial training survives in 2026: discriminators inside fast diffusion models, super-resolution and deepfake detection.</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4</w:t>
            </w:r>
          </w:p>
        </w:tc>
        <w:tc>
          <w:tcPr>
            <w:tcW w:type="dxa" w:w="248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Diffusion Models</w:t>
            </w:r>
          </w:p>
        </w:tc>
        <w:tc>
          <w:tcPr>
            <w:tcW w:type="dxa" w:w="310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Forward and reverse processes, noise schedules and the noise-prediction objective; score-based view; U-Net and diffusion transformers; latent diffusion with a text encoder; samplers (DDPM, DDIM, few-step); classifier-free guidance; flow matching / rectified flow; distilled few-step models; editing, control, video and audio; FID, CLIP score and human preference.</w:t>
            </w:r>
          </w:p>
        </w:tc>
        <w:tc>
          <w:tcPr>
            <w:tcW w:type="dxa" w:w="3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Diffusion and flow-matching transformers now power leading image, video and audio generators. The original text listed headings only; the revision names the concepts students need to read current model cards.</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5</w:t>
            </w:r>
          </w:p>
        </w:tc>
        <w:tc>
          <w:tcPr>
            <w:tcW w:type="dxa" w:w="248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Transformers &amp; Attention</w:t>
            </w:r>
          </w:p>
        </w:tc>
        <w:tc>
          <w:tcPr>
            <w:tcW w:type="dxa" w:w="310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Tokenisation and embeddings; queries, keys and values; causal masking; sinusoidal and rotary positional encoding; residual connections and normalisation; encoder-only, decoder-only and encoder-decoder; masked vs. next-token objectives; perplexity; KV cache, efficient attention, mixture-of-experts and long context; vision and speech transformers.</w:t>
            </w:r>
          </w:p>
        </w:tc>
        <w:tc>
          <w:tcPr>
            <w:tcW w:type="dxa" w:w="3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These concepts help students read model documentation. Rotary positions, KV caches and mixture-of-experts are useful examples; implementations differ across models. The added tutorial makes the original lab description concrete.</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6</w:t>
            </w:r>
          </w:p>
        </w:tc>
        <w:tc>
          <w:tcPr>
            <w:tcW w:type="dxa" w:w="248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Large Language Models (LLMs) and families</w:t>
            </w:r>
          </w:p>
        </w:tc>
        <w:tc>
          <w:tcPr>
            <w:tcW w:type="dxa" w:w="310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Evolution of NLP from n-grams to LLMs; pre-training, scaling laws, context windows and decoding strategies; current families (GPT, LLaMA, Gemini, Claude, Mistral, Qwen, DeepSeek); proprietary vs. open-weight; small language models, mixture-of-experts and reasoning models; model cards, licences and benchmarks.</w:t>
            </w:r>
          </w:p>
        </w:tc>
        <w:tc>
          <w:tcPr>
            <w:tcW w:type="dxa" w:w="3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The original list (GPT, BERT, LLaMA, T5) predates open-weight frontier models, small models and reasoning models, which students now use daily. Families are named without version numbers so the text stays valid as versions change.</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7</w:t>
            </w:r>
          </w:p>
        </w:tc>
        <w:tc>
          <w:tcPr>
            <w:tcW w:type="dxa" w:w="248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Prompt Engineering and evaluation</w:t>
            </w:r>
          </w:p>
        </w:tc>
        <w:tc>
          <w:tcPr>
            <w:tcW w:type="dxa" w:w="310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In-context learning; anatomy of a prompt (system and user messages, context, examples, output format); self-consistency, prompt chaining and prompting reasoning models; structured outputs and context engineering; evaluation with test sets, rubrics, LLM-as-a-judge and human evaluation; prompt injection.</w:t>
            </w:r>
          </w:p>
        </w:tc>
        <w:tc>
          <w:tcPr>
            <w:tcW w:type="dxa" w:w="3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Prompting is only useful professionally when it is measured. Structured outputs, context engineering and prompt injection are now standard topics in the official OpenAI, Google and Anthropic guides, and prompt injection is the top OWASP risk for LLM applications.</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8</w:t>
            </w:r>
          </w:p>
        </w:tc>
        <w:tc>
          <w:tcPr>
            <w:tcW w:type="dxa" w:w="248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Fine-Tuning and Domain Adaptation</w:t>
            </w:r>
          </w:p>
        </w:tc>
        <w:tc>
          <w:tcPr>
            <w:tcW w:type="dxa" w:w="310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Choosing between prompting, retrieval and fine-tuning; full fine-tuning; DPO and reinforcement learning with verifiable rewards alongside RLHF; QLoRA; knowledge distillation; chat templates, overfitting and catastrophic forgetting.</w:t>
            </w:r>
          </w:p>
        </w:tc>
        <w:tc>
          <w:tcPr>
            <w:tcW w:type="dxa" w:w="3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Preference optimisation (DPO) and reinforcement learning with verifiable rewards are how current assistant and reasoning models are trained. The decision between prompting, RAG and fine-tuning is the most common practical question in projects.</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9</w:t>
            </w:r>
          </w:p>
        </w:tc>
        <w:tc>
          <w:tcPr>
            <w:tcW w:type="dxa" w:w="248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Foundations of Multimodal Generative AI</w:t>
            </w:r>
          </w:p>
        </w:tc>
        <w:tc>
          <w:tcPr>
            <w:tcW w:type="dxa" w:w="310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Early, late and cross-attention fusion; vision transformers, audio encoders, image and audio tokens, shared embedding spaces; dual encoders, fusion encoders and vision encoders connected to LLMs; SigLIP, the contrastive loss and zero-shot classification.</w:t>
            </w:r>
          </w:p>
        </w:tc>
        <w:tc>
          <w:tcPr>
            <w:tcW w:type="dxa" w:w="3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Makes the foundations concrete and adds audio, which the original listed as a modality but did not practise. SigLIP-style encoders are used in many current vision-language models.</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10</w:t>
            </w:r>
          </w:p>
        </w:tc>
        <w:tc>
          <w:tcPr>
            <w:tcW w:type="dxa" w:w="248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Multimodal Generative AI Applications</w:t>
            </w:r>
          </w:p>
        </w:tc>
        <w:tc>
          <w:tcPr>
            <w:tcW w:type="dxa" w:w="310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Vision-language and natively multimodal models; alignment pre-training, visual instruction tuning and parameter-efficient adaptation; generation across modalities (image editing, speech, music, video); multimodal hallucination; deepfakes, consent, watermarking and content provenance (C2PA).</w:t>
            </w:r>
          </w:p>
        </w:tc>
        <w:tc>
          <w:tcPr>
            <w:tcW w:type="dxa" w:w="3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Generated media needs evaluation and responsible use. Article 50(2) assigns marking duties to providers within scope, with exceptions; Article 111(4) gives older systems a transition to 2 December 2026. Students distinguish these duties from deployer disclosure.</w:t>
            </w:r>
          </w:p>
        </w:tc>
      </w:tr>
      <w:tr>
        <w:trPr>
          <w:cantSplit/>
        </w:trPr>
        <w:tc>
          <w:tcPr>
            <w:tcW w:type="dxa" w:w="7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11</w:t>
            </w:r>
          </w:p>
        </w:tc>
        <w:tc>
          <w:tcPr>
            <w:tcW w:type="dxa" w:w="248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Deployment and Frameworks</w:t>
            </w:r>
          </w:p>
        </w:tc>
        <w:tc>
          <w:tcPr>
            <w:tcW w:type="dxa" w:w="310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Gemini API and LlamaIndex / LangGraph alongside the original frameworks; API platform details (authentication, tokens, pricing, rate limits, streaming); cloud vs. self-hosted vs. local deployment; quantisation, batching and caching; Gradio, FastAPI and Docker; logging, tracing, latency and cost monitoring, guardrails and versioning.</w:t>
            </w:r>
          </w:p>
        </w:tc>
        <w:tc>
          <w:tcPr>
            <w:tcW w:type="dxa" w:w="3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 original listed frameworks but not the operational skills needed to deploy them. Cost, latency, monitoring and guardrails are what distinguish a demo from a deployable system, and they directly support MIMLO 5 and the group project.</w:t>
            </w:r>
          </w:p>
        </w:tc>
      </w:tr>
      <w:tr>
        <w:trPr>
          <w:cantSplit/>
        </w:trPr>
        <w:tc>
          <w:tcPr>
            <w:tcW w:type="dxa" w:w="7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12</w:t>
            </w:r>
          </w:p>
        </w:tc>
        <w:tc>
          <w:tcPr>
            <w:tcW w:type="dxa" w:w="248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Retrieval-Augmented Generation (RAG) &amp; Agentic AI</w:t>
            </w:r>
          </w:p>
        </w:tc>
        <w:tc>
          <w:tcPr>
            <w:tcW w:type="dxa" w:w="310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No access to private data as a motivation; embeddings and vector databases; chunking, indexing, dense and hybrid retrieval, re-ranking and citations; advanced RAG (query rewriting, GraphRAG); RAG evaluation (retrieval quality, faithfulness, answer relevance); tools and function calling, memory, planning, the ReAct loop, workflows vs. agents, multi-agent systems and the Model Context Protocol; prompt injection and human oversight.</w:t>
            </w:r>
          </w:p>
        </w:tc>
        <w:tc>
          <w:tcPr>
            <w:tcW w:type="dxa" w:w="3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RAG and agents are the most common designs in current applications and student projects. Evaluation and guardrails are essential because agents act on untrusted content, and the Model Context Protocol has become an open standard for tool access.</w:t>
            </w:r>
          </w:p>
        </w:tc>
      </w:tr>
    </w:tbl>
    <w:p>
      <w:pPr>
        <w:spacing w:after="120"/>
      </w:pPr>
    </w:p>
    <w:p>
      <w:pPr>
        <w:pStyle w:val="Heading1"/>
        <w:keepNext/>
        <w:pageBreakBefore/>
      </w:pPr>
      <w:r>
        <w:t xml:space="preserve">Week-by-week comparison</w:t>
      </w:r>
    </w:p>
    <w:p>
      <w:pPr>
        <w:keepNext w:val="false"/>
        <w:keepLines/>
        <w:spacing w:after="140" w:line="288"/>
      </w:pPr>
      <w:r>
        <w:t xml:space="preserve">For each week: the original text, the proposed text, and the reasons. Topics and week order are unchanged in every row.</w:t>
      </w:r>
    </w:p>
    <w:p>
      <w:pPr>
        <w:pStyle w:val="Heading2"/>
        <w:keepNext/>
      </w:pPr>
      <w:r>
        <w:t xml:space="preserve">Week 1: Introduction to Generative &amp; Responsible AI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20"/>
        <w:gridCol w:w="4057"/>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2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57"/>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2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 landscape of Generative AI. Core concepts. Probabilistic Foundations. likelihood, latent variables and the generative vs. discriminative paradigm</w:t>
            </w:r>
          </w:p>
        </w:tc>
        <w:tc>
          <w:tcPr>
            <w:tcW w:type="dxa" w:w="4057"/>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 landscape of Generative AI: foundation models, proprietary and open-weight model families, and everyday AI tools (chat assistants, coding assistants, image, audio and video generators). Core concepts: data, parameters, tokens, training vs. inference, pre-training and post-training. Probabilistic Foundations: probability distributions, likelihood and maximum likelihood, sampling and temperature, latent variables and the generative vs. discriminative paradigm. Overview of generative model families (autoregressive, VAE, GAN, diffusion). Responsible AI: hallucination, bias, privacy, intellectual property, transparency and academic integrity.</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2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Set up working environment. Examples on / Probabilistic Foundations. / Show a generative model in action. Students to try different inputs or prompts and compare outputs.</w:t>
            </w:r>
          </w:p>
        </w:tc>
        <w:tc>
          <w:tcPr>
            <w:tcW w:type="dxa" w:w="4057"/>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Set up working environment (Python, Jupyter / Google Colab, Hugging Face account, safe handling of API keys). / Examples on Probabilistic Foundations: estimate likelihood and sample from a simple character-level model at different temperatures. / Show a generative model in action. Students try different inputs or prompts across AI tools and an open model, compare outputs and record errors.</w:t>
            </w:r>
          </w:p>
        </w:tc>
      </w:tr>
    </w:tbl>
    <w:p>
      <w:pPr>
        <w:spacing w:after="120"/>
      </w:pPr>
    </w:p>
    <w:p>
      <w:pPr>
        <w:keepNext w:val="false"/>
        <w:keepLines/>
        <w:spacing w:after="140" w:line="288"/>
      </w:pPr>
      <w:r>
        <w:rPr>
          <w:b/>
          <w:bCs/>
        </w:rPr>
        <w:t xml:space="preserve">Change to Tutorials.</w:t>
      </w:r>
      <w:r>
        <w:t xml:space="preserve"> Environment now includes a Hugging Face account and safe API-key handling; the probability example becomes a character-level model sampled at several temperatures; students compare AI tools with an open model and record errors.</w:t>
      </w:r>
    </w:p>
    <w:p>
      <w:pPr>
        <w:keepNext w:val="false"/>
        <w:keepLines/>
        <w:spacing w:after="140" w:line="288"/>
      </w:pPr>
      <w:r>
        <w:rPr>
          <w:b/>
          <w:bCs/>
        </w:rPr>
        <w:t xml:space="preserve">Why.</w:t>
      </w:r>
      <w:r>
        <w:t xml:space="preserve"> The module brief is a high-level overview that also teaches students to use AI tools. Tokens, temperature and hallucination are needed from week 1 because every later week relies on them, and responsible-use rules (including the EU AI Act transparency duties applying from August 2026) must be set before students use AI tools in coursework.</w:t>
      </w:r>
    </w:p>
    <w:p>
      <w:pPr>
        <w:keepNext w:val="false"/>
        <w:keepLines/>
        <w:spacing w:after="140" w:line="288"/>
      </w:pPr>
      <w:r>
        <w:rPr>
          <w:b/>
          <w:bCs/>
        </w:rPr>
        <w:t xml:space="preserve">Key sources.</w:t>
      </w:r>
      <w:r>
        <w:t xml:space="preserve"> </w:t>
      </w:r>
      <w:hyperlink w:history="1" r:id="rIdtb1jfkjjhcaif2c_fssqd">
        <w:r>
          <w:rPr>
            <w:color w:val="4F46E5"/>
            <w:u w:val="single"/>
          </w:rPr>
          <w:t xml:space="preserve">EU AI Act: Article 50 (duties and exceptions)</w:t>
        </w:r>
      </w:hyperlink>
      <w:r>
        <w:t xml:space="preserve">; </w:t>
      </w:r>
      <w:hyperlink w:history="1" r:id="rIdq2ckf6zbdtlbnrooptvyl">
        <w:r>
          <w:rPr>
            <w:color w:val="4F46E5"/>
            <w:u w:val="single"/>
          </w:rPr>
          <w:t xml:space="preserve">Microsoft Learn: Introduction to generative AI and agents</w:t>
        </w:r>
      </w:hyperlink>
      <w:r>
        <w:t xml:space="preserve">; </w:t>
      </w:r>
      <w:hyperlink w:history="1" r:id="rIdyicht8ase1v62sdu9udyq">
        <w:r>
          <w:rPr>
            <w:color w:val="4F46E5"/>
            <w:u w:val="single"/>
          </w:rPr>
          <w:t xml:space="preserve">Google ML Crash Course: Introduction to LLMs</w:t>
        </w:r>
      </w:hyperlink>
    </w:p>
    <w:p>
      <w:pPr>
        <w:pStyle w:val="Heading2"/>
        <w:keepNext/>
      </w:pPr>
      <w:r>
        <w:t xml:space="preserve">Week 2: Variational Autoencoders (VAEs)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49"/>
        <w:gridCol w:w="4028"/>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49"/>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2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4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Concept of Latent space and Exploration, Encoder-decoder architecture. Reconstruction and Regularization Loss, Training, Variants (e.g Conditional), Evaluation of VAEs, Applications of VAEs</w:t>
            </w:r>
          </w:p>
        </w:tc>
        <w:tc>
          <w:tcPr>
            <w:tcW w:type="dxa" w:w="40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from autoencoders to probabilistic generative models. Concept of Latent space and Exploration. Encoder-decoder architecture, probabilistic encoder and the reparameterisation trick. Reconstruction and Regularization (KL divergence) Loss and the evidence lower bound (ELBO). Training. Variants (e.g. Conditional VAE, β-VAE, VQ-VAE). Evaluation of VAEs (reconstruction error, sample quality, latent traversals). Applications of VAEs, including anomaly detection and the image autoencoder inside latent diffusion models.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4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Implementing VAE in PyTorch/TensorFlow. / Visualize latent space interpolation. / Generate new images from the learned latent distribution.</w:t>
            </w:r>
          </w:p>
        </w:tc>
        <w:tc>
          <w:tcPr>
            <w:tcW w:type="dxa" w:w="40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Implementing a VAE in PyTorch (e.g. MNIST or Fashion-MNIST). / Visualize the latent space and latent space interpolation. / Generate new images from the learned latent distribution and compare the effect of the KL weight (β).</w:t>
            </w:r>
          </w:p>
        </w:tc>
      </w:tr>
    </w:tbl>
    <w:p>
      <w:pPr>
        <w:spacing w:after="120"/>
      </w:pPr>
    </w:p>
    <w:p>
      <w:pPr>
        <w:keepNext w:val="false"/>
        <w:keepLines/>
        <w:spacing w:after="140" w:line="288"/>
      </w:pPr>
      <w:r>
        <w:rPr>
          <w:b/>
          <w:bCs/>
        </w:rPr>
        <w:t xml:space="preserve">Change to Tutorials.</w:t>
      </w:r>
      <w:r>
        <w:t xml:space="preserve"> Names a concrete dataset (MNIST / Fashion-MNIST) and adds a β (KL-weight) experiment.</w:t>
      </w:r>
    </w:p>
    <w:p>
      <w:pPr>
        <w:keepNext w:val="false"/>
        <w:keepLines/>
        <w:spacing w:after="140" w:line="288"/>
      </w:pPr>
      <w:r>
        <w:rPr>
          <w:b/>
          <w:bCs/>
        </w:rPr>
        <w:t xml:space="preserve">Why.</w:t>
      </w:r>
      <w:r>
        <w:t xml:space="preserve"> The ELBO and reparameterisation explain how a VAE learns a distribution. Image compression in latent diffusion and discrete VQ tokenisers for multimodal models give concrete applications, linking week 2 to weeks 4 and 9.</w:t>
      </w:r>
    </w:p>
    <w:p>
      <w:pPr>
        <w:keepNext w:val="false"/>
        <w:keepLines/>
        <w:spacing w:after="140" w:line="288"/>
      </w:pPr>
      <w:r>
        <w:rPr>
          <w:b/>
          <w:bCs/>
        </w:rPr>
        <w:t xml:space="preserve">Key sources.</w:t>
      </w:r>
      <w:r>
        <w:t xml:space="preserve"> </w:t>
      </w:r>
      <w:hyperlink w:history="1" r:id="rIdiuk6jjzwdghbucjuntve4">
        <w:r>
          <w:rPr>
            <w:color w:val="4F46E5"/>
            <w:u w:val="single"/>
          </w:rPr>
          <w:t xml:space="preserve">Kingma &amp; Welling (2013) Auto-Encoding Variational Bayes</w:t>
        </w:r>
      </w:hyperlink>
      <w:r>
        <w:t xml:space="preserve">; </w:t>
      </w:r>
      <w:hyperlink w:history="1" r:id="rIdcok1eebfsgvf5qrrweacr">
        <w:r>
          <w:rPr>
            <w:color w:val="4F46E5"/>
            <w:u w:val="single"/>
          </w:rPr>
          <w:t xml:space="preserve">van den Oord et al. (2017) Neural Discrete Representation Learning (VQ-VAE)</w:t>
        </w:r>
      </w:hyperlink>
    </w:p>
    <w:p>
      <w:pPr>
        <w:pStyle w:val="Heading2"/>
        <w:keepNext/>
      </w:pPr>
      <w:r>
        <w:t xml:space="preserve">Week 3: Generative Adversarial Networks (GANs)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59"/>
        <w:gridCol w:w="4018"/>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59"/>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1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5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for adversarial learning, GAN Architecture (Generator, Discriminator), GAN Objective Function, Training Challenges, Variants (e.g DCGAN, cGAN, StyleGAN). Evaluation of GANs. Applications of GANs</w:t>
            </w:r>
          </w:p>
        </w:tc>
        <w:tc>
          <w:tcPr>
            <w:tcW w:type="dxa" w:w="401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for adversarial learning. GAN Architecture (Generator, Discriminator). GAN Objective Function (minimax game, non-saturating loss). Training Challenges (mode collapse, instability, vanishing gradients) and stabilisation techniques (e.g. Wasserstein loss, spectral normalisation). Variants (e.g. DCGAN, cGAN, Pix2Pix / CycleGAN, StyleGAN). Evaluation of GANs (FID, Inception Score, precision and recall, human judgement). Applications of GANs, including super-resolution, image-to-image translation and adversarial distillation of fast diffusion models; misuse such as deepfakes.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5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Implementing a GAN in PyTorch/TensorFlow. / Visualizing generator outputs across epochs. / Exploring latent space interpolations.</w:t>
            </w:r>
          </w:p>
        </w:tc>
        <w:tc>
          <w:tcPr>
            <w:tcW w:type="dxa" w:w="401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Implementing a GAN (DCGAN) in PyTorch. / Visualizing generator outputs across epochs and diagnosing training through losses and mode collapse. / Exploring latent space interpolations.</w:t>
            </w:r>
          </w:p>
        </w:tc>
      </w:tr>
    </w:tbl>
    <w:p>
      <w:pPr>
        <w:spacing w:after="120"/>
      </w:pPr>
    </w:p>
    <w:p>
      <w:pPr>
        <w:keepNext w:val="false"/>
        <w:keepLines/>
        <w:spacing w:after="140" w:line="288"/>
      </w:pPr>
      <w:r>
        <w:rPr>
          <w:b/>
          <w:bCs/>
        </w:rPr>
        <w:t xml:space="preserve">Change to Tutorials.</w:t>
      </w:r>
      <w:r>
        <w:t xml:space="preserve"> Specifies DCGAN and adds diagnosing training through losses and mode collapse.</w:t>
      </w:r>
    </w:p>
    <w:p>
      <w:pPr>
        <w:keepNext w:val="false"/>
        <w:keepLines/>
        <w:spacing w:after="140" w:line="288"/>
      </w:pPr>
      <w:r>
        <w:rPr>
          <w:b/>
          <w:bCs/>
        </w:rPr>
        <w:t xml:space="preserve">Why.</w:t>
      </w:r>
      <w:r>
        <w:t xml:space="preserve"> GANs are no longer the leading image generators, so the week now explains why (training instability) and where adversarial training survives in 2026: discriminators inside fast diffusion models, super-resolution and deepfake detection.</w:t>
      </w:r>
    </w:p>
    <w:p>
      <w:pPr>
        <w:keepNext w:val="false"/>
        <w:keepLines/>
        <w:spacing w:after="140" w:line="288"/>
      </w:pPr>
      <w:r>
        <w:rPr>
          <w:b/>
          <w:bCs/>
        </w:rPr>
        <w:t xml:space="preserve">Key sources.</w:t>
      </w:r>
      <w:r>
        <w:t xml:space="preserve"> </w:t>
      </w:r>
      <w:hyperlink w:history="1" r:id="rIdbxsq14cd2d14fzogzpov0">
        <w:r>
          <w:rPr>
            <w:color w:val="4F46E5"/>
            <w:u w:val="single"/>
          </w:rPr>
          <w:t xml:space="preserve">Goodfellow et al. (2014) Generative Adversarial Networks</w:t>
        </w:r>
      </w:hyperlink>
      <w:r>
        <w:t xml:space="preserve">; </w:t>
      </w:r>
      <w:hyperlink w:history="1" r:id="rIdje0rr77mftsgyb71atxcb">
        <w:r>
          <w:rPr>
            <w:color w:val="4F46E5"/>
            <w:u w:val="single"/>
          </w:rPr>
          <w:t xml:space="preserve">Arjovsky et al. (2017) Wasserstein GAN</w:t>
        </w:r>
      </w:hyperlink>
    </w:p>
    <w:p>
      <w:pPr>
        <w:pStyle w:val="Heading2"/>
        <w:keepNext/>
      </w:pPr>
      <w:r>
        <w:t xml:space="preserve">Week 4: Diffusion Models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11"/>
        <w:gridCol w:w="4066"/>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11"/>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66"/>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11"/>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Limitations of GANs and VAEs that diffusion models address. Theoretical Foundations. Core Architecture. Denoising Process. Variants. Evaluation, Applications. Comparison with other generative models.</w:t>
            </w:r>
          </w:p>
        </w:tc>
        <w:tc>
          <w:tcPr>
            <w:tcW w:type="dxa" w:w="4066"/>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Limitations of GANs and VAEs that diffusion models address. Theoretical Foundations (forward noising process, noise schedules, learned reverse process, noise-prediction objective, score-based view). Core Architecture (U-Net and diffusion transformers; latent diffusion with an autoencoder and a text encoder). Denoising Process and samplers (DDPM, DDIM, few-step sampling), classifier-free guidance. Variants (flow matching / rectified flow, distilled few-step models, image editing and control, video and audio diffusion). Evaluation (FID, CLIP score, human preference). Applications. Comparison with other generative models.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11"/>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Training a simple diffusion model. / Generate images using a pre-trained diffusion model (e.g., Stable Diffusion). / Experiment with different noise steps and guidance scales</w:t>
            </w:r>
          </w:p>
        </w:tc>
        <w:tc>
          <w:tcPr>
            <w:tcW w:type="dxa" w:w="4066"/>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Training a simple diffusion model and visualising the forward (noising) and reverse (denoising) processes. / Generate images using a pre-trained diffusion model (e.g., Stable Diffusion via Hugging Face Diffusers). / Experiment with different noise steps, guidance scales, seeds and negative prompts.</w:t>
            </w:r>
          </w:p>
        </w:tc>
      </w:tr>
    </w:tbl>
    <w:p>
      <w:pPr>
        <w:spacing w:after="120"/>
      </w:pPr>
    </w:p>
    <w:p>
      <w:pPr>
        <w:keepNext w:val="false"/>
        <w:keepLines/>
        <w:spacing w:after="140" w:line="288"/>
      </w:pPr>
      <w:r>
        <w:rPr>
          <w:b/>
          <w:bCs/>
        </w:rPr>
        <w:t xml:space="preserve">Change to Tutorials.</w:t>
      </w:r>
      <w:r>
        <w:t xml:space="preserve"> Adds visualising the forward and reverse processes, names Hugging Face Diffusers and adds seeds and negative prompts.</w:t>
      </w:r>
    </w:p>
    <w:p>
      <w:pPr>
        <w:keepNext w:val="false"/>
        <w:keepLines/>
        <w:spacing w:after="140" w:line="288"/>
      </w:pPr>
      <w:r>
        <w:rPr>
          <w:b/>
          <w:bCs/>
        </w:rPr>
        <w:t xml:space="preserve">Why.</w:t>
      </w:r>
      <w:r>
        <w:t xml:space="preserve"> Diffusion and flow-matching transformers now power leading image, video and audio generators. The original text listed headings only; the revision names the concepts students need to read current model cards.</w:t>
      </w:r>
    </w:p>
    <w:p>
      <w:pPr>
        <w:keepNext w:val="false"/>
        <w:keepLines/>
        <w:spacing w:after="140" w:line="288"/>
      </w:pPr>
      <w:r>
        <w:rPr>
          <w:b/>
          <w:bCs/>
        </w:rPr>
        <w:t xml:space="preserve">Key sources.</w:t>
      </w:r>
      <w:r>
        <w:t xml:space="preserve"> </w:t>
      </w:r>
      <w:hyperlink w:history="1" r:id="rIdyhage9hb8ijig4ewigqmb">
        <w:r>
          <w:rPr>
            <w:color w:val="4F46E5"/>
            <w:u w:val="single"/>
          </w:rPr>
          <w:t xml:space="preserve">Ho, Jain &amp; Abbeel (2020) Denoising Diffusion Probabilistic Models</w:t>
        </w:r>
      </w:hyperlink>
      <w:r>
        <w:t xml:space="preserve">; </w:t>
      </w:r>
      <w:hyperlink w:history="1" r:id="rIdoaknhrjqsm3o7xs-mxmye">
        <w:r>
          <w:rPr>
            <w:color w:val="4F46E5"/>
            <w:u w:val="single"/>
          </w:rPr>
          <w:t xml:space="preserve">Rombach et al. (2022) High-Resolution Image Synthesis with Latent Diffusion Models</w:t>
        </w:r>
      </w:hyperlink>
      <w:r>
        <w:t xml:space="preserve">; </w:t>
      </w:r>
      <w:hyperlink w:history="1" r:id="rIdp5at1aduefevdgo5vtqj_">
        <w:r>
          <w:rPr>
            <w:color w:val="4F46E5"/>
            <w:u w:val="single"/>
          </w:rPr>
          <w:t xml:space="preserve">Lipman et al. (2022) Flow Matching for Generative Modeling</w:t>
        </w:r>
      </w:hyperlink>
      <w:r>
        <w:t xml:space="preserve">; </w:t>
      </w:r>
      <w:hyperlink w:history="1" r:id="rIdfd6n3znkjdsxacobgn6qg">
        <w:r>
          <w:rPr>
            <w:color w:val="4F46E5"/>
            <w:u w:val="single"/>
          </w:rPr>
          <w:t xml:space="preserve">Hugging Face Diffusion Models Course</w:t>
        </w:r>
      </w:hyperlink>
    </w:p>
    <w:p>
      <w:pPr>
        <w:pStyle w:val="Heading2"/>
        <w:keepNext/>
      </w:pPr>
      <w:r>
        <w:t xml:space="preserve">Week 5: Transformers &amp; Attention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17"/>
        <w:gridCol w:w="4060"/>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17"/>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6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17"/>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Limitations of recurrent architectures (long-term dependencies, parallelisation, Attention Mechanism (Self-Attention, Multi-Head Attention, Cross-attention). Transformer Architecture and Components, Training, Evaluation, Variants, Applications</w:t>
            </w:r>
          </w:p>
        </w:tc>
        <w:tc>
          <w:tcPr>
            <w:tcW w:type="dxa" w:w="406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Limitations of recurrent architectures (long-term dependencies, parallelisation). Tokenisation and embeddings. Attention Mechanism (scaled dot-product Self-Attention with queries, keys and values, Multi-Head Attention, Cross-attention, causal masking). Positional encoding (sinusoidal, rotary). Transformer Architecture and Components (residual connections, layer normalisation, feed-forward layers; encoder-only, decoder-only and encoder-decoder). Training (masked and next-token objectives), Evaluation (perplexity), Variants and efficiency techniques (KV cache, efficient attention, mixture-of-experts, long context), Applications (text, vision transformers, speech).</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17"/>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Lab balances coding, visualisation, and critical thinking. Students not only build simple transformer models (blocks and attention mechanisms) but also interrogate how transformers use them in practice.</w:t>
            </w:r>
          </w:p>
        </w:tc>
        <w:tc>
          <w:tcPr>
            <w:tcW w:type="dxa" w:w="406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Lab balances coding, visualisation, and critical thinking. Students not only build simple transformer models (blocks and attention mechanisms) but also interrogate how transformers use them in practice. / Implement scaled dot-product and multi-head attention in PyTorch, train a small character-level transformer and visualise the attention maps of a pre-trained model.</w:t>
            </w:r>
          </w:p>
        </w:tc>
      </w:tr>
    </w:tbl>
    <w:p>
      <w:pPr>
        <w:spacing w:after="120"/>
      </w:pPr>
    </w:p>
    <w:p>
      <w:pPr>
        <w:keepNext w:val="false"/>
        <w:keepLines/>
        <w:spacing w:after="140" w:line="288"/>
      </w:pPr>
      <w:r>
        <w:rPr>
          <w:b/>
          <w:bCs/>
        </w:rPr>
        <w:t xml:space="preserve">Change to Tutorials.</w:t>
      </w:r>
      <w:r>
        <w:t xml:space="preserve"> Original wording kept; adds implementing attention, training a small character-level transformer and visualising attention in a pre-trained model.</w:t>
      </w:r>
    </w:p>
    <w:p>
      <w:pPr>
        <w:keepNext w:val="false"/>
        <w:keepLines/>
        <w:spacing w:after="140" w:line="288"/>
      </w:pPr>
      <w:r>
        <w:rPr>
          <w:b/>
          <w:bCs/>
        </w:rPr>
        <w:t xml:space="preserve">Why.</w:t>
      </w:r>
      <w:r>
        <w:t xml:space="preserve"> These concepts help students read model documentation. Rotary positions, KV caches and mixture-of-experts are useful examples; implementations differ across models. The added tutorial makes the original lab description concrete.</w:t>
      </w:r>
    </w:p>
    <w:p>
      <w:pPr>
        <w:keepNext w:val="false"/>
        <w:keepLines/>
        <w:spacing w:after="140" w:line="288"/>
      </w:pPr>
      <w:r>
        <w:rPr>
          <w:b/>
          <w:bCs/>
        </w:rPr>
        <w:t xml:space="preserve">Key sources.</w:t>
      </w:r>
      <w:r>
        <w:t xml:space="preserve"> </w:t>
      </w:r>
      <w:hyperlink w:history="1" r:id="rId4j0i7nu5wtt6rjofodhno">
        <w:r>
          <w:rPr>
            <w:color w:val="4F46E5"/>
            <w:u w:val="single"/>
          </w:rPr>
          <w:t xml:space="preserve">Vaswani et al. (2017) Attention Is All You Need</w:t>
        </w:r>
      </w:hyperlink>
      <w:r>
        <w:t xml:space="preserve">; </w:t>
      </w:r>
      <w:hyperlink w:history="1" r:id="rId67isdq_ysioykplgdxojx">
        <w:r>
          <w:rPr>
            <w:color w:val="4F46E5"/>
            <w:u w:val="single"/>
          </w:rPr>
          <w:t xml:space="preserve">3Blue1Brown: Attention in transformers, step-by-step</w:t>
        </w:r>
      </w:hyperlink>
      <w:r>
        <w:t xml:space="preserve">; </w:t>
      </w:r>
      <w:hyperlink w:history="1" r:id="rId20sqegmombgbro64g1bfd">
        <w:r>
          <w:rPr>
            <w:color w:val="4F46E5"/>
            <w:u w:val="single"/>
          </w:rPr>
          <w:t xml:space="preserve">Andrej Karpathy: Let's build GPT from scratch, in code</w:t>
        </w:r>
      </w:hyperlink>
    </w:p>
    <w:p>
      <w:pPr>
        <w:pStyle w:val="Heading2"/>
        <w:keepNext/>
      </w:pPr>
      <w:r>
        <w:t xml:space="preserve">Week 6: Large Language Models (LLMs) and families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3983"/>
        <w:gridCol w:w="4094"/>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3983"/>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94"/>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3983"/>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Evolution of NLP. How Transformers are used in LLMs and generative models. Architecture Overview. LLM families (e.g. GPT, BERT, LLaMA, T5). Applications</w:t>
            </w:r>
          </w:p>
        </w:tc>
        <w:tc>
          <w:tcPr>
            <w:tcW w:type="dxa" w:w="4094"/>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Evolution of NLP (n-grams, word embeddings, RNNs, Transformers, LLMs). How Transformers are used in LLMs and generative models: pre-training, scaling laws, context windows and decoding strategies (greedy, temperature, top-k, top-p). Architecture Overview. LLM families: encoder (BERT), encoder-decoder (T5) and decoder-only (e.g. GPT, LLaMA, Gemini, Claude, Mistral, Qwen, DeepSeek); proprietary vs. open-weight models, small language models, mixture-of-experts and reasoning models (test-time compute). Model cards, licences and benchmarks. Applications.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3983"/>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Use pretrained models. / Comparing outputs across families (e.g., GPT vs BERT vs T5) / Query a GPT or LLaMA model using Hugging Face API</w:t>
            </w:r>
          </w:p>
        </w:tc>
        <w:tc>
          <w:tcPr>
            <w:tcW w:type="dxa" w:w="4094"/>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Use pretrained models (Hugging Face pipelines). / Comparing outputs across families (e.g., BERT vs T5 vs GPT-style decoder models). / Query a GPT or LLaMA-family model using the Hugging Face API or a local runtime; compare decoding settings and token counts.</w:t>
            </w:r>
          </w:p>
        </w:tc>
      </w:tr>
    </w:tbl>
    <w:p>
      <w:pPr>
        <w:spacing w:after="120"/>
      </w:pPr>
    </w:p>
    <w:p>
      <w:pPr>
        <w:keepNext w:val="false"/>
        <w:keepLines/>
        <w:spacing w:after="140" w:line="288"/>
      </w:pPr>
      <w:r>
        <w:rPr>
          <w:b/>
          <w:bCs/>
        </w:rPr>
        <w:t xml:space="preserve">Change to Tutorials.</w:t>
      </w:r>
      <w:r>
        <w:t xml:space="preserve"> Pipelines named; comparison across encoder, encoder-decoder and decoder families; querying through the Hugging Face API or a local runtime, comparing decoding settings and token counts.</w:t>
      </w:r>
    </w:p>
    <w:p>
      <w:pPr>
        <w:keepNext w:val="false"/>
        <w:keepLines/>
        <w:spacing w:after="140" w:line="288"/>
      </w:pPr>
      <w:r>
        <w:rPr>
          <w:b/>
          <w:bCs/>
        </w:rPr>
        <w:t xml:space="preserve">Why.</w:t>
      </w:r>
      <w:r>
        <w:t xml:space="preserve"> The original list (GPT, BERT, LLaMA, T5) predates open-weight frontier models, small models and reasoning models, which students now use daily. Families are named without version numbers so the text stays valid as versions change.</w:t>
      </w:r>
    </w:p>
    <w:p>
      <w:pPr>
        <w:keepNext w:val="false"/>
        <w:keepLines/>
        <w:spacing w:after="140" w:line="288"/>
      </w:pPr>
      <w:r>
        <w:rPr>
          <w:b/>
          <w:bCs/>
        </w:rPr>
        <w:t xml:space="preserve">Key sources.</w:t>
      </w:r>
      <w:r>
        <w:t xml:space="preserve"> </w:t>
      </w:r>
      <w:hyperlink w:history="1" r:id="rIdw2cockvy1cxomy9chkaqr">
        <w:r>
          <w:rPr>
            <w:color w:val="4F46E5"/>
            <w:u w:val="single"/>
          </w:rPr>
          <w:t xml:space="preserve">Andrej Karpathy: Intro to Large Language Models (1 h)</w:t>
        </w:r>
      </w:hyperlink>
      <w:r>
        <w:t xml:space="preserve">; </w:t>
      </w:r>
      <w:hyperlink w:history="1" r:id="rIdgbmsvndhcxzvyihxxtbpi">
        <w:r>
          <w:rPr>
            <w:color w:val="4F46E5"/>
            <w:u w:val="single"/>
          </w:rPr>
          <w:t xml:space="preserve">Hoffmann et al. (2022) Training Compute-Optimal LLMs (Chinchilla)</w:t>
        </w:r>
      </w:hyperlink>
      <w:r>
        <w:t xml:space="preserve">; </w:t>
      </w:r>
      <w:hyperlink w:history="1" r:id="rId-sxry_4ww7htxnwzkdhw4">
        <w:r>
          <w:rPr>
            <w:color w:val="4F46E5"/>
            <w:u w:val="single"/>
          </w:rPr>
          <w:t xml:space="preserve">Hugging Face LLM Course</w:t>
        </w:r>
      </w:hyperlink>
    </w:p>
    <w:p>
      <w:pPr>
        <w:pStyle w:val="Heading2"/>
        <w:keepNext/>
      </w:pPr>
      <w:r>
        <w:t xml:space="preserve">Week 7: Prompt Engineering and evaluation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28"/>
        <w:gridCol w:w="4049"/>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2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49"/>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2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 paradigm shift (pre-training vs fine-tuning vs prompt-based usage). Basic Prompting Techniques (zero-shot, one-shot, few shot, role based), Chain-of-Thought (CoT) prompting. Prompting for Different Tasks. Evaluation Methods. Limitations and Challenges. Supporting tools.</w:t>
            </w:r>
          </w:p>
        </w:tc>
        <w:tc>
          <w:tcPr>
            <w:tcW w:type="dxa" w:w="404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The paradigm shift (pre-training vs fine-tuning vs prompt-based usage and in-context learning). Anatomy of a prompt (system and user messages, instructions, context, examples, output format). Basic Prompting Techniques (zero-shot, one-shot, few shot, role based), Chain-of-Thought (CoT) prompting, self-consistency, prompt chaining and prompting reasoning models. Structured outputs and context engineering. Prompting for Different Tasks (text, code, data extraction, images). Evaluation Methods (test sets, rubrics, reference-based metrics, LLM-as-a-judge, human evaluation). Limitations and Challenges (hallucination, prompt sensitivity, prompt injection). Supporting tools.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2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Explore different case studies in prompt engineering and different prompt styles on pre-trained LLMs.</w:t>
            </w:r>
          </w:p>
        </w:tc>
        <w:tc>
          <w:tcPr>
            <w:tcW w:type="dxa" w:w="404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Explore different case studies in prompt engineering and different prompt styles on pre-trained LLMs. / Build a small prompt evaluation set: compare zero-shot, few-shot and CoT prompts, validate structured (JSON) outputs and test a prompt-injection case.</w:t>
            </w:r>
          </w:p>
        </w:tc>
      </w:tr>
    </w:tbl>
    <w:p>
      <w:pPr>
        <w:spacing w:after="120"/>
      </w:pPr>
    </w:p>
    <w:p>
      <w:pPr>
        <w:keepNext w:val="false"/>
        <w:keepLines/>
        <w:spacing w:after="140" w:line="288"/>
      </w:pPr>
      <w:r>
        <w:rPr>
          <w:b/>
          <w:bCs/>
        </w:rPr>
        <w:t xml:space="preserve">Change to Tutorials.</w:t>
      </w:r>
      <w:r>
        <w:t xml:space="preserve"> Adds building a small evaluation set comparing zero-shot, few-shot and chain-of-thought prompts, validating JSON outputs and testing a prompt-injection case.</w:t>
      </w:r>
    </w:p>
    <w:p>
      <w:pPr>
        <w:keepNext w:val="false"/>
        <w:keepLines/>
        <w:spacing w:after="140" w:line="288"/>
      </w:pPr>
      <w:r>
        <w:rPr>
          <w:b/>
          <w:bCs/>
        </w:rPr>
        <w:t xml:space="preserve">Why.</w:t>
      </w:r>
      <w:r>
        <w:t xml:space="preserve"> Prompting is only useful professionally when it is measured. Structured outputs, context engineering and prompt injection are now standard topics in the official OpenAI, Google and Anthropic guides, and prompt injection is the top OWASP risk for LLM applications.</w:t>
      </w:r>
    </w:p>
    <w:p>
      <w:pPr>
        <w:keepNext w:val="false"/>
        <w:keepLines/>
        <w:spacing w:after="140" w:line="288"/>
      </w:pPr>
      <w:r>
        <w:rPr>
          <w:b/>
          <w:bCs/>
        </w:rPr>
        <w:t xml:space="preserve">Key sources.</w:t>
      </w:r>
      <w:r>
        <w:t xml:space="preserve"> </w:t>
      </w:r>
      <w:hyperlink w:history="1" r:id="rIdt2rlykjdq_jng-o8urabe">
        <w:r>
          <w:rPr>
            <w:color w:val="4F46E5"/>
            <w:u w:val="single"/>
          </w:rPr>
          <w:t xml:space="preserve">OpenAI: Prompt engineering guide</w:t>
        </w:r>
      </w:hyperlink>
      <w:r>
        <w:t xml:space="preserve">; </w:t>
      </w:r>
      <w:hyperlink w:history="1" r:id="rIdtgjcsmyn2-s-4fwgjpgdf">
        <w:r>
          <w:rPr>
            <w:color w:val="4F46E5"/>
            <w:u w:val="single"/>
          </w:rPr>
          <w:t xml:space="preserve">Google Gemini API: Prompt design strategies</w:t>
        </w:r>
      </w:hyperlink>
      <w:r>
        <w:t xml:space="preserve">; </w:t>
      </w:r>
      <w:hyperlink w:history="1" r:id="rIdap9pcmj_sqmnpj8vaot67">
        <w:r>
          <w:rPr>
            <w:color w:val="4F46E5"/>
            <w:u w:val="single"/>
          </w:rPr>
          <w:t xml:space="preserve">Anthropic: Interactive prompt engineering tutorial (9 chapters)</w:t>
        </w:r>
      </w:hyperlink>
      <w:r>
        <w:t xml:space="preserve">; </w:t>
      </w:r>
      <w:hyperlink w:history="1" r:id="rIdgbc0kwxwu-eqw4qoyoxkx">
        <w:r>
          <w:rPr>
            <w:color w:val="4F46E5"/>
            <w:u w:val="single"/>
          </w:rPr>
          <w:t xml:space="preserve">OWASP Top 10 for LLM Applications</w:t>
        </w:r>
      </w:hyperlink>
    </w:p>
    <w:p>
      <w:pPr>
        <w:pStyle w:val="Heading2"/>
        <w:keepNext/>
      </w:pPr>
      <w:r>
        <w:t xml:space="preserve">Week 8: Fine-Tuning and Domain Adaptation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38"/>
        <w:gridCol w:w="4039"/>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3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39"/>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3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Fine-tuning approaches: supervised fine-tuning, reinforcement learning with human feedback (RLHF). Parameter-efficient tuning: LoRA, adapters, prompt tuning. Instruction Tuning. Domain-Specific Fine-Tuning. Evaluation &amp; Benchmarks</w:t>
            </w:r>
          </w:p>
        </w:tc>
        <w:tc>
          <w:tcPr>
            <w:tcW w:type="dxa" w:w="403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Choosing between prompting, retrieval and fine-tuning. Fine-tuning approaches: full fine-tuning, supervised fine-tuning (SFT) and Instruction Tuning. Preference alignment: reinforcement learning with human feedback (RLHF), direct preference optimisation (DPO) and reinforcement learning with verifiable rewards for reasoning models. Parameter-efficient tuning: LoRA, QLoRA, adapters, prompt tuning. Knowledge distillation. Domain-Specific Fine-Tuning (data preparation, chat templates, overfitting, catastrophic forgetting). Evaluation &amp; Benchmarks.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3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Fine-tune a pre-trained LLM for a domain-specific task. Apply parameter-efficient fine-tuning (LoRA / QLoRA). Compare base vs fine-tuned model performance.</w:t>
            </w:r>
          </w:p>
        </w:tc>
        <w:tc>
          <w:tcPr>
            <w:tcW w:type="dxa" w:w="403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Fine-tune a small pre-trained LLM for a domain-specific task. / Apply parameter-efficient fine-tuning (LoRA / QLoRA) with Hugging Face PEFT and TRL. / Compare base vs fine-tuned model performance on a held-out test set.</w:t>
            </w:r>
          </w:p>
        </w:tc>
      </w:tr>
    </w:tbl>
    <w:p>
      <w:pPr>
        <w:spacing w:after="120"/>
      </w:pPr>
    </w:p>
    <w:p>
      <w:pPr>
        <w:keepNext w:val="false"/>
        <w:keepLines/>
        <w:spacing w:after="140" w:line="288"/>
      </w:pPr>
      <w:r>
        <w:rPr>
          <w:b/>
          <w:bCs/>
        </w:rPr>
        <w:t xml:space="preserve">Change to Tutorials.</w:t>
      </w:r>
      <w:r>
        <w:t xml:space="preserve"> Names Hugging Face PEFT and TRL and specifies a held-out test set.</w:t>
      </w:r>
    </w:p>
    <w:p>
      <w:pPr>
        <w:keepNext w:val="false"/>
        <w:keepLines/>
        <w:spacing w:after="140" w:line="288"/>
      </w:pPr>
      <w:r>
        <w:rPr>
          <w:b/>
          <w:bCs/>
        </w:rPr>
        <w:t xml:space="preserve">Why.</w:t>
      </w:r>
      <w:r>
        <w:t xml:space="preserve"> Preference optimisation (DPO) and reinforcement learning with verifiable rewards are how current assistant and reasoning models are trained. The decision between prompting, RAG and fine-tuning is the most common practical question in projects.</w:t>
      </w:r>
    </w:p>
    <w:p>
      <w:pPr>
        <w:keepNext w:val="false"/>
        <w:keepLines/>
        <w:spacing w:after="140" w:line="288"/>
      </w:pPr>
      <w:r>
        <w:rPr>
          <w:b/>
          <w:bCs/>
        </w:rPr>
        <w:t xml:space="preserve">Key sources.</w:t>
      </w:r>
      <w:r>
        <w:t xml:space="preserve"> </w:t>
      </w:r>
      <w:hyperlink w:history="1" r:id="rIdkq--q_sww05fua2cojvxt">
        <w:r>
          <w:rPr>
            <w:color w:val="4F46E5"/>
            <w:u w:val="single"/>
          </w:rPr>
          <w:t xml:space="preserve">Hu et al. (2021) LoRA: Low-Rank Adaptation of LLMs</w:t>
        </w:r>
      </w:hyperlink>
      <w:r>
        <w:t xml:space="preserve">; </w:t>
      </w:r>
      <w:hyperlink w:history="1" r:id="rIdlo2jdwm9hg8fcovxcbybe">
        <w:r>
          <w:rPr>
            <w:color w:val="4F46E5"/>
            <w:u w:val="single"/>
          </w:rPr>
          <w:t xml:space="preserve">Dettmers et al. (2023) QLoRA</w:t>
        </w:r>
      </w:hyperlink>
      <w:r>
        <w:t xml:space="preserve">; </w:t>
      </w:r>
      <w:hyperlink w:history="1" r:id="rIdynqxw511qkaxkk_ywfxr4">
        <w:r>
          <w:rPr>
            <w:color w:val="4F46E5"/>
            <w:u w:val="single"/>
          </w:rPr>
          <w:t xml:space="preserve">Rafailov et al. (2023) Direct Preference Optimization</w:t>
        </w:r>
      </w:hyperlink>
      <w:r>
        <w:t xml:space="preserve">; </w:t>
      </w:r>
      <w:hyperlink w:history="1" r:id="rIdbqssa9ffhgk4udw9lrssk">
        <w:r>
          <w:rPr>
            <w:color w:val="4F46E5"/>
            <w:u w:val="single"/>
          </w:rPr>
          <w:t xml:space="preserve">Hugging Face TRL documentation (SFT, DPO, GRPO)</w:t>
        </w:r>
      </w:hyperlink>
    </w:p>
    <w:p>
      <w:pPr>
        <w:pStyle w:val="Heading2"/>
        <w:keepNext/>
      </w:pPr>
      <w:r>
        <w:t xml:space="preserve">Week 9: Foundations of Multimodal Generative AI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19"/>
        <w:gridCol w:w="4058"/>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19"/>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58"/>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19"/>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Definition of modalities (text, image, audio, video). Key Concepts &amp; Terminology (modality, cross modal, muti modal, alignment, fusion). Representation learning across modalities. Key multimodal architectures and models. Contrastive Learning (CLIP), Vision-Language Transformers.</w:t>
            </w:r>
          </w:p>
        </w:tc>
        <w:tc>
          <w:tcPr>
            <w:tcW w:type="dxa" w:w="4058"/>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Definition of modalities (text, image, audio, video). Key Concepts &amp; Terminology (modality, cross modal, multi modal, alignment, fusion: early, late and cross-attention). Representation learning across modalities (vision transformers, audio encoders, image and audio tokens, shared embedding spaces). Key multimodal architectures and models (dual encoders, fusion encoders, encoder-decoders, vision encoders connected to LLMs). Contrastive Learning (CLIP, SigLIP; contrastive loss, zero-shot classification), Vision-Language Transformers.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19"/>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Understand modalities and embeddings. / Explore text–image embeddings, alignment, and retrieval using pre-trained models like CLIP.</w:t>
            </w:r>
          </w:p>
        </w:tc>
        <w:tc>
          <w:tcPr>
            <w:tcW w:type="dxa" w:w="4058"/>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Understand modalities and embeddings. / Explore text–image embeddings, alignment, and retrieval using pre-trained models like CLIP (zero-shot classification and text-to-image search). / Transcribe audio with a speech model (e.g. Whisper) and connect it to text and image embeddings.</w:t>
            </w:r>
          </w:p>
        </w:tc>
      </w:tr>
    </w:tbl>
    <w:p>
      <w:pPr>
        <w:spacing w:after="120"/>
      </w:pPr>
    </w:p>
    <w:p>
      <w:pPr>
        <w:keepNext w:val="false"/>
        <w:keepLines/>
        <w:spacing w:after="140" w:line="288"/>
      </w:pPr>
      <w:r>
        <w:rPr>
          <w:b/>
          <w:bCs/>
        </w:rPr>
        <w:t xml:space="preserve">Change to Tutorials.</w:t>
      </w:r>
      <w:r>
        <w:t xml:space="preserve"> Adds zero-shot classification and text-to-image search with CLIP, and speech transcription with Whisper.</w:t>
      </w:r>
    </w:p>
    <w:p>
      <w:pPr>
        <w:keepNext w:val="false"/>
        <w:keepLines/>
        <w:spacing w:after="140" w:line="288"/>
      </w:pPr>
      <w:r>
        <w:rPr>
          <w:b/>
          <w:bCs/>
        </w:rPr>
        <w:t xml:space="preserve">Why.</w:t>
      </w:r>
      <w:r>
        <w:t xml:space="preserve"> Makes the foundations concrete and adds audio, which the original listed as a modality but did not practise. SigLIP-style encoders are used in many current vision-language models.</w:t>
      </w:r>
    </w:p>
    <w:p>
      <w:pPr>
        <w:keepNext w:val="false"/>
        <w:keepLines/>
        <w:spacing w:after="140" w:line="288"/>
      </w:pPr>
      <w:r>
        <w:rPr>
          <w:b/>
          <w:bCs/>
        </w:rPr>
        <w:t xml:space="preserve">Key sources.</w:t>
      </w:r>
      <w:r>
        <w:t xml:space="preserve"> </w:t>
      </w:r>
      <w:hyperlink w:history="1" r:id="rIdvgpxnou-srfxc1vxlfcev">
        <w:r>
          <w:rPr>
            <w:color w:val="4F46E5"/>
            <w:u w:val="single"/>
          </w:rPr>
          <w:t xml:space="preserve">Radford et al. (2021) CLIP: Learning Transferable Visual Models from Natural Language Supervision</w:t>
        </w:r>
      </w:hyperlink>
      <w:r>
        <w:t xml:space="preserve">; </w:t>
      </w:r>
      <w:hyperlink w:history="1" r:id="rIdxpbcudmhoeagxccj3af-1">
        <w:r>
          <w:rPr>
            <w:color w:val="4F46E5"/>
            <w:u w:val="single"/>
          </w:rPr>
          <w:t xml:space="preserve">Zhai et al. (2023) Sigmoid Loss for Language Image Pre-Training (SigLIP)</w:t>
        </w:r>
      </w:hyperlink>
      <w:r>
        <w:t xml:space="preserve">; </w:t>
      </w:r>
      <w:hyperlink w:history="1" r:id="rIdtevgiwkq6mtoudqwu5nde">
        <w:r>
          <w:rPr>
            <w:color w:val="4F46E5"/>
            <w:u w:val="single"/>
          </w:rPr>
          <w:t xml:space="preserve">Radford et al. (2022) Whisper: Robust Speech Recognition</w:t>
        </w:r>
      </w:hyperlink>
      <w:r>
        <w:t xml:space="preserve">; </w:t>
      </w:r>
      <w:hyperlink w:history="1" r:id="rId7zqw7i2x4h8qhgqr0jirh">
        <w:r>
          <w:rPr>
            <w:color w:val="4F46E5"/>
            <w:u w:val="single"/>
          </w:rPr>
          <w:t xml:space="preserve">Hugging Face blog: Vision language models explained</w:t>
        </w:r>
      </w:hyperlink>
    </w:p>
    <w:p>
      <w:pPr>
        <w:pStyle w:val="Heading2"/>
        <w:keepNext/>
      </w:pPr>
      <w:r>
        <w:t xml:space="preserve">Week 10: Multimodal Generative AI Applications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3972"/>
        <w:gridCol w:w="4105"/>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3972"/>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10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397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Multimodal LLMs. Training &amp; Fine-Tuning Multimodal Models. Evaluation of Multimodal Generative AI. Applications</w:t>
            </w:r>
          </w:p>
        </w:tc>
        <w:tc>
          <w:tcPr>
            <w:tcW w:type="dxa" w:w="410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Multimodal LLMs (vision-language and natively multimodal models that accept text, images, audio and video). Training &amp; Fine-Tuning Multimodal Models (alignment pre-training, visual instruction tuning, parameter-efficient adaptation). Generation across modalities (text-to-image, image editing, text-to-speech and speech-to-speech, music, text-to-video). Evaluation of Multimodal Generative AI (CLIP score, FID, task accuracy, human preference, multimodal hallucination). Responsible use: deepfakes, consent, watermarking and content provenance (e.g. C2PA). Applications.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397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Multimodal generative tasks for example: Text to Image, Image to Text, Text to Audio, Text to Video, Image to Image, Cross-modal reasoning / Explore advanced models, real-world use cases and emerging trends.</w:t>
            </w:r>
          </w:p>
        </w:tc>
        <w:tc>
          <w:tcPr>
            <w:tcW w:type="dxa" w:w="410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Multimodal generative tasks for example: Text to Image, Image to Text (captioning and visual question answering), Text to Audio (speech), Speech to Text, Image to Image, Cross-modal reasoning over charts and documents. / Explore advanced models, real-world use cases and emerging trends.</w:t>
            </w:r>
          </w:p>
        </w:tc>
      </w:tr>
    </w:tbl>
    <w:p>
      <w:pPr>
        <w:spacing w:after="120"/>
      </w:pPr>
    </w:p>
    <w:p>
      <w:pPr>
        <w:keepNext w:val="false"/>
        <w:keepLines/>
        <w:spacing w:after="140" w:line="288"/>
      </w:pPr>
      <w:r>
        <w:rPr>
          <w:b/>
          <w:bCs/>
        </w:rPr>
        <w:t xml:space="preserve">Change to Tutorials.</w:t>
      </w:r>
      <w:r>
        <w:t xml:space="preserve"> Specifies captioning, visual question answering, speech and cross-modal reasoning over charts and documents.</w:t>
      </w:r>
    </w:p>
    <w:p>
      <w:pPr>
        <w:keepNext w:val="false"/>
        <w:keepLines/>
        <w:spacing w:after="140" w:line="288"/>
      </w:pPr>
      <w:r>
        <w:rPr>
          <w:b/>
          <w:bCs/>
        </w:rPr>
        <w:t xml:space="preserve">Why.</w:t>
      </w:r>
      <w:r>
        <w:t xml:space="preserve"> Generated media needs evaluation and responsible use. Article 50(2) assigns marking duties to providers within scope, with exceptions; Article 111(4) gives older systems a transition to 2 December 2026. Students distinguish these duties from deployer disclosure.</w:t>
      </w:r>
    </w:p>
    <w:p>
      <w:pPr>
        <w:keepNext w:val="false"/>
        <w:keepLines/>
        <w:spacing w:after="140" w:line="288"/>
      </w:pPr>
      <w:r>
        <w:rPr>
          <w:b/>
          <w:bCs/>
        </w:rPr>
        <w:t xml:space="preserve">Key sources.</w:t>
      </w:r>
      <w:r>
        <w:t xml:space="preserve"> </w:t>
      </w:r>
      <w:hyperlink w:history="1" r:id="rIdsavog70qn4rvf20vwlesa">
        <w:r>
          <w:rPr>
            <w:color w:val="4F46E5"/>
            <w:u w:val="single"/>
          </w:rPr>
          <w:t xml:space="preserve">Hugging Face blog: Vision language models explained</w:t>
        </w:r>
      </w:hyperlink>
      <w:r>
        <w:t xml:space="preserve">; </w:t>
      </w:r>
      <w:hyperlink w:history="1" r:id="rIdaprtiixkjyyxg_d_nhgzn">
        <w:r>
          <w:rPr>
            <w:color w:val="4F46E5"/>
            <w:u w:val="single"/>
          </w:rPr>
          <w:t xml:space="preserve">Liu et al. (2023) Visual Instruction Tuning (LLaVA)</w:t>
        </w:r>
      </w:hyperlink>
      <w:r>
        <w:t xml:space="preserve">; </w:t>
      </w:r>
      <w:hyperlink w:history="1" r:id="rIdt70kk2ipbr3wnzo5pl4gc">
        <w:r>
          <w:rPr>
            <w:color w:val="4F46E5"/>
            <w:u w:val="single"/>
          </w:rPr>
          <w:t xml:space="preserve">C2PA: Content credentials and provenance standard</w:t>
        </w:r>
      </w:hyperlink>
      <w:r>
        <w:t xml:space="preserve">; </w:t>
      </w:r>
      <w:hyperlink w:history="1" r:id="rIdzsdv5sz8smkjsgzfkhps4">
        <w:r>
          <w:rPr>
            <w:color w:val="4F46E5"/>
            <w:u w:val="single"/>
          </w:rPr>
          <w:t xml:space="preserve">EU AI Act: Article 50 (duties and exceptions)</w:t>
        </w:r>
      </w:hyperlink>
      <w:r>
        <w:t xml:space="preserve">; </w:t>
      </w:r>
      <w:hyperlink w:history="1" r:id="rIdii8ktf9t7ldbfmr0paixq">
        <w:r>
          <w:rPr>
            <w:color w:val="4F46E5"/>
            <w:u w:val="single"/>
          </w:rPr>
          <w:t xml:space="preserve">EU AI Act: Article 111(4), marking transition</w:t>
        </w:r>
      </w:hyperlink>
    </w:p>
    <w:p>
      <w:pPr>
        <w:pStyle w:val="Heading2"/>
        <w:keepNext/>
      </w:pPr>
      <w:r>
        <w:t xml:space="preserve">Week 11: Deployment and Frameworks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3995"/>
        <w:gridCol w:w="4082"/>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399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82"/>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399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Frameworks (Hugging Face, OpenAI / Azure OpenAI, vLLM, Ollama, LangChain). API Platforms. Deploy and monitor generative AI models using standard frameworks and deployment tools. Comparison</w:t>
            </w:r>
          </w:p>
        </w:tc>
        <w:tc>
          <w:tcPr>
            <w:tcW w:type="dxa" w:w="4082"/>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Frameworks (Hugging Face, OpenAI / Azure OpenAI, Google Gemini API, vLLM, Ollama, LangChain / LangGraph, LlamaIndex). API Platforms (authentication, tokens, pricing, rate limits, streaming). Deployment options: cloud APIs vs. self-hosted and local models; quantisation and serving efficiency (batching, caching). Building applications and interfaces (e.g. Gradio, FastAPI, Docker). Deploy and monitor generative AI models using standard frameworks and deployment tools (logging, tracing, latency and cost monitoring, guardrails, versioning). Comparison.</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399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Explore different tools and frameworks. Work with local and cloud based LLM models.</w:t>
            </w:r>
          </w:p>
        </w:tc>
        <w:tc>
          <w:tcPr>
            <w:tcW w:type="dxa" w:w="4082"/>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Explore different tools and frameworks. Work with local and cloud based LLM models. / Build and deploy a small generative AI application with a web interface; measure latency and cost and add basic logging and guardrails.</w:t>
            </w:r>
          </w:p>
        </w:tc>
      </w:tr>
    </w:tbl>
    <w:p>
      <w:pPr>
        <w:spacing w:after="120"/>
      </w:pPr>
    </w:p>
    <w:p>
      <w:pPr>
        <w:keepNext w:val="false"/>
        <w:keepLines/>
        <w:spacing w:after="140" w:line="288"/>
      </w:pPr>
      <w:r>
        <w:rPr>
          <w:b/>
          <w:bCs/>
        </w:rPr>
        <w:t xml:space="preserve">Change to Tutorials.</w:t>
      </w:r>
      <w:r>
        <w:t xml:space="preserve"> Adds building and deploying a small application with a web interface, measuring latency and cost, and adding logging and guardrails.</w:t>
      </w:r>
    </w:p>
    <w:p>
      <w:pPr>
        <w:keepNext w:val="false"/>
        <w:keepLines/>
        <w:spacing w:after="140" w:line="288"/>
      </w:pPr>
      <w:r>
        <w:rPr>
          <w:b/>
          <w:bCs/>
        </w:rPr>
        <w:t xml:space="preserve">Why.</w:t>
      </w:r>
      <w:r>
        <w:t xml:space="preserve"> The original listed frameworks but not the operational skills needed to deploy them. Cost, latency, monitoring and guardrails are what distinguish a demo from a deployable system, and they directly support MIMLO 5 and the group project.</w:t>
      </w:r>
    </w:p>
    <w:p>
      <w:pPr>
        <w:keepNext w:val="false"/>
        <w:keepLines/>
        <w:spacing w:after="140" w:line="288"/>
      </w:pPr>
      <w:r>
        <w:rPr>
          <w:b/>
          <w:bCs/>
        </w:rPr>
        <w:t xml:space="preserve">Key sources.</w:t>
      </w:r>
      <w:r>
        <w:t xml:space="preserve"> </w:t>
      </w:r>
      <w:hyperlink w:history="1" r:id="rIdcdypprovadlesg86sfqdo">
        <w:r>
          <w:rPr>
            <w:color w:val="4F46E5"/>
            <w:u w:val="single"/>
          </w:rPr>
          <w:t xml:space="preserve">vLLM documentation</w:t>
        </w:r>
      </w:hyperlink>
      <w:r>
        <w:t xml:space="preserve">; </w:t>
      </w:r>
      <w:hyperlink w:history="1" r:id="rIducrunupq_btinipqwps1c">
        <w:r>
          <w:rPr>
            <w:color w:val="4F46E5"/>
            <w:u w:val="single"/>
          </w:rPr>
          <w:t xml:space="preserve">Ollama: run open models locally</w:t>
        </w:r>
      </w:hyperlink>
      <w:r>
        <w:t xml:space="preserve">; </w:t>
      </w:r>
      <w:hyperlink w:history="1" r:id="rIdjbxsh2xquhblxj62ko5bu">
        <w:r>
          <w:rPr>
            <w:color w:val="4F46E5"/>
            <w:u w:val="single"/>
          </w:rPr>
          <w:t xml:space="preserve">Gradio quickstart</w:t>
        </w:r>
      </w:hyperlink>
      <w:r>
        <w:t xml:space="preserve">; </w:t>
      </w:r>
      <w:hyperlink w:history="1" r:id="rIdcdlx80pcd774lkojcxed8">
        <w:r>
          <w:rPr>
            <w:color w:val="4F46E5"/>
            <w:u w:val="single"/>
          </w:rPr>
          <w:t xml:space="preserve">Microsoft Foundry: Azure OpenAI and models sold directly by Azure</w:t>
        </w:r>
      </w:hyperlink>
      <w:r>
        <w:t xml:space="preserve">; </w:t>
      </w:r>
      <w:hyperlink w:history="1" r:id="rIdfawiqf6kxyrbbnp6z6pn9">
        <w:r>
          <w:rPr>
            <w:color w:val="4F46E5"/>
            <w:u w:val="single"/>
          </w:rPr>
          <w:t xml:space="preserve">OWASP Top 10 for LLM Applications</w:t>
        </w:r>
      </w:hyperlink>
    </w:p>
    <w:p>
      <w:pPr>
        <w:pStyle w:val="Heading2"/>
        <w:keepNext/>
      </w:pPr>
      <w:r>
        <w:t xml:space="preserve">Week 12: Retrieval-Augmented Generation (RAG) &amp; Agentic AI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047"/>
        <w:gridCol w:w="4030"/>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tc>
        <w:tc>
          <w:tcPr>
            <w:tcW w:type="dxa" w:w="4047"/>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Original</w:t>
            </w:r>
          </w:p>
        </w:tc>
        <w:tc>
          <w:tcPr>
            <w:tcW w:type="dxa" w:w="4030"/>
            <w:tcBorders>
              <w:top w:val="single" w:color="D1D5DB" w:sz="4"/>
              <w:left w:val="single" w:color="D1D5DB" w:sz="4"/>
              <w:bottom w:val="single" w:color="D1D5DB" w:sz="4"/>
              <w:right w:val="single" w:color="D1D5DB" w:sz="4"/>
            </w:tcBorders>
            <w:shd w:fill="1E1B4B" w:color="auto" w:val="clear"/>
            <w:tcMar>
              <w:top w:type="dxa" w:w="40"/>
              <w:left w:type="dxa" w:w="120"/>
              <w:bottom w:type="dxa" w:w="40"/>
              <w:right w:type="dxa" w:w="120"/>
            </w:tcMar>
            <w:vAlign w:val="top"/>
          </w:tcPr>
          <w:p>
            <w:r>
              <w:rPr>
                <w:b/>
                <w:bCs/>
                <w:color w:val="FFFFFF"/>
                <w:sz w:val="20"/>
                <w:szCs w:val="20"/>
              </w:rPr>
              <w:t xml:space="preserve">Proposed</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b/>
                <w:bCs/>
                <w:sz w:val="20"/>
                <w:szCs w:val="20"/>
              </w:rPr>
              <w:t xml:space="preserve">Detail</w:t>
            </w:r>
          </w:p>
        </w:tc>
        <w:tc>
          <w:tcPr>
            <w:tcW w:type="dxa" w:w="4047"/>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LLM limitations (e.g Static Knowledge, Hallucinations). RAG architectures and workflow. Understand agentic AI concepts and components. Frameworks &amp; Tools</w:t>
            </w:r>
          </w:p>
        </w:tc>
        <w:tc>
          <w:tcPr>
            <w:tcW w:type="dxa" w:w="4030"/>
            <w:tcBorders>
              <w:top w:val="single" w:color="D1D5DB" w:sz="4"/>
              <w:left w:val="single" w:color="D1D5DB" w:sz="4"/>
              <w:bottom w:val="single" w:color="D1D5DB" w:sz="4"/>
              <w:right w:val="single" w:color="D1D5DB" w:sz="4"/>
            </w:tcBorders>
            <w:shd w:fill="EEF0FF" w:color="auto" w:val="clear"/>
            <w:tcMar>
              <w:top w:type="dxa" w:w="40"/>
              <w:left w:type="dxa" w:w="120"/>
              <w:bottom w:type="dxa" w:w="40"/>
              <w:right w:type="dxa" w:w="120"/>
            </w:tcMar>
            <w:vAlign w:val="top"/>
          </w:tcPr>
          <w:p>
            <w:r>
              <w:rPr>
                <w:sz w:val="20"/>
                <w:szCs w:val="20"/>
              </w:rPr>
              <w:t xml:space="preserve">Motivation. LLM limitations (e.g Static Knowledge, Hallucinations, no access to private data). Embeddings and vector databases. RAG architectures and workflow (chunking, indexing, dense and hybrid retrieval, re-ranking, grounded generation with citations; advanced RAG, e.g. query rewriting, GraphRAG). RAG evaluation (retrieval quality, faithfulness, answer relevance). Understand agentic AI concepts and components (LLM, tools / function calling, memory, planning, ReAct loop; workflows vs. agents; multi-agent systems; Model Context Protocol). Risks and guardrails (prompt injection, human oversight). Frameworks &amp; Tools.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b/>
                <w:bCs/>
                <w:sz w:val="20"/>
                <w:szCs w:val="20"/>
              </w:rPr>
              <w:t xml:space="preserve">Tutorials</w:t>
            </w:r>
          </w:p>
        </w:tc>
        <w:tc>
          <w:tcPr>
            <w:tcW w:type="dxa" w:w="4047"/>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Build RAG pipelines (e.g document Q&amp;A). Implement a simple LLM agent. Compare with and without RAG.</w:t>
            </w:r>
          </w:p>
        </w:tc>
        <w:tc>
          <w:tcPr>
            <w:tcW w:type="dxa" w:w="4030"/>
            <w:tcBorders>
              <w:top w:val="single" w:color="D1D5DB" w:sz="4"/>
              <w:left w:val="single" w:color="D1D5DB" w:sz="4"/>
              <w:bottom w:val="single" w:color="D1D5DB" w:sz="4"/>
              <w:right w:val="single" w:color="D1D5DB" w:sz="4"/>
            </w:tcBorders>
            <w:shd w:fill="FFFFFF" w:color="auto" w:val="clear"/>
            <w:tcMar>
              <w:top w:type="dxa" w:w="40"/>
              <w:left w:type="dxa" w:w="120"/>
              <w:bottom w:type="dxa" w:w="40"/>
              <w:right w:type="dxa" w:w="120"/>
            </w:tcMar>
            <w:vAlign w:val="top"/>
          </w:tcPr>
          <w:p>
            <w:r>
              <w:rPr>
                <w:sz w:val="20"/>
                <w:szCs w:val="20"/>
              </w:rPr>
              <w:t xml:space="preserve">Build RAG pipelines (e.g document Q&amp;A) with embeddings and a vector store. Compare with and without RAG and evaluate retrieval and faithfulness. / Implement a simple LLM agent that calls tools (e.g. a calculator and a search over the RAG index).</w:t>
            </w:r>
          </w:p>
        </w:tc>
      </w:tr>
    </w:tbl>
    <w:p>
      <w:pPr>
        <w:spacing w:after="120"/>
      </w:pPr>
    </w:p>
    <w:p>
      <w:pPr>
        <w:keepNext w:val="false"/>
        <w:keepLines/>
        <w:spacing w:after="140" w:line="288"/>
      </w:pPr>
      <w:r>
        <w:rPr>
          <w:b/>
          <w:bCs/>
        </w:rPr>
        <w:t xml:space="preserve">Change to Tutorials.</w:t>
      </w:r>
      <w:r>
        <w:t xml:space="preserve"> Adds evaluating retrieval and faithfulness, and an agent calling a calculator and a search tool over the RAG index.</w:t>
      </w:r>
    </w:p>
    <w:p>
      <w:pPr>
        <w:keepNext w:val="false"/>
        <w:keepLines/>
        <w:spacing w:after="140" w:line="288"/>
      </w:pPr>
      <w:r>
        <w:rPr>
          <w:b/>
          <w:bCs/>
        </w:rPr>
        <w:t xml:space="preserve">Why.</w:t>
      </w:r>
      <w:r>
        <w:t xml:space="preserve"> RAG and agents are the most common designs in current applications and student projects. Evaluation and guardrails are essential because agents act on untrusted content, and the Model Context Protocol has become an open standard for tool access.</w:t>
      </w:r>
    </w:p>
    <w:p>
      <w:pPr>
        <w:keepNext w:val="false"/>
        <w:keepLines/>
        <w:spacing w:after="140" w:line="288"/>
      </w:pPr>
      <w:r>
        <w:rPr>
          <w:b/>
          <w:bCs/>
        </w:rPr>
        <w:t xml:space="preserve">Key sources.</w:t>
      </w:r>
      <w:r>
        <w:t xml:space="preserve"> </w:t>
      </w:r>
      <w:hyperlink w:history="1" r:id="rIdmpgrm16fllrq3kn38-ljb">
        <w:r>
          <w:rPr>
            <w:color w:val="4F46E5"/>
            <w:u w:val="single"/>
          </w:rPr>
          <w:t xml:space="preserve">Lewis et al. (2020) Retrieval-Augmented Generation</w:t>
        </w:r>
      </w:hyperlink>
      <w:r>
        <w:t xml:space="preserve">; </w:t>
      </w:r>
      <w:hyperlink w:history="1" r:id="rId2qxjwphdon9ebz0t6kduf">
        <w:r>
          <w:rPr>
            <w:color w:val="4F46E5"/>
            <w:u w:val="single"/>
          </w:rPr>
          <w:t xml:space="preserve">Yao et al. (2022) ReAct: Synergizing Reasoning and Acting</w:t>
        </w:r>
      </w:hyperlink>
      <w:r>
        <w:t xml:space="preserve">; </w:t>
      </w:r>
      <w:hyperlink w:history="1" r:id="rIdaniyeqj6axh7dd4pkil7z">
        <w:r>
          <w:rPr>
            <w:color w:val="4F46E5"/>
            <w:u w:val="single"/>
          </w:rPr>
          <w:t xml:space="preserve">Anthropic: Building effective agents</w:t>
        </w:r>
      </w:hyperlink>
      <w:r>
        <w:t xml:space="preserve">; </w:t>
      </w:r>
      <w:hyperlink w:history="1" r:id="rIdw3h5kl_j99yp2v2bwthdd">
        <w:r>
          <w:rPr>
            <w:color w:val="4F46E5"/>
            <w:u w:val="single"/>
          </w:rPr>
          <w:t xml:space="preserve">Model Context Protocol: Introduction</w:t>
        </w:r>
      </w:hyperlink>
      <w:r>
        <w:t xml:space="preserve">; </w:t>
      </w:r>
      <w:hyperlink w:history="1" r:id="rIdtihlo56aykupdvztbobss">
        <w:r>
          <w:rPr>
            <w:color w:val="4F46E5"/>
            <w:u w:val="single"/>
          </w:rPr>
          <w:t xml:space="preserve">Es et al. (2023) RAGAS: Automated Evaluation of RAG</w:t>
        </w:r>
      </w:hyperlink>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Section 7.3: proposed revision and rationale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tb1jfkjjhcaif2c_fssqd" Type="http://schemas.openxmlformats.org/officeDocument/2006/relationships/hyperlink" Target="https://ai-act-service-desk.ec.europa.eu/en/ai-act/article-50" TargetMode="External"/><Relationship Id="rIdq2ckf6zbdtlbnrooptvyl" Type="http://schemas.openxmlformats.org/officeDocument/2006/relationships/hyperlink" Target="https://learn.microsoft.com/en-us/training/modules/fundamentals-generative-ai/" TargetMode="External"/><Relationship Id="rIdyicht8ase1v62sdu9udyq" Type="http://schemas.openxmlformats.org/officeDocument/2006/relationships/hyperlink" Target="https://developers.google.com/machine-learning/crash-course/llm" TargetMode="External"/><Relationship Id="rIdiuk6jjzwdghbucjuntve4" Type="http://schemas.openxmlformats.org/officeDocument/2006/relationships/hyperlink" Target="https://arxiv.org/abs/1312.6114" TargetMode="External"/><Relationship Id="rIdcok1eebfsgvf5qrrweacr" Type="http://schemas.openxmlformats.org/officeDocument/2006/relationships/hyperlink" Target="https://arxiv.org/abs/1711.00937" TargetMode="External"/><Relationship Id="rIdbxsq14cd2d14fzogzpov0" Type="http://schemas.openxmlformats.org/officeDocument/2006/relationships/hyperlink" Target="https://arxiv.org/abs/1406.2661" TargetMode="External"/><Relationship Id="rIdje0rr77mftsgyb71atxcb" Type="http://schemas.openxmlformats.org/officeDocument/2006/relationships/hyperlink" Target="https://arxiv.org/abs/1701.07875" TargetMode="External"/><Relationship Id="rIdyhage9hb8ijig4ewigqmb" Type="http://schemas.openxmlformats.org/officeDocument/2006/relationships/hyperlink" Target="https://arxiv.org/abs/2006.11239" TargetMode="External"/><Relationship Id="rIdoaknhrjqsm3o7xs-mxmye" Type="http://schemas.openxmlformats.org/officeDocument/2006/relationships/hyperlink" Target="https://arxiv.org/abs/2112.10752" TargetMode="External"/><Relationship Id="rIdp5at1aduefevdgo5vtqj_" Type="http://schemas.openxmlformats.org/officeDocument/2006/relationships/hyperlink" Target="https://arxiv.org/abs/2210.02747" TargetMode="External"/><Relationship Id="rIdfd6n3znkjdsxacobgn6qg" Type="http://schemas.openxmlformats.org/officeDocument/2006/relationships/hyperlink" Target="https://huggingface.co/learn/diffusion-course/unit0/1" TargetMode="External"/><Relationship Id="rId4j0i7nu5wtt6rjofodhno" Type="http://schemas.openxmlformats.org/officeDocument/2006/relationships/hyperlink" Target="https://arxiv.org/abs/1706.03762" TargetMode="External"/><Relationship Id="rId67isdq_ysioykplgdxojx" Type="http://schemas.openxmlformats.org/officeDocument/2006/relationships/hyperlink" Target="https://www.youtube.com/watch?v=eMlx5fFNoYc" TargetMode="External"/><Relationship Id="rId20sqegmombgbro64g1bfd" Type="http://schemas.openxmlformats.org/officeDocument/2006/relationships/hyperlink" Target="https://www.youtube.com/watch?v=kCc8FmEb1nY" TargetMode="External"/><Relationship Id="rIdw2cockvy1cxomy9chkaqr" Type="http://schemas.openxmlformats.org/officeDocument/2006/relationships/hyperlink" Target="https://www.youtube.com/watch?v=zjkBMFhNj_g" TargetMode="External"/><Relationship Id="rIdgbmsvndhcxzvyihxxtbpi" Type="http://schemas.openxmlformats.org/officeDocument/2006/relationships/hyperlink" Target="https://arxiv.org/abs/2203.15556" TargetMode="External"/><Relationship Id="rId-sxry_4ww7htxnwzkdhw4" Type="http://schemas.openxmlformats.org/officeDocument/2006/relationships/hyperlink" Target="https://huggingface.co/learn/llm-course/chapter1/1" TargetMode="External"/><Relationship Id="rIdt2rlykjdq_jng-o8urabe" Type="http://schemas.openxmlformats.org/officeDocument/2006/relationships/hyperlink" Target="https://developers.openai.com/api/docs/guides/prompt-engineering" TargetMode="External"/><Relationship Id="rIdtgjcsmyn2-s-4fwgjpgdf" Type="http://schemas.openxmlformats.org/officeDocument/2006/relationships/hyperlink" Target="https://ai.google.dev/gemini-api/docs/prompting-strategies" TargetMode="External"/><Relationship Id="rIdap9pcmj_sqmnpj8vaot67" Type="http://schemas.openxmlformats.org/officeDocument/2006/relationships/hyperlink" Target="https://github.com/anthropics/prompt-eng-interactive-tutorial" TargetMode="External"/><Relationship Id="rIdgbc0kwxwu-eqw4qoyoxkx" Type="http://schemas.openxmlformats.org/officeDocument/2006/relationships/hyperlink" Target="https://genai.owasp.org/llm-top-10/" TargetMode="External"/><Relationship Id="rIdkq--q_sww05fua2cojvxt" Type="http://schemas.openxmlformats.org/officeDocument/2006/relationships/hyperlink" Target="https://arxiv.org/abs/2106.09685" TargetMode="External"/><Relationship Id="rIdlo2jdwm9hg8fcovxcbybe" Type="http://schemas.openxmlformats.org/officeDocument/2006/relationships/hyperlink" Target="https://arxiv.org/abs/2305.14314" TargetMode="External"/><Relationship Id="rIdynqxw511qkaxkk_ywfxr4" Type="http://schemas.openxmlformats.org/officeDocument/2006/relationships/hyperlink" Target="https://arxiv.org/abs/2305.18290" TargetMode="External"/><Relationship Id="rIdbqssa9ffhgk4udw9lrssk" Type="http://schemas.openxmlformats.org/officeDocument/2006/relationships/hyperlink" Target="https://huggingface.co/docs/trl/index" TargetMode="External"/><Relationship Id="rIdvgpxnou-srfxc1vxlfcev" Type="http://schemas.openxmlformats.org/officeDocument/2006/relationships/hyperlink" Target="https://arxiv.org/abs/2103.00020" TargetMode="External"/><Relationship Id="rIdxpbcudmhoeagxccj3af-1" Type="http://schemas.openxmlformats.org/officeDocument/2006/relationships/hyperlink" Target="https://arxiv.org/abs/2303.15343" TargetMode="External"/><Relationship Id="rIdtevgiwkq6mtoudqwu5nde" Type="http://schemas.openxmlformats.org/officeDocument/2006/relationships/hyperlink" Target="https://arxiv.org/abs/2212.04356" TargetMode="External"/><Relationship Id="rId7zqw7i2x4h8qhgqr0jirh" Type="http://schemas.openxmlformats.org/officeDocument/2006/relationships/hyperlink" Target="https://huggingface.co/blog/vlms" TargetMode="External"/><Relationship Id="rIdsavog70qn4rvf20vwlesa" Type="http://schemas.openxmlformats.org/officeDocument/2006/relationships/hyperlink" Target="https://huggingface.co/blog/vlms" TargetMode="External"/><Relationship Id="rIdaprtiixkjyyxg_d_nhgzn" Type="http://schemas.openxmlformats.org/officeDocument/2006/relationships/hyperlink" Target="https://arxiv.org/abs/2304.08485" TargetMode="External"/><Relationship Id="rIdt70kk2ipbr3wnzo5pl4gc" Type="http://schemas.openxmlformats.org/officeDocument/2006/relationships/hyperlink" Target="https://c2pa.org/" TargetMode="External"/><Relationship Id="rIdzsdv5sz8smkjsgzfkhps4" Type="http://schemas.openxmlformats.org/officeDocument/2006/relationships/hyperlink" Target="https://ai-act-service-desk.ec.europa.eu/en/ai-act/article-50" TargetMode="External"/><Relationship Id="rIdii8ktf9t7ldbfmr0paixq" Type="http://schemas.openxmlformats.org/officeDocument/2006/relationships/hyperlink" Target="https://ai-act-service-desk.ec.europa.eu/en/ai-act/article-111" TargetMode="External"/><Relationship Id="rIdcdypprovadlesg86sfqdo" Type="http://schemas.openxmlformats.org/officeDocument/2006/relationships/hyperlink" Target="https://docs.vllm.ai/en/latest/" TargetMode="External"/><Relationship Id="rIducrunupq_btinipqwps1c" Type="http://schemas.openxmlformats.org/officeDocument/2006/relationships/hyperlink" Target="https://ollama.com/" TargetMode="External"/><Relationship Id="rIdjbxsh2xquhblxj62ko5bu" Type="http://schemas.openxmlformats.org/officeDocument/2006/relationships/hyperlink" Target="https://gradio.app/guides/quickstart" TargetMode="External"/><Relationship Id="rIdcdlx80pcd774lkojcxed8" Type="http://schemas.openxmlformats.org/officeDocument/2006/relationships/hyperlink" Target="https://learn.microsoft.com/en-us/azure/foundry/foundry-models/concepts/models-sold-directly-by-azure" TargetMode="External"/><Relationship Id="rIdfawiqf6kxyrbbnp6z6pn9" Type="http://schemas.openxmlformats.org/officeDocument/2006/relationships/hyperlink" Target="https://genai.owasp.org/llm-top-10/" TargetMode="External"/><Relationship Id="rIdmpgrm16fllrq3kn38-ljb" Type="http://schemas.openxmlformats.org/officeDocument/2006/relationships/hyperlink" Target="https://arxiv.org/abs/2005.11401" TargetMode="External"/><Relationship Id="rId2qxjwphdon9ebz0t6kduf" Type="http://schemas.openxmlformats.org/officeDocument/2006/relationships/hyperlink" Target="https://arxiv.org/abs/2210.03629" TargetMode="External"/><Relationship Id="rIdaniyeqj6axh7dd4pkil7z" Type="http://schemas.openxmlformats.org/officeDocument/2006/relationships/hyperlink" Target="https://www.anthropic.com/engineering/building-effective-agents" TargetMode="External"/><Relationship Id="rIdw3h5kl_j99yp2v2bwthdd" Type="http://schemas.openxmlformats.org/officeDocument/2006/relationships/hyperlink" Target="https://modelcontextprotocol.io/" TargetMode="External"/><Relationship Id="rIdtihlo56aykupdvztbobss" Type="http://schemas.openxmlformats.org/officeDocument/2006/relationships/hyperlink" Target="https://arxiv.org/abs/2309.15217" TargetMode="External"/><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7.3: proposed revision and rationale</dc:title>
  <dc:creator>Generative AI module team</dc:creator>
  <dc:description>Teaching notes for the MSc Generative AI module</dc:description>
  <cp:lastModifiedBy>Un-named</cp:lastModifiedBy>
  <cp:revision>1</cp:revision>
  <dcterms:created xsi:type="dcterms:W3CDTF">2026-10-12T06:11:26.865Z</dcterms:created>
  <dcterms:modified xsi:type="dcterms:W3CDTF">2026-10-12T06:11:26.866Z</dcterms:modified>
</cp:coreProperties>
</file>

<file path=docProps/custom.xml><?xml version="1.0" encoding="utf-8"?>
<Properties xmlns="http://schemas.openxmlformats.org/officeDocument/2006/custom-properties" xmlns:vt="http://schemas.openxmlformats.org/officeDocument/2006/docPropsVTypes"/>
</file>