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Walmart Retail Sales Analysis</w:t>
      </w:r>
    </w:p>
    <w:p>
      <w:pPr>
        <w:jc w:val="center"/>
      </w:pPr>
      <w:r>
        <w:rPr>
          <w:i/>
          <w:sz w:val="22"/>
        </w:rPr>
        <w:t>Business Analytics Report | Python • SQL • Power BI</w:t>
      </w:r>
    </w:p>
    <w:p>
      <w:pPr>
        <w:jc w:val="center"/>
      </w:pPr>
      <w:r>
        <w:rPr>
          <w:b/>
          <w:sz w:val="22"/>
        </w:rPr>
        <w:t>Dataset coverage: February 2010 – October 2012 | 45 stores | 6,435 weekly observations</w:t>
      </w:r>
    </w:p>
    <w:p>
      <w:pPr>
        <w:pStyle w:val="Heading1"/>
      </w:pPr>
      <w:r>
        <w:t>1. Executive Summary</w:t>
      </w:r>
    </w:p>
    <w:p>
      <w:r>
        <w:t>Analysis of the Walmart weekly sales dataset reveals strong differences in store performance, clear annual seasonality, and a meaningful uplift during designated holiday weeks. Store 20 generated the highest total sales at approximately $301.4 million, while Store 33 was the lowest performer at approximately $37.2 million. The gap indicates substantial variation in store-level sales performance.</w:t>
      </w:r>
    </w:p>
    <w:p>
      <w:r>
        <w:t>Annual sales increased from 2010 to 2011 and then declined in the available 2012 data. The 2012 period is incomplete because the dataset ends in October 2012, so its total should not be compared directly with full-year 2010 or 2011 totals.</w:t>
      </w:r>
    </w:p>
    <w:p>
      <w:r>
        <w:t>Holiday weeks generated approximately 7.8% higher average weekly sales than non-holiday weeks in the pooled dataset. This supports planning for increased inventory and staffing around known holiday periods, while avoiding unsupported claims about exact causal effects.</w:t>
      </w:r>
    </w:p>
    <w:p>
      <w:r>
        <w:t>Among the external variables, unemployment has a weak negative correlation with weekly sales (r ≈ -0.106), temperature has a very weak negative correlation (r ≈ -0.064), and fuel price has essentially no linear correlation with sales (r ≈ 0.0095). These relationships are descriptive and should not be interpreted as causal effects.</w:t>
      </w:r>
    </w:p>
    <w:p>
      <w:pPr>
        <w:pStyle w:val="Heading1"/>
      </w:pPr>
      <w:r>
        <w:t>2. Data Quality and Completeness</w:t>
      </w:r>
    </w:p>
    <w:p>
      <w:r>
        <w:t>The dataset contains 45 stores and 6,435 weekly observations covering February 2010 through October 2012. Core variables include store, date, weekly sales, holiday flag, temperature, fuel price, CPI, and unemployment.</w:t>
      </w:r>
    </w:p>
    <w:p>
      <w:pPr>
        <w:pStyle w:val="ListBullet"/>
      </w:pPr>
      <w:r>
        <w:t>Core fields were checked for missing values after Python-based cleaning.</w:t>
      </w:r>
    </w:p>
    <w:p>
      <w:pPr>
        <w:pStyle w:val="ListBullet"/>
      </w:pPr>
      <w:r>
        <w:t>Date values were standardized to a consistent date type.</w:t>
      </w:r>
    </w:p>
    <w:p>
      <w:pPr>
        <w:pStyle w:val="ListBullet"/>
      </w:pPr>
      <w:r>
        <w:t>Duplicate records were checked using store and date.</w:t>
      </w:r>
    </w:p>
    <w:p>
      <w:pPr>
        <w:pStyle w:val="ListBullet"/>
      </w:pPr>
      <w:r>
        <w:t>Sales and other numeric fields were checked for invalid or implausible values.</w:t>
      </w:r>
    </w:p>
    <w:p>
      <w:pPr>
        <w:pStyle w:val="ListBullet"/>
      </w:pPr>
      <w:r>
        <w:t>The dataset has no reported NULL values in the core variables used for analysis.</w:t>
      </w:r>
    </w:p>
    <w:p>
      <w:pPr>
        <w:pStyle w:val="ListBullet"/>
      </w:pPr>
      <w:r>
        <w:t>The final year is incomplete because observations end in October 2012; this is a coverage limitation, not evidence of missing rows within the available period.</w:t>
      </w:r>
    </w:p>
    <w:p>
      <w:pPr>
        <w:pStyle w:val="Heading1"/>
      </w:pPr>
      <w:r>
        <w:t>3. Store Performance</w:t>
      </w:r>
    </w:p>
    <w:p>
      <w:r>
        <w:t>Total sales were calculated by summing Weekly_Sales for each store. Store 20 was the strongest performer, while Store 33 was the weakest.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Rank</w:t>
            </w:r>
          </w:p>
        </w:tc>
        <w:tc>
          <w:tcPr>
            <w:tcW w:type="dxa" w:w="3360"/>
            <w:vAlign w:val="center"/>
            <w:shd w:fill="D9EAF7"/>
          </w:tcPr>
          <w:p>
            <w:r/>
            <w:r>
              <w:rPr>
                <w:b/>
                <w:sz w:val="18"/>
              </w:rPr>
              <w:t>Store</w:t>
            </w:r>
          </w:p>
        </w:tc>
        <w:tc>
          <w:tcPr>
            <w:tcW w:type="dxa" w:w="3360"/>
            <w:vAlign w:val="center"/>
            <w:shd w:fill="D9EAF7"/>
          </w:tcPr>
          <w:p>
            <w:r/>
            <w:r>
              <w:rPr>
                <w:b/>
                <w:sz w:val="18"/>
              </w:rPr>
              <w:t>Total Sales (USD)</w:t>
            </w:r>
          </w:p>
        </w:tc>
      </w:tr>
      <w:tr>
        <w:tc>
          <w:tcPr>
            <w:tcW w:type="dxa" w:w="3360"/>
            <w:vAlign w:val="center"/>
          </w:tcPr>
          <w:p>
            <w:r/>
            <w:r>
              <w:rPr>
                <w:b w:val="0"/>
                <w:sz w:val="18"/>
              </w:rPr>
              <w:t>1</w:t>
            </w:r>
          </w:p>
        </w:tc>
        <w:tc>
          <w:tcPr>
            <w:tcW w:type="dxa" w:w="3360"/>
            <w:vAlign w:val="center"/>
          </w:tcPr>
          <w:p>
            <w:r/>
            <w:r>
              <w:rPr>
                <w:b w:val="0"/>
                <w:sz w:val="18"/>
              </w:rPr>
              <w:t>20</w:t>
            </w:r>
          </w:p>
        </w:tc>
        <w:tc>
          <w:tcPr>
            <w:tcW w:type="dxa" w:w="3360"/>
            <w:vAlign w:val="center"/>
          </w:tcPr>
          <w:p>
            <w:r/>
            <w:r>
              <w:rPr>
                <w:b w:val="0"/>
                <w:sz w:val="18"/>
              </w:rPr>
              <w:t>$301,397,792</w:t>
            </w:r>
          </w:p>
        </w:tc>
      </w:tr>
      <w:tr>
        <w:tc>
          <w:tcPr>
            <w:tcW w:type="dxa" w:w="3360"/>
            <w:vAlign w:val="center"/>
          </w:tcPr>
          <w:p>
            <w:r/>
            <w:r>
              <w:rPr>
                <w:b w:val="0"/>
                <w:sz w:val="18"/>
              </w:rPr>
              <w:t>2</w:t>
            </w:r>
          </w:p>
        </w:tc>
        <w:tc>
          <w:tcPr>
            <w:tcW w:type="dxa" w:w="3360"/>
            <w:vAlign w:val="center"/>
          </w:tcPr>
          <w:p>
            <w:r/>
            <w:r>
              <w:rPr>
                <w:b w:val="0"/>
                <w:sz w:val="18"/>
              </w:rPr>
              <w:t>4</w:t>
            </w:r>
          </w:p>
        </w:tc>
        <w:tc>
          <w:tcPr>
            <w:tcW w:type="dxa" w:w="3360"/>
            <w:vAlign w:val="center"/>
          </w:tcPr>
          <w:p>
            <w:r/>
            <w:r>
              <w:rPr>
                <w:b w:val="0"/>
                <w:sz w:val="18"/>
              </w:rPr>
              <w:t>$299,544,000</w:t>
            </w:r>
          </w:p>
        </w:tc>
      </w:tr>
      <w:tr>
        <w:tc>
          <w:tcPr>
            <w:tcW w:type="dxa" w:w="3360"/>
            <w:vAlign w:val="center"/>
          </w:tcPr>
          <w:p>
            <w:r/>
            <w:r>
              <w:rPr>
                <w:b w:val="0"/>
                <w:sz w:val="18"/>
              </w:rPr>
              <w:t>3</w:t>
            </w:r>
          </w:p>
        </w:tc>
        <w:tc>
          <w:tcPr>
            <w:tcW w:type="dxa" w:w="3360"/>
            <w:vAlign w:val="center"/>
          </w:tcPr>
          <w:p>
            <w:r/>
            <w:r>
              <w:rPr>
                <w:b w:val="0"/>
                <w:sz w:val="18"/>
              </w:rPr>
              <w:t>14</w:t>
            </w:r>
          </w:p>
        </w:tc>
        <w:tc>
          <w:tcPr>
            <w:tcW w:type="dxa" w:w="3360"/>
            <w:vAlign w:val="center"/>
          </w:tcPr>
          <w:p>
            <w:r/>
            <w:r>
              <w:rPr>
                <w:b w:val="0"/>
                <w:sz w:val="18"/>
              </w:rPr>
              <w:t>$288,999,900</w:t>
            </w:r>
          </w:p>
        </w:tc>
      </w:tr>
    </w:tbl>
    <w:p>
      <w:r>
        <w:t>Store 20 leads the dataset by total sales, while Store 33 records approximately $37.2 million. The wide performance gap suggests that store-level characteristics and local operating conditions are important considerations when allocating inventory, staffing, and promotional resources.</w:t>
      </w:r>
    </w:p>
    <w:p>
      <w:pPr>
        <w:pStyle w:val="Heading1"/>
      </w:pPr>
      <w:r>
        <w:t>4. Annual, Quarterly, and Monthly Trends</w:t>
      </w:r>
    </w:p>
    <w:p>
      <w:r>
        <w:t>Sales increased from 2010 to 2011 and declined in the available 2012 observations. Because 2012 ends in October, the decline should be interpreted as a partial-year comparison rather than a confirmed full-year contraction.</w:t>
      </w:r>
    </w:p>
    <w:p>
      <w:r>
        <w:t>Monthly analysis indicates strong seasonality. December is a prominent high-sales month, while February is among the weaker months in the observed period. Quarterly analysis also shows stronger performance toward the end of the year, consistent with holiday-driven demand.</w:t>
      </w:r>
    </w:p>
    <w:p>
      <w:r>
        <w:t>The safest interpretation is that the business exhibits recurring seasonal variation, with a pronounced year-end demand pattern. The dataset alone does not identify which individual products or merchandise categories caused the seasonal increase.</w:t>
      </w:r>
    </w:p>
    <w:p>
      <w:pPr>
        <w:pStyle w:val="Heading1"/>
      </w:pPr>
      <w:r>
        <w:t>5. Holiday vs. Non-Holiday Weeks</w:t>
      </w:r>
    </w:p>
    <w:p>
      <w:r>
        <w:t>Average weekly sales were compared between Holiday_Flag = 1 and Holiday_Flag = 0. Across the pooled dataset, holiday weeks averaged approximately 7.8% higher weekly sales than non-holiday weeks.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Comparison</w:t>
            </w:r>
          </w:p>
        </w:tc>
        <w:tc>
          <w:tcPr>
            <w:tcW w:type="dxa" w:w="3360"/>
            <w:vAlign w:val="center"/>
            <w:shd w:fill="D9EAF7"/>
          </w:tcPr>
          <w:p>
            <w:r/>
            <w:r>
              <w:rPr>
                <w:b/>
                <w:sz w:val="18"/>
              </w:rPr>
              <w:t>Average Weekly Sales</w:t>
            </w:r>
          </w:p>
        </w:tc>
        <w:tc>
          <w:tcPr>
            <w:tcW w:type="dxa" w:w="3360"/>
            <w:vAlign w:val="center"/>
            <w:shd w:fill="D9EAF7"/>
          </w:tcPr>
          <w:p>
            <w:r/>
            <w:r>
              <w:rPr>
                <w:b/>
                <w:sz w:val="18"/>
              </w:rPr>
              <w:t>Interpretation</w:t>
            </w:r>
          </w:p>
        </w:tc>
      </w:tr>
      <w:tr>
        <w:tc>
          <w:tcPr>
            <w:tcW w:type="dxa" w:w="3360"/>
            <w:vAlign w:val="center"/>
          </w:tcPr>
          <w:p>
            <w:r/>
            <w:r>
              <w:rPr>
                <w:b w:val="0"/>
                <w:sz w:val="18"/>
              </w:rPr>
              <w:t>Non-holiday weeks</w:t>
            </w:r>
          </w:p>
        </w:tc>
        <w:tc>
          <w:tcPr>
            <w:tcW w:type="dxa" w:w="3360"/>
            <w:vAlign w:val="center"/>
          </w:tcPr>
          <w:p>
            <w:r/>
            <w:r>
              <w:rPr>
                <w:b w:val="0"/>
                <w:sz w:val="18"/>
              </w:rPr>
              <w:t>~$1.041M</w:t>
            </w:r>
          </w:p>
        </w:tc>
        <w:tc>
          <w:tcPr>
            <w:tcW w:type="dxa" w:w="3360"/>
            <w:vAlign w:val="center"/>
          </w:tcPr>
          <w:p>
            <w:r/>
            <w:r>
              <w:rPr>
                <w:b w:val="0"/>
                <w:sz w:val="18"/>
              </w:rPr>
              <w:t>Baseline</w:t>
            </w:r>
          </w:p>
        </w:tc>
      </w:tr>
      <w:tr>
        <w:tc>
          <w:tcPr>
            <w:tcW w:type="dxa" w:w="3360"/>
            <w:vAlign w:val="center"/>
          </w:tcPr>
          <w:p>
            <w:r/>
            <w:r>
              <w:rPr>
                <w:b w:val="0"/>
                <w:sz w:val="18"/>
              </w:rPr>
              <w:t>Holiday weeks</w:t>
            </w:r>
          </w:p>
        </w:tc>
        <w:tc>
          <w:tcPr>
            <w:tcW w:type="dxa" w:w="3360"/>
            <w:vAlign w:val="center"/>
          </w:tcPr>
          <w:p>
            <w:r/>
            <w:r>
              <w:rPr>
                <w:b w:val="0"/>
                <w:sz w:val="18"/>
              </w:rPr>
              <w:t>~$1.123M</w:t>
            </w:r>
          </w:p>
        </w:tc>
        <w:tc>
          <w:tcPr>
            <w:tcW w:type="dxa" w:w="3360"/>
            <w:vAlign w:val="center"/>
          </w:tcPr>
          <w:p>
            <w:r/>
            <w:r>
              <w:rPr>
                <w:b w:val="0"/>
                <w:sz w:val="18"/>
              </w:rPr>
              <w:t>≈7.8% higher</w:t>
            </w:r>
          </w:p>
        </w:tc>
      </w:tr>
    </w:tbl>
    <w:p>
      <w:r>
        <w:t>This pattern supports operational preparation for known holiday periods. However, the analysis does not by itself establish causality or justify a specific statistical significance claim unless a reproducible hypothesis test is performed separately.</w:t>
      </w:r>
    </w:p>
    <w:p>
      <w:r>
        <w:t>Recommendation: increase inventory readiness, staffing capacity, and promotional planning ahead of historically strong holiday periods.</w:t>
      </w:r>
    </w:p>
    <w:p>
      <w:pPr>
        <w:pStyle w:val="Heading1"/>
      </w:pPr>
      <w:r>
        <w:t>6. External Factors and Sales Relationships</w:t>
      </w:r>
    </w:p>
    <w:p>
      <w:r>
        <w:t>Pearson correlation analysis was used to describe the linear relationship between weekly sales and selected external variables. Correlation values are descriptive and do not establish causation.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Variable</w:t>
            </w:r>
          </w:p>
        </w:tc>
        <w:tc>
          <w:tcPr>
            <w:tcW w:type="dxa" w:w="3360"/>
            <w:vAlign w:val="center"/>
            <w:shd w:fill="D9EAF7"/>
          </w:tcPr>
          <w:p>
            <w:r/>
            <w:r>
              <w:rPr>
                <w:b/>
                <w:sz w:val="18"/>
              </w:rPr>
              <w:t>Correlation with Sales</w:t>
            </w:r>
          </w:p>
        </w:tc>
        <w:tc>
          <w:tcPr>
            <w:tcW w:type="dxa" w:w="3360"/>
            <w:vAlign w:val="center"/>
            <w:shd w:fill="D9EAF7"/>
          </w:tcPr>
          <w:p>
            <w:r/>
            <w:r>
              <w:rPr>
                <w:b/>
                <w:sz w:val="18"/>
              </w:rPr>
              <w:t>Interpretation</w:t>
            </w:r>
          </w:p>
        </w:tc>
      </w:tr>
      <w:tr>
        <w:tc>
          <w:tcPr>
            <w:tcW w:type="dxa" w:w="3360"/>
            <w:vAlign w:val="center"/>
          </w:tcPr>
          <w:p>
            <w:r/>
            <w:r>
              <w:rPr>
                <w:b w:val="0"/>
                <w:sz w:val="18"/>
              </w:rPr>
              <w:t>Fuel Price</w:t>
            </w:r>
          </w:p>
        </w:tc>
        <w:tc>
          <w:tcPr>
            <w:tcW w:type="dxa" w:w="3360"/>
            <w:vAlign w:val="center"/>
          </w:tcPr>
          <w:p>
            <w:r/>
            <w:r>
              <w:rPr>
                <w:b w:val="0"/>
                <w:sz w:val="18"/>
              </w:rPr>
              <w:t>≈ +0.0095</w:t>
            </w:r>
          </w:p>
        </w:tc>
        <w:tc>
          <w:tcPr>
            <w:tcW w:type="dxa" w:w="3360"/>
            <w:vAlign w:val="center"/>
          </w:tcPr>
          <w:p>
            <w:r/>
            <w:r>
              <w:rPr>
                <w:b w:val="0"/>
                <w:sz w:val="18"/>
              </w:rPr>
              <w:t>Essentially no linear relationship</w:t>
            </w:r>
          </w:p>
        </w:tc>
      </w:tr>
      <w:tr>
        <w:tc>
          <w:tcPr>
            <w:tcW w:type="dxa" w:w="3360"/>
            <w:vAlign w:val="center"/>
          </w:tcPr>
          <w:p>
            <w:r/>
            <w:r>
              <w:rPr>
                <w:b w:val="0"/>
                <w:sz w:val="18"/>
              </w:rPr>
              <w:t>Unemployment</w:t>
            </w:r>
          </w:p>
        </w:tc>
        <w:tc>
          <w:tcPr>
            <w:tcW w:type="dxa" w:w="3360"/>
            <w:vAlign w:val="center"/>
          </w:tcPr>
          <w:p>
            <w:r/>
            <w:r>
              <w:rPr>
                <w:b w:val="0"/>
                <w:sz w:val="18"/>
              </w:rPr>
              <w:t>≈ -0.106</w:t>
            </w:r>
          </w:p>
        </w:tc>
        <w:tc>
          <w:tcPr>
            <w:tcW w:type="dxa" w:w="3360"/>
            <w:vAlign w:val="center"/>
          </w:tcPr>
          <w:p>
            <w:r/>
            <w:r>
              <w:rPr>
                <w:b w:val="0"/>
                <w:sz w:val="18"/>
              </w:rPr>
              <w:t>Weak negative relationship</w:t>
            </w:r>
          </w:p>
        </w:tc>
      </w:tr>
      <w:tr>
        <w:tc>
          <w:tcPr>
            <w:tcW w:type="dxa" w:w="3360"/>
            <w:vAlign w:val="center"/>
          </w:tcPr>
          <w:p>
            <w:r/>
            <w:r>
              <w:rPr>
                <w:b w:val="0"/>
                <w:sz w:val="18"/>
              </w:rPr>
              <w:t>Temperature</w:t>
            </w:r>
          </w:p>
        </w:tc>
        <w:tc>
          <w:tcPr>
            <w:tcW w:type="dxa" w:w="3360"/>
            <w:vAlign w:val="center"/>
          </w:tcPr>
          <w:p>
            <w:r/>
            <w:r>
              <w:rPr>
                <w:b w:val="0"/>
                <w:sz w:val="18"/>
              </w:rPr>
              <w:t>≈ -0.064</w:t>
            </w:r>
          </w:p>
        </w:tc>
        <w:tc>
          <w:tcPr>
            <w:tcW w:type="dxa" w:w="3360"/>
            <w:vAlign w:val="center"/>
          </w:tcPr>
          <w:p>
            <w:r/>
            <w:r>
              <w:rPr>
                <w:b w:val="0"/>
                <w:sz w:val="18"/>
              </w:rPr>
              <w:t>Very weak negative relationship</w:t>
            </w:r>
          </w:p>
        </w:tc>
      </w:tr>
    </w:tbl>
    <w:p>
      <w:r>
        <w:t>Fuel price shows essentially no linear relationship with weekly sales in this dataset. Unemployment has a weak negative relationship, meaning higher unemployment observations tend to coincide with slightly lower sales. Temperature also has a very weak negative relationship. The magnitudes are small, so these variables should not be treated as strong standalone predictors of weekly sales.</w:t>
      </w:r>
    </w:p>
    <w:p>
      <w:pPr>
        <w:pStyle w:val="Heading1"/>
      </w:pPr>
      <w:r>
        <w:t>7. Key Business Insights</w:t>
      </w:r>
    </w:p>
    <w:p>
      <w:pPr>
        <w:pStyle w:val="ListBullet"/>
      </w:pPr>
      <w:r>
        <w:t>Store 20 is the highest-sales store at approximately $301.4M, while Store 33 is the lowest at approximately $37.2M.</w:t>
      </w:r>
    </w:p>
    <w:p>
      <w:pPr>
        <w:pStyle w:val="ListBullet"/>
      </w:pPr>
      <w:r>
        <w:t>The strongest store-level performance is concentrated among a relatively small group of stores, making targeted operational attention potentially valuable.</w:t>
      </w:r>
    </w:p>
    <w:p>
      <w:pPr>
        <w:pStyle w:val="ListBullet"/>
      </w:pPr>
      <w:r>
        <w:t>2011 records the highest annual sales total in the available data; 2012 is incomplete because observations end in October.</w:t>
      </w:r>
    </w:p>
    <w:p>
      <w:pPr>
        <w:pStyle w:val="ListBullet"/>
      </w:pPr>
      <w:r>
        <w:t>Holiday weeks show approximately 7.8% higher average weekly sales than non-holiday weeks.</w:t>
      </w:r>
    </w:p>
    <w:p>
      <w:pPr>
        <w:pStyle w:val="ListBullet"/>
      </w:pPr>
      <w:r>
        <w:t>Sales display recurring seasonality, with strong year-end performance and weaker periods around late winter.</w:t>
      </w:r>
    </w:p>
    <w:p>
      <w:pPr>
        <w:pStyle w:val="ListBullet"/>
      </w:pPr>
      <w:r>
        <w:t>Unemployment has only a weak negative relationship with sales, while temperature has a very weak relationship and fuel price is effectively uncorrelated with weekly sales.</w:t>
      </w:r>
    </w:p>
    <w:p>
      <w:pPr>
        <w:pStyle w:val="ListBullet"/>
      </w:pPr>
      <w:r>
        <w:t>The observed relationships should be treated as associations rather than causal effects.</w:t>
      </w:r>
    </w:p>
    <w:p>
      <w:pPr>
        <w:pStyle w:val="Heading1"/>
      </w:pPr>
      <w:r>
        <w:t>8. Recommendations</w:t>
      </w:r>
    </w:p>
    <w:p>
      <w:r>
        <w:rPr>
          <w:b/>
        </w:rPr>
        <w:t xml:space="preserve">Prioritize high-performing stores: </w:t>
      </w:r>
      <w:r>
        <w:t>Use store-level sales performance to focus inventory availability, staffing capacity, and promotional resources where sales volume is highest.</w:t>
      </w:r>
    </w:p>
    <w:p>
      <w:r>
        <w:rPr>
          <w:b/>
        </w:rPr>
        <w:t xml:space="preserve">Plan for holiday demand: </w:t>
      </w:r>
      <w:r>
        <w:t>Prepare additional inventory and staffing capacity ahead of historically strong holiday weeks and align promotions with known demand peaks.</w:t>
      </w:r>
    </w:p>
    <w:p>
      <w:r>
        <w:rPr>
          <w:b/>
        </w:rPr>
        <w:t xml:space="preserve">Use seasonal planning: </w:t>
      </w:r>
      <w:r>
        <w:t>Build inventory and workforce plans around the recurring year-end sales increase and weaker late-winter periods.</w:t>
      </w:r>
    </w:p>
    <w:p>
      <w:r>
        <w:rPr>
          <w:b/>
        </w:rPr>
        <w:t xml:space="preserve">Monitor economic indicators: </w:t>
      </w:r>
      <w:r>
        <w:t>Unemployment can be included as a contextual variable in forecasting because it has a weak negative association with sales, but it should not be treated as a dominant driver.</w:t>
      </w:r>
    </w:p>
    <w:p>
      <w:r>
        <w:rPr>
          <w:b/>
        </w:rPr>
        <w:t xml:space="preserve">De-emphasize weekly fuel price: </w:t>
      </w:r>
      <w:r>
        <w:t>The near-zero correlation suggests that short-term fuel price changes are not a useful standalone explanation for weekly sales variation in this dataset.</w:t>
      </w:r>
    </w:p>
    <w:p>
      <w:r>
        <w:rPr>
          <w:b/>
        </w:rPr>
        <w:t xml:space="preserve">Avoid unsupported product assumptions: </w:t>
      </w:r>
      <w:r>
        <w:t>The dataset contains store-level weekly sales rather than product-level sales, so recommendations should remain focused on store operations, timing, and aggregate demand.</w:t>
      </w:r>
    </w:p>
    <w:p>
      <w:pPr>
        <w:pStyle w:val="Heading1"/>
      </w:pPr>
      <w:r>
        <w:t>9. Analytical Limitations</w:t>
      </w:r>
    </w:p>
    <w:p>
      <w:pPr>
        <w:pStyle w:val="ListBullet"/>
      </w:pPr>
      <w:r>
        <w:t>2012 is a partial year ending in October, so full-year comparisons with 2010 and 2011 can be misleading.</w:t>
      </w:r>
    </w:p>
    <w:p>
      <w:pPr>
        <w:pStyle w:val="ListBullet"/>
      </w:pPr>
      <w:r>
        <w:t>The dataset is aggregated at store-week level and does not provide product/category-level explanations for sales changes.</w:t>
      </w:r>
    </w:p>
    <w:p>
      <w:pPr>
        <w:pStyle w:val="ListBullet"/>
      </w:pPr>
      <w:r>
        <w:t>Correlation does not imply causation; external variables may be correlated with other unobserved factors.</w:t>
      </w:r>
    </w:p>
    <w:p>
      <w:pPr>
        <w:pStyle w:val="ListBullet"/>
      </w:pPr>
      <w:r>
        <w:t>No claims about t-tests, ANOVA, Cohen's d, confidence intervals, regression significance, or STL decomposition are included unless separately reproduced with documented code.</w:t>
      </w:r>
    </w:p>
    <w:p>
      <w:pPr>
        <w:pStyle w:val="ListBullet"/>
      </w:pPr>
      <w:r>
        <w:t>The analysis focuses on observed patterns in the available historical dataset and should not be interpreted as a complete forecasting model.</w:t>
      </w:r>
    </w:p>
    <w:p>
      <w:pPr>
        <w:pStyle w:val="Heading1"/>
      </w:pPr>
      <w:r>
        <w:t>10. Project Workflow</w:t>
      </w:r>
    </w:p>
    <w:p>
      <w:r>
        <w:t>The project followed an end-to-end analytics workflow: Python was used for data cleaning and feature preparation, SQL was used for validation and business analysis, and Power BI was used to build the interactive dashboard and communicate the findings.</w:t>
      </w:r>
    </w:p>
    <w:p>
      <w:r>
        <w:rPr>
          <w:b/>
        </w:rPr>
        <w:t>Python → Cleaning &amp; EDA  |  SQL → Analysis &amp; Validation  |  Power BI → Dashboard &amp; Storytelling</w:t>
      </w:r>
    </w:p>
    <w:p>
      <w:pPr>
        <w:pStyle w:val="Heading1"/>
      </w:pPr>
      <w:r>
        <w:t>Conclusion</w:t>
      </w:r>
    </w:p>
    <w:p>
      <w:r>
        <w:t>The Walmart dataset shows substantial variation across stores, recurring seasonal demand patterns, and a measurable uplift in holiday-week sales. The strongest practical opportunities are therefore store-level prioritization and better preparation for seasonal and holiday demand. External economic variables provide useful context but show weak relationships with weekly sales in this dataset. These conclusions are intentionally limited to what the available data and documented analysis can support.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