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>CLAIM SETTLEMENT LETTER</w:t>
      </w: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8"/>
          <w:szCs w:val="28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Date : 27 October 2026 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Claim Number : CLM-2026-02257 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Policy Number : POL-2026-01384 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Insured Name : Kavita Nair 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Property Address : 56, Marine Drive, Kochi - 682031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>Dear Kavita Nair,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We are pleased to inform you that your claim for 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cyclone-related structural damage, reported on 19 October 2026, 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has been assessed and approved for settlement.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Approved Claim Amount : ₹5,25,000 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Deductible Applied : ₹30,000 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Net Settlement Amount : ₹4,95,000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Payment will be credited to your registered bank 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account within 5 working days.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394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Regards, 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Claims Settlement Team </w:t>
        <w:br/>
      </w:r>
      <w:r>
        <w:rPr>
          <w:rFonts w:ascii="Aptos" w:hAnsi="Aptos" w:cs="Aptos" w:eastAsia="Aptos"/>
          <w:color w:val="000000"/>
          <w:sz w:val="26"/>
          <w:szCs w:val="26"/>
        </w:rPr>
        <w:t xml:space="preserve"> XYZ Property Insurance Ltd</w:t>
      </w: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6"/>
          <w:szCs w:val="26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Aptos">
    <w:panose1 w:val="020B0004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2026-06-11T11:39:09Z</dcterms:created>
  <dc:creator>Apache POI</dc:creator>
  <dc:title>CLAIM SETTLEMENT LETTER.docx</dc:title>
</cp:coreProperties>
</file>