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FN-01 - Journal entry approval</w:t>
      </w:r>
    </w:p>
    <w:p>
      <w:pPr>
        <w:pStyle w:val="Subtitle"/>
      </w:pPr>
      <w:r>
        <w:t>SYNTHETIC CONTROL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 ID</w:t>
            </w:r>
          </w:p>
        </w:tc>
        <w:tc>
          <w:tcPr>
            <w:tcW w:type="dxa" w:w="4320"/>
          </w:tcPr>
          <w:p>
            <w:r>
              <w:t>FN-01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SYN-CTRL-a-FN-01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synthetic-client-a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synthetic-audit-iam-2026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Risk and control attribute</w:t>
            </w:r>
          </w:p>
        </w:tc>
        <w:tc>
          <w:tcPr>
            <w:tcW w:type="dxa" w:w="4320"/>
          </w:tcPr>
          <w:p>
            <w:r>
              <w:t>authorization</w:t>
            </w:r>
          </w:p>
        </w:tc>
      </w:tr>
    </w:tbl>
    <w:p>
      <w:pPr>
        <w:pStyle w:val="Heading1"/>
      </w:pPr>
      <w:r>
        <w:t>Control description</w:t>
      </w:r>
    </w:p>
    <w:p>
      <w:r>
        <w:t>Synthetic example control FN-01: Manual journal entries receive an independent review and authorization before posting.</w:t>
      </w:r>
    </w:p>
    <w:p>
      <w:pPr>
        <w:pStyle w:val="Heading1"/>
      </w:pPr>
      <w:r>
        <w:t>Control owner role</w:t>
      </w:r>
    </w:p>
    <w:p>
      <w:r>
        <w:t>Process Owner</w:t>
      </w:r>
    </w:p>
    <w:p>
      <w:pPr>
        <w:pStyle w:val="Heading1"/>
      </w:pPr>
      <w:r>
        <w:t>Exception handling</w:t>
      </w:r>
    </w:p>
    <w:p>
      <w:r>
        <w:t>Exceptions are tracked to resolution.</w:t>
      </w:r>
    </w:p>
    <w:p>
      <w:r>
        <w:t>Source: Synthetic controls library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FN-01 - Journal entry approval</dc:title>
  <dc:subject>Synthetic audit control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