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FN-04 - Master data changes</w:t>
      </w:r>
    </w:p>
    <w:p>
      <w:pPr>
        <w:pStyle w:val="Subtitle"/>
      </w:pPr>
      <w:r>
        <w:t>SYNTHETIC CONTROL RECORD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Control ID</w:t>
            </w:r>
          </w:p>
        </w:tc>
        <w:tc>
          <w:tcPr>
            <w:tcW w:type="dxa" w:w="4320"/>
          </w:tcPr>
          <w:p>
            <w:r>
              <w:t>FN-04</w:t>
            </w:r>
          </w:p>
        </w:tc>
      </w:tr>
      <w:tr>
        <w:tc>
          <w:tcPr>
            <w:tcW w:type="dxa" w:w="4320"/>
          </w:tcPr>
          <w:p>
            <w:r>
              <w:t>Document ID</w:t>
            </w:r>
          </w:p>
        </w:tc>
        <w:tc>
          <w:tcPr>
            <w:tcW w:type="dxa" w:w="4320"/>
          </w:tcPr>
          <w:p>
            <w:r>
              <w:t>SYN-CTRL-b-FN-04</w:t>
            </w:r>
          </w:p>
        </w:tc>
      </w:tr>
      <w:tr>
        <w:tc>
          <w:tcPr>
            <w:tcW w:type="dxa" w:w="4320"/>
          </w:tcPr>
          <w:p>
            <w:r>
              <w:t>Client</w:t>
            </w:r>
          </w:p>
        </w:tc>
        <w:tc>
          <w:tcPr>
            <w:tcW w:type="dxa" w:w="4320"/>
          </w:tcPr>
          <w:p>
            <w:r>
              <w:t>synthetic-client-b</w:t>
            </w:r>
          </w:p>
        </w:tc>
      </w:tr>
      <w:tr>
        <w:tc>
          <w:tcPr>
            <w:tcW w:type="dxa" w:w="4320"/>
          </w:tcPr>
          <w:p>
            <w:r>
              <w:t>Audit</w:t>
            </w:r>
          </w:p>
        </w:tc>
        <w:tc>
          <w:tcPr>
            <w:tcW w:type="dxa" w:w="4320"/>
          </w:tcPr>
          <w:p>
            <w:r>
              <w:t>synthetic-audit-finance-2026</w:t>
            </w:r>
          </w:p>
        </w:tc>
      </w:tr>
      <w:tr>
        <w:tc>
          <w:tcPr>
            <w:tcW w:type="dxa" w:w="4320"/>
          </w:tcPr>
          <w:p>
            <w:r>
              <w:t>Version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Effective date</w:t>
            </w:r>
          </w:p>
        </w:tc>
        <w:tc>
          <w:tcPr>
            <w:tcW w:type="dxa" w:w="4320"/>
          </w:tcPr>
          <w:p>
            <w:r>
              <w:t>2026-01-01</w:t>
            </w:r>
          </w:p>
        </w:tc>
      </w:tr>
      <w:tr>
        <w:tc>
          <w:tcPr>
            <w:tcW w:type="dxa" w:w="4320"/>
          </w:tcPr>
          <w:p>
            <w:r>
              <w:t>Risk and control attribute</w:t>
            </w:r>
          </w:p>
        </w:tc>
        <w:tc>
          <w:tcPr>
            <w:tcW w:type="dxa" w:w="4320"/>
          </w:tcPr>
          <w:p>
            <w:r>
              <w:t>accuracy</w:t>
            </w:r>
          </w:p>
        </w:tc>
      </w:tr>
    </w:tbl>
    <w:p>
      <w:pPr>
        <w:pStyle w:val="Heading1"/>
      </w:pPr>
      <w:r>
        <w:t>Control description</w:t>
      </w:r>
    </w:p>
    <w:p>
      <w:r>
        <w:t>Synthetic example control FN-04: Sensitive reference-data updates need documented authorization and an independent accuracy check.</w:t>
      </w:r>
    </w:p>
    <w:p>
      <w:pPr>
        <w:pStyle w:val="Heading1"/>
      </w:pPr>
      <w:r>
        <w:t>Control owner role</w:t>
      </w:r>
    </w:p>
    <w:p>
      <w:r>
        <w:t>Process Owner</w:t>
      </w:r>
    </w:p>
    <w:p>
      <w:pPr>
        <w:pStyle w:val="Heading1"/>
      </w:pPr>
      <w:r>
        <w:t>Exception handling</w:t>
      </w:r>
    </w:p>
    <w:p>
      <w:r>
        <w:t>Exceptions are tracked to resolution.</w:t>
      </w:r>
    </w:p>
    <w:p>
      <w:r>
        <w:t>Source: Synthetic controls library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FN-04 - Master data changes</dc:title>
  <dc:subject>Synthetic audit control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