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60"/>
      </w:pPr>
      <w:r>
        <w:rPr>
          <w:rFonts w:ascii="Aptos" w:hAnsi="Aptos"/>
          <w:b/>
          <w:color w:val="2F7559"/>
          <w:sz w:val="18"/>
        </w:rPr>
        <w:t>PROJECT OVERVIEW  /  INTERNAL AUDIT</w:t>
      </w:r>
    </w:p>
    <w:p>
      <w:pPr>
        <w:pStyle w:val="Title"/>
        <w:spacing w:after="140"/>
      </w:pPr>
      <w:r>
        <w:t>Issue Triage Assistant Project Document</w:t>
      </w:r>
    </w:p>
    <w:p>
      <w:pPr>
        <w:spacing w:after="340"/>
      </w:pPr>
      <w:r>
        <w:rPr>
          <w:color w:val="5B6570"/>
          <w:sz w:val="26"/>
        </w:rPr>
        <w:t>Product, architecture, data and local operating guide</w:t>
      </w:r>
    </w:p>
    <w:p>
      <w:pPr>
        <w:pStyle w:val="Heading1"/>
        <w:keepNext/>
      </w:pPr>
      <w:r>
        <w:t>Executive summary</w:t>
      </w:r>
    </w:p>
    <w:p>
      <w:pPr>
        <w:spacing w:after="200"/>
      </w:pPr>
      <w:r>
        <w:t>The Issue Triage Assistant helps auditors find relevant past issues, controls and policy, then prepare a cited recommendation for human review. The V1 application combines Streamlit, LangChain, Pinecone and LangGraph. It pauses for an auditor decision and records the review trail. It does not make final severity decisions, judge evidence sufficiency, close issues or file them into another system.</w:t>
      </w:r>
    </w:p>
    <w:tbl>
      <w:tblPr>
        <w:tblW w:type="auto" w:w="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4997"/>
        <w:gridCol w:w="4997"/>
      </w:tblGrid>
      <w:tr>
        <w:trPr>
          <w:tblHeader w:val="true"/>
        </w:trPr>
        <w:tc>
          <w:tcPr>
            <w:tcW w:type="dxa" w:w="2088"/>
            <w:vAlign w:val="center"/>
            <w:tcMar>
              <w:top w:w="110" w:type="dxa"/>
              <w:start w:w="135" w:type="dxa"/>
              <w:bottom w:w="110" w:type="dxa"/>
              <w:end w:w="135" w:type="dxa"/>
            </w:tcMar>
            <w:shd w:fill="24364B"/>
          </w:tcPr>
          <w:p>
            <w:pPr>
              <w:spacing w:after="0"/>
            </w:pPr>
            <w:r>
              <w:rPr>
                <w:b/>
                <w:color w:val="FFFFFF"/>
                <w:sz w:val="18"/>
              </w:rPr>
              <w:t>Project item</w:t>
            </w:r>
          </w:p>
        </w:tc>
        <w:tc>
          <w:tcPr>
            <w:tcW w:type="dxa" w:w="7704"/>
            <w:vAlign w:val="center"/>
            <w:tcMar>
              <w:top w:w="110" w:type="dxa"/>
              <w:start w:w="135" w:type="dxa"/>
              <w:bottom w:w="110" w:type="dxa"/>
              <w:end w:w="135" w:type="dxa"/>
            </w:tcMar>
            <w:shd w:fill="24364B"/>
          </w:tcPr>
          <w:p>
            <w:pPr>
              <w:spacing w:after="0"/>
            </w:pPr>
            <w:r>
              <w:rPr>
                <w:b/>
                <w:color w:val="FFFFFF"/>
                <w:sz w:val="18"/>
              </w:rPr>
              <w:t>Current V1 state</w:t>
            </w:r>
          </w:p>
        </w:tc>
      </w:tr>
      <w:tr>
        <w:tc>
          <w:tcPr>
            <w:tcW w:type="dxa" w:w="2088"/>
            <w:vAlign w:val="center"/>
            <w:tcMar>
              <w:top w:w="110" w:type="dxa"/>
              <w:start w:w="135" w:type="dxa"/>
              <w:bottom w:w="110" w:type="dxa"/>
              <w:end w:w="135" w:type="dxa"/>
            </w:tcMar>
          </w:tcPr>
          <w:p>
            <w:pPr>
              <w:spacing w:after="0" w:line="252" w:lineRule="auto"/>
            </w:pPr>
            <w:r>
              <w:rPr>
                <w:sz w:val="17"/>
              </w:rPr>
              <w:t>Purpose</w:t>
            </w:r>
          </w:p>
        </w:tc>
        <w:tc>
          <w:tcPr>
            <w:tcW w:type="dxa" w:w="7704"/>
            <w:vAlign w:val="center"/>
            <w:tcMar>
              <w:top w:w="110" w:type="dxa"/>
              <w:start w:w="135" w:type="dxa"/>
              <w:bottom w:w="110" w:type="dxa"/>
              <w:end w:w="135" w:type="dxa"/>
            </w:tcMar>
          </w:tcPr>
          <w:p>
            <w:pPr>
              <w:spacing w:after="0" w:line="252" w:lineRule="auto"/>
            </w:pPr>
            <w:r>
              <w:rPr>
                <w:sz w:val="17"/>
              </w:rPr>
              <w:t>Cited issue triage and RAU scoping support for auditors.</w:t>
            </w:r>
          </w:p>
        </w:tc>
      </w:tr>
      <w:tr>
        <w:tc>
          <w:tcPr>
            <w:tcW w:type="dxa" w:w="2088"/>
            <w:vAlign w:val="center"/>
            <w:tcMar>
              <w:top w:w="110" w:type="dxa"/>
              <w:start w:w="135" w:type="dxa"/>
              <w:bottom w:w="110" w:type="dxa"/>
              <w:end w:w="135" w:type="dxa"/>
            </w:tcMar>
            <w:shd w:fill="F5F7F9"/>
          </w:tcPr>
          <w:p>
            <w:pPr>
              <w:spacing w:after="0" w:line="252" w:lineRule="auto"/>
            </w:pPr>
            <w:r>
              <w:rPr>
                <w:sz w:val="17"/>
              </w:rPr>
              <w:t>Data boundary</w:t>
            </w:r>
          </w:p>
        </w:tc>
        <w:tc>
          <w:tcPr>
            <w:tcW w:type="dxa" w:w="7704"/>
            <w:vAlign w:val="center"/>
            <w:tcMar>
              <w:top w:w="110" w:type="dxa"/>
              <w:start w:w="135" w:type="dxa"/>
              <w:bottom w:w="110" w:type="dxa"/>
              <w:end w:w="135" w:type="dxa"/>
            </w:tcMar>
            <w:shd w:fill="F5F7F9"/>
          </w:tcPr>
          <w:p>
            <w:pPr>
              <w:spacing w:after="0" w:line="252" w:lineRule="auto"/>
            </w:pPr>
            <w:r>
              <w:rPr>
                <w:sz w:val="17"/>
              </w:rPr>
              <w:t>Synthetic client, issue, control and policy examples only.</w:t>
            </w:r>
          </w:p>
        </w:tc>
      </w:tr>
      <w:tr>
        <w:tc>
          <w:tcPr>
            <w:tcW w:type="dxa" w:w="2088"/>
            <w:vAlign w:val="center"/>
            <w:tcMar>
              <w:top w:w="110" w:type="dxa"/>
              <w:start w:w="135" w:type="dxa"/>
              <w:bottom w:w="110" w:type="dxa"/>
              <w:end w:w="135" w:type="dxa"/>
            </w:tcMar>
          </w:tcPr>
          <w:p>
            <w:pPr>
              <w:spacing w:after="0" w:line="252" w:lineRule="auto"/>
            </w:pPr>
            <w:r>
              <w:rPr>
                <w:sz w:val="17"/>
              </w:rPr>
              <w:t>Vector corpus</w:t>
            </w:r>
          </w:p>
        </w:tc>
        <w:tc>
          <w:tcPr>
            <w:tcW w:type="dxa" w:w="7704"/>
            <w:vAlign w:val="center"/>
            <w:tcMar>
              <w:top w:w="110" w:type="dxa"/>
              <w:start w:w="135" w:type="dxa"/>
              <w:bottom w:w="110" w:type="dxa"/>
              <w:end w:w="135" w:type="dxa"/>
            </w:tcMar>
          </w:tcPr>
          <w:p>
            <w:pPr>
              <w:spacing w:after="0" w:line="252" w:lineRule="auto"/>
            </w:pPr>
            <w:r>
              <w:rPr>
                <w:sz w:val="17"/>
              </w:rPr>
              <w:t>60 past issues, 36 control records and 10 policy chunks indexed in Pinecone.</w:t>
            </w:r>
          </w:p>
        </w:tc>
      </w:tr>
      <w:tr>
        <w:tc>
          <w:tcPr>
            <w:tcW w:type="dxa" w:w="2088"/>
            <w:vAlign w:val="center"/>
            <w:tcMar>
              <w:top w:w="110" w:type="dxa"/>
              <w:start w:w="135" w:type="dxa"/>
              <w:bottom w:w="110" w:type="dxa"/>
              <w:end w:w="135" w:type="dxa"/>
            </w:tcMar>
            <w:shd w:fill="F5F7F9"/>
          </w:tcPr>
          <w:p>
            <w:pPr>
              <w:spacing w:after="0" w:line="252" w:lineRule="auto"/>
            </w:pPr>
            <w:r>
              <w:rPr>
                <w:sz w:val="17"/>
              </w:rPr>
              <w:t>Local database</w:t>
            </w:r>
          </w:p>
        </w:tc>
        <w:tc>
          <w:tcPr>
            <w:tcW w:type="dxa" w:w="7704"/>
            <w:vAlign w:val="center"/>
            <w:tcMar>
              <w:top w:w="110" w:type="dxa"/>
              <w:start w:w="135" w:type="dxa"/>
              <w:bottom w:w="110" w:type="dxa"/>
              <w:end w:w="135" w:type="dxa"/>
            </w:tcMar>
            <w:shd w:fill="F5F7F9"/>
          </w:tcPr>
          <w:p>
            <w:pPr>
              <w:spacing w:after="0" w:line="252" w:lineRule="auto"/>
            </w:pPr>
            <w:r>
              <w:rPr>
                <w:sz w:val="17"/>
              </w:rPr>
              <w:t>SQLite audit store at data/issue_triage.db; Postgres is available in the hosted Compose scaffold.</w:t>
            </w:r>
          </w:p>
        </w:tc>
      </w:tr>
      <w:tr>
        <w:tc>
          <w:tcPr>
            <w:tcW w:type="dxa" w:w="2088"/>
            <w:vAlign w:val="center"/>
            <w:tcMar>
              <w:top w:w="110" w:type="dxa"/>
              <w:start w:w="135" w:type="dxa"/>
              <w:bottom w:w="110" w:type="dxa"/>
              <w:end w:w="135" w:type="dxa"/>
            </w:tcMar>
          </w:tcPr>
          <w:p>
            <w:pPr>
              <w:spacing w:after="0" w:line="252" w:lineRule="auto"/>
            </w:pPr>
            <w:r>
              <w:rPr>
                <w:sz w:val="17"/>
              </w:rPr>
              <w:t>Human control</w:t>
            </w:r>
          </w:p>
        </w:tc>
        <w:tc>
          <w:tcPr>
            <w:tcW w:type="dxa" w:w="7704"/>
            <w:vAlign w:val="center"/>
            <w:tcMar>
              <w:top w:w="110" w:type="dxa"/>
              <w:start w:w="135" w:type="dxa"/>
              <w:bottom w:w="110" w:type="dxa"/>
              <w:end w:w="135" w:type="dxa"/>
            </w:tcMar>
          </w:tcPr>
          <w:p>
            <w:pPr>
              <w:spacing w:after="0" w:line="252" w:lineRule="auto"/>
            </w:pPr>
            <w:r>
              <w:rPr>
                <w:sz w:val="17"/>
              </w:rPr>
              <w:t>Auditor approves, edits or rejects; rejection requires a reason.</w:t>
            </w:r>
          </w:p>
        </w:tc>
      </w:tr>
    </w:tbl>
    <w:p>
      <w:pPr>
        <w:spacing w:after="20"/>
      </w:pPr>
    </w:p>
    <w:p>
      <w:pPr>
        <w:spacing w:before="60" w:after="0"/>
      </w:pPr>
      <w:r>
        <w:rPr>
          <w:b/>
          <w:color w:val="2F7559"/>
        </w:rPr>
        <w:t xml:space="preserve">Operating principle  </w:t>
      </w:r>
      <w:r>
        <w:t>The assistant drafts and cites. The auditor decides.</w:t>
      </w:r>
    </w:p>
    <w:p>
      <w:pPr>
        <w:pStyle w:val="Heading1"/>
        <w:keepNext/>
        <w:pageBreakBefore/>
      </w:pPr>
      <w:r>
        <w:t>Product behavior and workflow</w:t>
      </w:r>
    </w:p>
    <w:p>
      <w:pPr>
        <w:pStyle w:val="Heading2"/>
        <w:keepNext/>
      </w:pPr>
      <w:r>
        <w:t>Single-issue triage</w:t>
      </w:r>
    </w:p>
    <w:p>
      <w:pPr>
        <w:pStyle w:val="ListNumber"/>
        <w:spacing w:after="80" w:line="259" w:lineRule="auto"/>
      </w:pPr>
      <w:r>
        <w:t>The auditor enters a title, description, client/audit context and optional control hint.</w:t>
      </w:r>
    </w:p>
    <w:p>
      <w:pPr>
        <w:pStyle w:val="ListNumber"/>
        <w:spacing w:after="80" w:line="259" w:lineRule="auto"/>
      </w:pPr>
      <w:r>
        <w:t>The graph recalls only approved scoped memory patterns, then retrieves past issues, controls and policy from Pinecone.</w:t>
      </w:r>
    </w:p>
    <w:p>
      <w:pPr>
        <w:pStyle w:val="ListNumber"/>
        <w:spacing w:after="80" w:line="259" w:lineRule="auto"/>
      </w:pPr>
      <w:r>
        <w:t>The model drafts severity, root cause, control mapping, duplicate warning, confidence and remediation steps.</w:t>
      </w:r>
    </w:p>
    <w:p>
      <w:pPr>
        <w:pStyle w:val="ListNumber"/>
        <w:spacing w:after="80" w:line="259" w:lineRule="auto"/>
      </w:pPr>
      <w:r>
        <w:t>A validator checks each supported claim against retrieved chunk IDs, source IDs, source types where applicable, and exact quotes. One repair attempt is allowed; weak retrieval or failed validation produces an insufficient-evidence state.</w:t>
      </w:r>
    </w:p>
    <w:p>
      <w:pPr>
        <w:pStyle w:val="ListNumber"/>
        <w:spacing w:after="80" w:line="259" w:lineRule="auto"/>
      </w:pPr>
      <w:r>
        <w:t>A durable LangGraph interrupt pauses for approve, edit or reject. Edited claims are validated again before the decision is saved.</w:t>
      </w:r>
    </w:p>
    <w:p>
      <w:pPr>
        <w:pStyle w:val="Heading2"/>
        <w:keepNext/>
      </w:pPr>
      <w:r>
        <w:t>RAU Scoping Mode</w:t>
      </w:r>
    </w:p>
    <w:p>
      <w:r>
        <w:t>Scoping Mode retrieves by client, audit, RAU and control, applies a two-year issue lookback, and groups precedent by control, attribute and root cause. Older matching issues and control-version mismatches are surfaced. Each cluster requires an auditor decision and reason.</w:t>
      </w:r>
    </w:p>
    <w:p>
      <w:pPr>
        <w:pStyle w:val="Heading1"/>
        <w:keepNext/>
      </w:pPr>
      <w:r>
        <w:t>System architecture</w:t>
      </w:r>
    </w:p>
    <w:tbl>
      <w:tblPr>
        <w:tblW w:type="auto" w:w="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4997"/>
        <w:gridCol w:w="4997"/>
      </w:tblGrid>
      <w:tr>
        <w:trPr>
          <w:tblHeader w:val="true"/>
        </w:trPr>
        <w:tc>
          <w:tcPr>
            <w:tcW w:type="dxa" w:w="2376"/>
            <w:vAlign w:val="center"/>
            <w:tcMar>
              <w:top w:w="110" w:type="dxa"/>
              <w:start w:w="135" w:type="dxa"/>
              <w:bottom w:w="110" w:type="dxa"/>
              <w:end w:w="135" w:type="dxa"/>
            </w:tcMar>
            <w:shd w:fill="24364B"/>
          </w:tcPr>
          <w:p>
            <w:pPr>
              <w:spacing w:after="0"/>
            </w:pPr>
            <w:r>
              <w:rPr>
                <w:b/>
                <w:color w:val="FFFFFF"/>
                <w:sz w:val="18"/>
              </w:rPr>
              <w:t>Component</w:t>
            </w:r>
          </w:p>
        </w:tc>
        <w:tc>
          <w:tcPr>
            <w:tcW w:type="dxa" w:w="7416"/>
            <w:vAlign w:val="center"/>
            <w:tcMar>
              <w:top w:w="110" w:type="dxa"/>
              <w:start w:w="135" w:type="dxa"/>
              <w:bottom w:w="110" w:type="dxa"/>
              <w:end w:w="135" w:type="dxa"/>
            </w:tcMar>
            <w:shd w:fill="24364B"/>
          </w:tcPr>
          <w:p>
            <w:pPr>
              <w:spacing w:after="0"/>
            </w:pPr>
            <w:r>
              <w:rPr>
                <w:b/>
                <w:color w:val="FFFFFF"/>
                <w:sz w:val="18"/>
              </w:rPr>
              <w:t>Responsibility in this project</w:t>
            </w:r>
          </w:p>
        </w:tc>
      </w:tr>
      <w:tr>
        <w:tc>
          <w:tcPr>
            <w:tcW w:type="dxa" w:w="2376"/>
            <w:vAlign w:val="center"/>
            <w:tcMar>
              <w:top w:w="110" w:type="dxa"/>
              <w:start w:w="135" w:type="dxa"/>
              <w:bottom w:w="110" w:type="dxa"/>
              <w:end w:w="135" w:type="dxa"/>
            </w:tcMar>
          </w:tcPr>
          <w:p>
            <w:pPr>
              <w:spacing w:after="0" w:line="252" w:lineRule="auto"/>
            </w:pPr>
            <w:r>
              <w:rPr>
                <w:sz w:val="17"/>
              </w:rPr>
              <w:t>Streamlit</w:t>
            </w:r>
          </w:p>
        </w:tc>
        <w:tc>
          <w:tcPr>
            <w:tcW w:type="dxa" w:w="7416"/>
            <w:vAlign w:val="center"/>
            <w:tcMar>
              <w:top w:w="110" w:type="dxa"/>
              <w:start w:w="135" w:type="dxa"/>
              <w:bottom w:w="110" w:type="dxa"/>
              <w:end w:w="135" w:type="dxa"/>
            </w:tcMar>
          </w:tcPr>
          <w:p>
            <w:pPr>
              <w:spacing w:after="0" w:line="252" w:lineRule="auto"/>
            </w:pPr>
            <w:r>
              <w:rPr>
                <w:sz w:val="17"/>
              </w:rPr>
              <w:t>Synthetic-data intake, cited result display, auditor decision forms and run history.</w:t>
            </w:r>
          </w:p>
        </w:tc>
      </w:tr>
      <w:tr>
        <w:tc>
          <w:tcPr>
            <w:tcW w:type="dxa" w:w="2376"/>
            <w:vAlign w:val="center"/>
            <w:tcMar>
              <w:top w:w="110" w:type="dxa"/>
              <w:start w:w="135" w:type="dxa"/>
              <w:bottom w:w="110" w:type="dxa"/>
              <w:end w:w="135" w:type="dxa"/>
            </w:tcMar>
            <w:shd w:fill="F5F7F9"/>
          </w:tcPr>
          <w:p>
            <w:pPr>
              <w:spacing w:after="0" w:line="252" w:lineRule="auto"/>
            </w:pPr>
            <w:r>
              <w:rPr>
                <w:sz w:val="17"/>
              </w:rPr>
              <w:t>LangChain</w:t>
            </w:r>
          </w:p>
        </w:tc>
        <w:tc>
          <w:tcPr>
            <w:tcW w:type="dxa" w:w="7416"/>
            <w:vAlign w:val="center"/>
            <w:tcMar>
              <w:top w:w="110" w:type="dxa"/>
              <w:start w:w="135" w:type="dxa"/>
              <w:bottom w:w="110" w:type="dxa"/>
              <w:end w:w="135" w:type="dxa"/>
            </w:tcMar>
            <w:shd w:fill="F5F7F9"/>
          </w:tcPr>
          <w:p>
            <w:pPr>
              <w:spacing w:after="0" w:line="252" w:lineRule="auto"/>
            </w:pPr>
            <w:r>
              <w:rPr>
                <w:sz w:val="17"/>
              </w:rPr>
              <w:t>OpenAI chat/embedding clients, structured output and Pinecone vector-store integration.</w:t>
            </w:r>
          </w:p>
        </w:tc>
      </w:tr>
      <w:tr>
        <w:tc>
          <w:tcPr>
            <w:tcW w:type="dxa" w:w="2376"/>
            <w:vAlign w:val="center"/>
            <w:tcMar>
              <w:top w:w="110" w:type="dxa"/>
              <w:start w:w="135" w:type="dxa"/>
              <w:bottom w:w="110" w:type="dxa"/>
              <w:end w:w="135" w:type="dxa"/>
            </w:tcMar>
          </w:tcPr>
          <w:p>
            <w:pPr>
              <w:spacing w:after="0" w:line="252" w:lineRule="auto"/>
            </w:pPr>
            <w:r>
              <w:rPr>
                <w:sz w:val="17"/>
              </w:rPr>
              <w:t>LangGraph</w:t>
            </w:r>
          </w:p>
        </w:tc>
        <w:tc>
          <w:tcPr>
            <w:tcW w:type="dxa" w:w="7416"/>
            <w:vAlign w:val="center"/>
            <w:tcMar>
              <w:top w:w="110" w:type="dxa"/>
              <w:start w:w="135" w:type="dxa"/>
              <w:bottom w:w="110" w:type="dxa"/>
              <w:end w:w="135" w:type="dxa"/>
            </w:tcMar>
          </w:tcPr>
          <w:p>
            <w:pPr>
              <w:spacing w:after="0" w:line="252" w:lineRule="auto"/>
            </w:pPr>
            <w:r>
              <w:rPr>
                <w:sz w:val="17"/>
              </w:rPr>
              <w:t>Single-issue state machine, citation repair route, durable approval interrupt and scoping review loop.</w:t>
            </w:r>
          </w:p>
        </w:tc>
      </w:tr>
      <w:tr>
        <w:tc>
          <w:tcPr>
            <w:tcW w:type="dxa" w:w="2376"/>
            <w:vAlign w:val="center"/>
            <w:tcMar>
              <w:top w:w="110" w:type="dxa"/>
              <w:start w:w="135" w:type="dxa"/>
              <w:bottom w:w="110" w:type="dxa"/>
              <w:end w:w="135" w:type="dxa"/>
            </w:tcMar>
            <w:shd w:fill="F5F7F9"/>
          </w:tcPr>
          <w:p>
            <w:pPr>
              <w:spacing w:after="0" w:line="252" w:lineRule="auto"/>
            </w:pPr>
            <w:r>
              <w:rPr>
                <w:sz w:val="17"/>
              </w:rPr>
              <w:t>Pinecone</w:t>
            </w:r>
          </w:p>
        </w:tc>
        <w:tc>
          <w:tcPr>
            <w:tcW w:type="dxa" w:w="7416"/>
            <w:vAlign w:val="center"/>
            <w:tcMar>
              <w:top w:w="110" w:type="dxa"/>
              <w:start w:w="135" w:type="dxa"/>
              <w:bottom w:w="110" w:type="dxa"/>
              <w:end w:w="135" w:type="dxa"/>
            </w:tcMar>
            <w:shd w:fill="F5F7F9"/>
          </w:tcPr>
          <w:p>
            <w:pPr>
              <w:spacing w:after="0" w:line="252" w:lineRule="auto"/>
            </w:pPr>
            <w:r>
              <w:rPr>
                <w:sz w:val="17"/>
              </w:rPr>
              <w:t>Semantic retrieval in past_issues, controls and policies namespaces; tenant/audit metadata filters precede ranking.</w:t>
            </w:r>
          </w:p>
        </w:tc>
      </w:tr>
      <w:tr>
        <w:tc>
          <w:tcPr>
            <w:tcW w:type="dxa" w:w="2376"/>
            <w:vAlign w:val="center"/>
            <w:tcMar>
              <w:top w:w="110" w:type="dxa"/>
              <w:start w:w="135" w:type="dxa"/>
              <w:bottom w:w="110" w:type="dxa"/>
              <w:end w:w="135" w:type="dxa"/>
            </w:tcMar>
          </w:tcPr>
          <w:p>
            <w:pPr>
              <w:spacing w:after="0" w:line="252" w:lineRule="auto"/>
            </w:pPr>
            <w:r>
              <w:rPr>
                <w:sz w:val="17"/>
              </w:rPr>
              <w:t>SQLAlchemy + SQLite/Postgres</w:t>
            </w:r>
          </w:p>
        </w:tc>
        <w:tc>
          <w:tcPr>
            <w:tcW w:type="dxa" w:w="7416"/>
            <w:vAlign w:val="center"/>
            <w:tcMar>
              <w:top w:w="110" w:type="dxa"/>
              <w:start w:w="135" w:type="dxa"/>
              <w:bottom w:w="110" w:type="dxa"/>
              <w:end w:w="135" w:type="dxa"/>
            </w:tcMar>
          </w:tcPr>
          <w:p>
            <w:pPr>
              <w:spacing w:after="0" w:line="252" w:lineRule="auto"/>
            </w:pPr>
            <w:r>
              <w:rPr>
                <w:sz w:val="17"/>
              </w:rPr>
              <w:t>Issue/run snapshots, retrieved evidence, append-only events, decisions and scoping packs.</w:t>
            </w:r>
          </w:p>
        </w:tc>
      </w:tr>
      <w:tr>
        <w:tc>
          <w:tcPr>
            <w:tcW w:type="dxa" w:w="2376"/>
            <w:vAlign w:val="center"/>
            <w:tcMar>
              <w:top w:w="110" w:type="dxa"/>
              <w:start w:w="135" w:type="dxa"/>
              <w:bottom w:w="110" w:type="dxa"/>
              <w:end w:w="135" w:type="dxa"/>
            </w:tcMar>
            <w:shd w:fill="F5F7F9"/>
          </w:tcPr>
          <w:p>
            <w:pPr>
              <w:spacing w:after="0" w:line="252" w:lineRule="auto"/>
            </w:pPr>
            <w:r>
              <w:rPr>
                <w:sz w:val="17"/>
              </w:rPr>
              <w:t>Mem0 (optional)</w:t>
            </w:r>
          </w:p>
        </w:tc>
        <w:tc>
          <w:tcPr>
            <w:tcW w:type="dxa" w:w="7416"/>
            <w:vAlign w:val="center"/>
            <w:tcMar>
              <w:top w:w="110" w:type="dxa"/>
              <w:start w:w="135" w:type="dxa"/>
              <w:bottom w:w="110" w:type="dxa"/>
              <w:end w:w="135" w:type="dxa"/>
            </w:tcMar>
            <w:shd w:fill="F5F7F9"/>
          </w:tcPr>
          <w:p>
            <w:pPr>
              <w:spacing w:after="0" w:line="252" w:lineRule="auto"/>
            </w:pPr>
            <w:r>
              <w:rPr>
                <w:sz w:val="17"/>
              </w:rPr>
              <w:t>Auditor/client-scoped recall and write-back of compact patterns only after approval or edit.</w:t>
            </w:r>
          </w:p>
        </w:tc>
      </w:tr>
    </w:tbl>
    <w:p>
      <w:pPr>
        <w:spacing w:after="20"/>
      </w:pPr>
    </w:p>
    <w:p>
      <w:pPr>
        <w:pStyle w:val="Heading2"/>
        <w:keepNext/>
      </w:pPr>
      <w:r>
        <w:t>Triage flow</w:t>
      </w:r>
    </w:p>
    <w:tbl>
      <w:tblPr>
        <w:tblW w:type="auto" w:w="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1666"/>
        <w:gridCol w:w="1666"/>
        <w:gridCol w:w="1666"/>
        <w:gridCol w:w="1666"/>
        <w:gridCol w:w="1666"/>
        <w:gridCol w:w="1666"/>
      </w:tblGrid>
      <w:tr>
        <w:trPr>
          <w:tblHeader w:val="true"/>
        </w:trPr>
        <w:tc>
          <w:tcPr>
            <w:tcW w:type="dxa" w:w="1440"/>
            <w:vAlign w:val="center"/>
            <w:tcMar>
              <w:top w:w="110" w:type="dxa"/>
              <w:start w:w="135" w:type="dxa"/>
              <w:bottom w:w="110" w:type="dxa"/>
              <w:end w:w="135" w:type="dxa"/>
            </w:tcMar>
            <w:shd w:fill="24364B"/>
          </w:tcPr>
          <w:p>
            <w:pPr>
              <w:spacing w:after="0"/>
            </w:pPr>
            <w:r>
              <w:rPr>
                <w:b/>
                <w:color w:val="FFFFFF"/>
                <w:sz w:val="18"/>
              </w:rPr>
              <w:t>Intake</w:t>
            </w:r>
          </w:p>
        </w:tc>
        <w:tc>
          <w:tcPr>
            <w:tcW w:type="dxa" w:w="1656"/>
            <w:vAlign w:val="center"/>
            <w:tcMar>
              <w:top w:w="110" w:type="dxa"/>
              <w:start w:w="135" w:type="dxa"/>
              <w:bottom w:w="110" w:type="dxa"/>
              <w:end w:w="135" w:type="dxa"/>
            </w:tcMar>
            <w:shd w:fill="24364B"/>
          </w:tcPr>
          <w:p>
            <w:pPr>
              <w:spacing w:after="0"/>
            </w:pPr>
            <w:r>
              <w:rPr>
                <w:b/>
                <w:color w:val="FFFFFF"/>
                <w:sz w:val="18"/>
              </w:rPr>
              <w:t>Retrieve</w:t>
            </w:r>
          </w:p>
        </w:tc>
        <w:tc>
          <w:tcPr>
            <w:tcW w:type="dxa" w:w="1656"/>
            <w:vAlign w:val="center"/>
            <w:tcMar>
              <w:top w:w="110" w:type="dxa"/>
              <w:start w:w="135" w:type="dxa"/>
              <w:bottom w:w="110" w:type="dxa"/>
              <w:end w:w="135" w:type="dxa"/>
            </w:tcMar>
            <w:shd w:fill="24364B"/>
          </w:tcPr>
          <w:p>
            <w:pPr>
              <w:spacing w:after="0"/>
            </w:pPr>
            <w:r>
              <w:rPr>
                <w:b/>
                <w:color w:val="FFFFFF"/>
                <w:sz w:val="18"/>
              </w:rPr>
              <w:t>Draft</w:t>
            </w:r>
          </w:p>
        </w:tc>
        <w:tc>
          <w:tcPr>
            <w:tcW w:type="dxa" w:w="1656"/>
            <w:vAlign w:val="center"/>
            <w:tcMar>
              <w:top w:w="110" w:type="dxa"/>
              <w:start w:w="135" w:type="dxa"/>
              <w:bottom w:w="110" w:type="dxa"/>
              <w:end w:w="135" w:type="dxa"/>
            </w:tcMar>
            <w:shd w:fill="24364B"/>
          </w:tcPr>
          <w:p>
            <w:pPr>
              <w:spacing w:after="0"/>
            </w:pPr>
            <w:r>
              <w:rPr>
                <w:b/>
                <w:color w:val="FFFFFF"/>
                <w:sz w:val="18"/>
              </w:rPr>
              <w:t>Validate</w:t>
            </w:r>
          </w:p>
        </w:tc>
        <w:tc>
          <w:tcPr>
            <w:tcW w:type="dxa" w:w="1944"/>
            <w:vAlign w:val="center"/>
            <w:tcMar>
              <w:top w:w="110" w:type="dxa"/>
              <w:start w:w="135" w:type="dxa"/>
              <w:bottom w:w="110" w:type="dxa"/>
              <w:end w:w="135" w:type="dxa"/>
            </w:tcMar>
            <w:shd w:fill="24364B"/>
          </w:tcPr>
          <w:p>
            <w:pPr>
              <w:spacing w:after="0"/>
            </w:pPr>
            <w:r>
              <w:rPr>
                <w:b/>
                <w:color w:val="FFFFFF"/>
                <w:sz w:val="18"/>
              </w:rPr>
              <w:t>Human review</w:t>
            </w:r>
          </w:p>
        </w:tc>
        <w:tc>
          <w:tcPr>
            <w:tcW w:type="dxa" w:w="1440"/>
            <w:vAlign w:val="center"/>
            <w:tcMar>
              <w:top w:w="110" w:type="dxa"/>
              <w:start w:w="135" w:type="dxa"/>
              <w:bottom w:w="110" w:type="dxa"/>
              <w:end w:w="135" w:type="dxa"/>
            </w:tcMar>
            <w:shd w:fill="24364B"/>
          </w:tcPr>
          <w:p>
            <w:pPr>
              <w:spacing w:after="0"/>
            </w:pPr>
            <w:r>
              <w:rPr>
                <w:b/>
                <w:color w:val="FFFFFF"/>
                <w:sz w:val="18"/>
              </w:rPr>
              <w:t>Audit record</w:t>
            </w:r>
          </w:p>
        </w:tc>
      </w:tr>
      <w:tr>
        <w:tc>
          <w:tcPr>
            <w:tcW w:type="dxa" w:w="1440"/>
            <w:vAlign w:val="center"/>
            <w:tcMar>
              <w:top w:w="110" w:type="dxa"/>
              <w:start w:w="135" w:type="dxa"/>
              <w:bottom w:w="110" w:type="dxa"/>
              <w:end w:w="135" w:type="dxa"/>
            </w:tcMar>
          </w:tcPr>
          <w:p>
            <w:pPr>
              <w:spacing w:after="0" w:line="252" w:lineRule="auto"/>
            </w:pPr>
            <w:r>
              <w:rPr>
                <w:sz w:val="17"/>
              </w:rPr>
              <w:t>Issue + context</w:t>
            </w:r>
          </w:p>
        </w:tc>
        <w:tc>
          <w:tcPr>
            <w:tcW w:type="dxa" w:w="1656"/>
            <w:vAlign w:val="center"/>
            <w:tcMar>
              <w:top w:w="110" w:type="dxa"/>
              <w:start w:w="135" w:type="dxa"/>
              <w:bottom w:w="110" w:type="dxa"/>
              <w:end w:w="135" w:type="dxa"/>
            </w:tcMar>
          </w:tcPr>
          <w:p>
            <w:pPr>
              <w:spacing w:after="0" w:line="252" w:lineRule="auto"/>
            </w:pPr>
            <w:r>
              <w:rPr>
                <w:sz w:val="17"/>
              </w:rPr>
              <w:t>Issues, controls, policy</w:t>
            </w:r>
          </w:p>
        </w:tc>
        <w:tc>
          <w:tcPr>
            <w:tcW w:type="dxa" w:w="1656"/>
            <w:vAlign w:val="center"/>
            <w:tcMar>
              <w:top w:w="110" w:type="dxa"/>
              <w:start w:w="135" w:type="dxa"/>
              <w:bottom w:w="110" w:type="dxa"/>
              <w:end w:w="135" w:type="dxa"/>
            </w:tcMar>
          </w:tcPr>
          <w:p>
            <w:pPr>
              <w:spacing w:after="0" w:line="252" w:lineRule="auto"/>
            </w:pPr>
            <w:r>
              <w:rPr>
                <w:sz w:val="17"/>
              </w:rPr>
              <w:t>Structured claims</w:t>
            </w:r>
          </w:p>
        </w:tc>
        <w:tc>
          <w:tcPr>
            <w:tcW w:type="dxa" w:w="1656"/>
            <w:vAlign w:val="center"/>
            <w:tcMar>
              <w:top w:w="110" w:type="dxa"/>
              <w:start w:w="135" w:type="dxa"/>
              <w:bottom w:w="110" w:type="dxa"/>
              <w:end w:w="135" w:type="dxa"/>
            </w:tcMar>
          </w:tcPr>
          <w:p>
            <w:pPr>
              <w:spacing w:after="0" w:line="252" w:lineRule="auto"/>
            </w:pPr>
            <w:r>
              <w:rPr>
                <w:sz w:val="17"/>
              </w:rPr>
              <w:t>Exact source checks</w:t>
            </w:r>
          </w:p>
        </w:tc>
        <w:tc>
          <w:tcPr>
            <w:tcW w:type="dxa" w:w="1944"/>
            <w:vAlign w:val="center"/>
            <w:tcMar>
              <w:top w:w="110" w:type="dxa"/>
              <w:start w:w="135" w:type="dxa"/>
              <w:bottom w:w="110" w:type="dxa"/>
              <w:end w:w="135" w:type="dxa"/>
            </w:tcMar>
          </w:tcPr>
          <w:p>
            <w:pPr>
              <w:spacing w:after="0" w:line="252" w:lineRule="auto"/>
            </w:pPr>
            <w:r>
              <w:rPr>
                <w:sz w:val="17"/>
              </w:rPr>
              <w:t>Approve / edit / reject</w:t>
            </w:r>
          </w:p>
        </w:tc>
        <w:tc>
          <w:tcPr>
            <w:tcW w:type="dxa" w:w="1440"/>
            <w:vAlign w:val="center"/>
            <w:tcMar>
              <w:top w:w="110" w:type="dxa"/>
              <w:start w:w="135" w:type="dxa"/>
              <w:bottom w:w="110" w:type="dxa"/>
              <w:end w:w="135" w:type="dxa"/>
            </w:tcMar>
          </w:tcPr>
          <w:p>
            <w:pPr>
              <w:spacing w:after="0" w:line="252" w:lineRule="auto"/>
            </w:pPr>
            <w:r>
              <w:rPr>
                <w:sz w:val="17"/>
              </w:rPr>
              <w:t>Decision + events</w:t>
            </w:r>
          </w:p>
        </w:tc>
      </w:tr>
    </w:tbl>
    <w:p>
      <w:pPr>
        <w:spacing w:after="20"/>
      </w:pPr>
    </w:p>
    <w:p>
      <w:pPr>
        <w:pStyle w:val="Heading1"/>
        <w:keepNext/>
        <w:pageBreakBefore/>
      </w:pPr>
      <w:r>
        <w:t>Data design and audit trail</w:t>
      </w:r>
    </w:p>
    <w:p>
      <w:pPr>
        <w:pStyle w:val="Heading2"/>
        <w:keepNext/>
      </w:pPr>
      <w:r>
        <w:t>Pinecone source records</w:t>
      </w:r>
    </w:p>
    <w:p>
      <w:r>
        <w:t>Pinecone holds searchable source text plus filterable metadata. SQL remains the application record for submitted runs and human decisions. The ingestion command creates deterministic chunk IDs so repeated ingestion updates the same synthetic source records.</w:t>
      </w:r>
    </w:p>
    <w:tbl>
      <w:tblPr>
        <w:tblW w:type="auto" w:w="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3331"/>
        <w:gridCol w:w="3331"/>
        <w:gridCol w:w="3331"/>
      </w:tblGrid>
      <w:tr>
        <w:trPr>
          <w:tblHeader w:val="true"/>
        </w:trPr>
        <w:tc>
          <w:tcPr>
            <w:tcW w:type="dxa" w:w="1584"/>
            <w:vAlign w:val="center"/>
            <w:tcMar>
              <w:top w:w="110" w:type="dxa"/>
              <w:start w:w="135" w:type="dxa"/>
              <w:bottom w:w="110" w:type="dxa"/>
              <w:end w:w="135" w:type="dxa"/>
            </w:tcMar>
            <w:shd w:fill="24364B"/>
          </w:tcPr>
          <w:p>
            <w:pPr>
              <w:spacing w:after="0"/>
            </w:pPr>
            <w:r>
              <w:rPr>
                <w:b/>
                <w:color w:val="FFFFFF"/>
                <w:sz w:val="18"/>
              </w:rPr>
              <w:t>Namespace</w:t>
            </w:r>
          </w:p>
        </w:tc>
        <w:tc>
          <w:tcPr>
            <w:tcW w:type="dxa" w:w="4680"/>
            <w:vAlign w:val="center"/>
            <w:tcMar>
              <w:top w:w="110" w:type="dxa"/>
              <w:start w:w="135" w:type="dxa"/>
              <w:bottom w:w="110" w:type="dxa"/>
              <w:end w:w="135" w:type="dxa"/>
            </w:tcMar>
            <w:shd w:fill="24364B"/>
          </w:tcPr>
          <w:p>
            <w:pPr>
              <w:spacing w:after="0"/>
            </w:pPr>
            <w:r>
              <w:rPr>
                <w:b/>
                <w:color w:val="FFFFFF"/>
                <w:sz w:val="18"/>
              </w:rPr>
              <w:t>Semantic text</w:t>
            </w:r>
          </w:p>
        </w:tc>
        <w:tc>
          <w:tcPr>
            <w:tcW w:type="dxa" w:w="3240"/>
            <w:vAlign w:val="center"/>
            <w:tcMar>
              <w:top w:w="110" w:type="dxa"/>
              <w:start w:w="135" w:type="dxa"/>
              <w:bottom w:w="110" w:type="dxa"/>
              <w:end w:w="135" w:type="dxa"/>
            </w:tcMar>
            <w:shd w:fill="24364B"/>
          </w:tcPr>
          <w:p>
            <w:pPr>
              <w:spacing w:after="0"/>
            </w:pPr>
            <w:r>
              <w:rPr>
                <w:b/>
                <w:color w:val="FFFFFF"/>
                <w:sz w:val="18"/>
              </w:rPr>
              <w:t>Useful metadata</w:t>
            </w:r>
          </w:p>
        </w:tc>
      </w:tr>
      <w:tr>
        <w:tc>
          <w:tcPr>
            <w:tcW w:type="dxa" w:w="1584"/>
            <w:vAlign w:val="center"/>
            <w:tcMar>
              <w:top w:w="110" w:type="dxa"/>
              <w:start w:w="135" w:type="dxa"/>
              <w:bottom w:w="110" w:type="dxa"/>
              <w:end w:w="135" w:type="dxa"/>
            </w:tcMar>
          </w:tcPr>
          <w:p>
            <w:pPr>
              <w:spacing w:after="0" w:line="252" w:lineRule="auto"/>
            </w:pPr>
            <w:r>
              <w:rPr>
                <w:sz w:val="17"/>
              </w:rPr>
              <w:t>past_issues</w:t>
            </w:r>
          </w:p>
        </w:tc>
        <w:tc>
          <w:tcPr>
            <w:tcW w:type="dxa" w:w="4680"/>
            <w:vAlign w:val="center"/>
            <w:tcMar>
              <w:top w:w="110" w:type="dxa"/>
              <w:start w:w="135" w:type="dxa"/>
              <w:bottom w:w="110" w:type="dxa"/>
              <w:end w:w="135" w:type="dxa"/>
            </w:tcMar>
          </w:tcPr>
          <w:p>
            <w:pPr>
              <w:spacing w:after="0" w:line="252" w:lineRule="auto"/>
            </w:pPr>
            <w:r>
              <w:rPr>
                <w:sz w:val="17"/>
              </w:rPr>
              <w:t>Title, condition, scope, severity, root cause, control, remediation, outcome and status.</w:t>
            </w:r>
          </w:p>
        </w:tc>
        <w:tc>
          <w:tcPr>
            <w:tcW w:type="dxa" w:w="3240"/>
            <w:vAlign w:val="center"/>
            <w:tcMar>
              <w:top w:w="110" w:type="dxa"/>
              <w:start w:w="135" w:type="dxa"/>
              <w:bottom w:w="110" w:type="dxa"/>
              <w:end w:w="135" w:type="dxa"/>
            </w:tcMar>
          </w:tcPr>
          <w:p>
            <w:pPr>
              <w:spacing w:after="0" w:line="252" w:lineRule="auto"/>
            </w:pPr>
            <w:r>
              <w:rPr>
                <w:sz w:val="17"/>
              </w:rPr>
              <w:t>client_id, audit_id, issue_id, control_id, dates, RAU, attribute, status.</w:t>
            </w:r>
          </w:p>
        </w:tc>
      </w:tr>
      <w:tr>
        <w:tc>
          <w:tcPr>
            <w:tcW w:type="dxa" w:w="1584"/>
            <w:vAlign w:val="center"/>
            <w:tcMar>
              <w:top w:w="110" w:type="dxa"/>
              <w:start w:w="135" w:type="dxa"/>
              <w:bottom w:w="110" w:type="dxa"/>
              <w:end w:w="135" w:type="dxa"/>
            </w:tcMar>
            <w:shd w:fill="F5F7F9"/>
          </w:tcPr>
          <w:p>
            <w:pPr>
              <w:spacing w:after="0" w:line="252" w:lineRule="auto"/>
            </w:pPr>
            <w:r>
              <w:rPr>
                <w:sz w:val="17"/>
              </w:rPr>
              <w:t>controls</w:t>
            </w:r>
          </w:p>
        </w:tc>
        <w:tc>
          <w:tcPr>
            <w:tcW w:type="dxa" w:w="4680"/>
            <w:vAlign w:val="center"/>
            <w:tcMar>
              <w:top w:w="110" w:type="dxa"/>
              <w:start w:w="135" w:type="dxa"/>
              <w:bottom w:w="110" w:type="dxa"/>
              <w:end w:w="135" w:type="dxa"/>
            </w:tcMar>
            <w:shd w:fill="F5F7F9"/>
          </w:tcPr>
          <w:p>
            <w:pPr>
              <w:spacing w:after="0" w:line="252" w:lineRule="auto"/>
            </w:pPr>
            <w:r>
              <w:rPr>
                <w:sz w:val="17"/>
              </w:rPr>
              <w:t>Control objective, owner/action, frequency, evidence and exception handling.</w:t>
            </w:r>
          </w:p>
        </w:tc>
        <w:tc>
          <w:tcPr>
            <w:tcW w:type="dxa" w:w="3240"/>
            <w:vAlign w:val="center"/>
            <w:tcMar>
              <w:top w:w="110" w:type="dxa"/>
              <w:start w:w="135" w:type="dxa"/>
              <w:bottom w:w="110" w:type="dxa"/>
              <w:end w:w="135" w:type="dxa"/>
            </w:tcMar>
            <w:shd w:fill="F5F7F9"/>
          </w:tcPr>
          <w:p>
            <w:pPr>
              <w:spacing w:after="0" w:line="252" w:lineRule="auto"/>
            </w:pPr>
            <w:r>
              <w:rPr>
                <w:sz w:val="17"/>
              </w:rPr>
              <w:t>client_id, audit_id, control_id, control_version, RAU, attribute.</w:t>
            </w:r>
          </w:p>
        </w:tc>
      </w:tr>
      <w:tr>
        <w:tc>
          <w:tcPr>
            <w:tcW w:type="dxa" w:w="1584"/>
            <w:vAlign w:val="center"/>
            <w:tcMar>
              <w:top w:w="110" w:type="dxa"/>
              <w:start w:w="135" w:type="dxa"/>
              <w:bottom w:w="110" w:type="dxa"/>
              <w:end w:w="135" w:type="dxa"/>
            </w:tcMar>
          </w:tcPr>
          <w:p>
            <w:pPr>
              <w:spacing w:after="0" w:line="252" w:lineRule="auto"/>
            </w:pPr>
            <w:r>
              <w:rPr>
                <w:sz w:val="17"/>
              </w:rPr>
              <w:t>policies</w:t>
            </w:r>
          </w:p>
        </w:tc>
        <w:tc>
          <w:tcPr>
            <w:tcW w:type="dxa" w:w="4680"/>
            <w:vAlign w:val="center"/>
            <w:tcMar>
              <w:top w:w="110" w:type="dxa"/>
              <w:start w:w="135" w:type="dxa"/>
              <w:bottom w:w="110" w:type="dxa"/>
              <w:end w:w="135" w:type="dxa"/>
            </w:tcMar>
          </w:tcPr>
          <w:p>
            <w:pPr>
              <w:spacing w:after="0" w:line="252" w:lineRule="auto"/>
            </w:pPr>
            <w:r>
              <w:rPr>
                <w:sz w:val="17"/>
              </w:rPr>
              <w:t>Policy sections split into overlapping text chunks.</w:t>
            </w:r>
          </w:p>
        </w:tc>
        <w:tc>
          <w:tcPr>
            <w:tcW w:type="dxa" w:w="3240"/>
            <w:vAlign w:val="center"/>
            <w:tcMar>
              <w:top w:w="110" w:type="dxa"/>
              <w:start w:w="135" w:type="dxa"/>
              <w:bottom w:w="110" w:type="dxa"/>
              <w:end w:w="135" w:type="dxa"/>
            </w:tcMar>
          </w:tcPr>
          <w:p>
            <w:pPr>
              <w:spacing w:after="0" w:line="252" w:lineRule="auto"/>
            </w:pPr>
            <w:r>
              <w:rPr>
                <w:sz w:val="17"/>
              </w:rPr>
              <w:t>client_id, audit_id, policy ID, section, effective date and chunk ID.</w:t>
            </w:r>
          </w:p>
        </w:tc>
      </w:tr>
    </w:tbl>
    <w:p>
      <w:pPr>
        <w:spacing w:after="20"/>
      </w:pPr>
    </w:p>
    <w:p>
      <w:pPr>
        <w:spacing w:after="140"/>
      </w:pPr>
      <w:r>
        <w:t>Corpus note: the 60 issue rows use six recurring synthetic scenario patterns. They exercise ingestion and retrieval, but they are not a broad evaluation set.</w:t>
      </w:r>
    </w:p>
    <w:p>
      <w:pPr>
        <w:pStyle w:val="Heading2"/>
        <w:keepNext/>
      </w:pPr>
      <w:r>
        <w:t>SQL records</w:t>
      </w:r>
    </w:p>
    <w:tbl>
      <w:tblPr>
        <w:tblW w:type="auto" w:w="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4997"/>
        <w:gridCol w:w="4997"/>
      </w:tblGrid>
      <w:tr>
        <w:trPr>
          <w:tblHeader w:val="true"/>
        </w:trPr>
        <w:tc>
          <w:tcPr>
            <w:tcW w:type="dxa" w:w="2592"/>
            <w:vAlign w:val="center"/>
            <w:tcMar>
              <w:top w:w="110" w:type="dxa"/>
              <w:start w:w="135" w:type="dxa"/>
              <w:bottom w:w="110" w:type="dxa"/>
              <w:end w:w="135" w:type="dxa"/>
            </w:tcMar>
            <w:shd w:fill="24364B"/>
          </w:tcPr>
          <w:p>
            <w:pPr>
              <w:spacing w:after="0"/>
            </w:pPr>
            <w:r>
              <w:rPr>
                <w:b/>
                <w:color w:val="FFFFFF"/>
                <w:sz w:val="18"/>
              </w:rPr>
              <w:t>Record group</w:t>
            </w:r>
          </w:p>
        </w:tc>
        <w:tc>
          <w:tcPr>
            <w:tcW w:type="dxa" w:w="6912"/>
            <w:vAlign w:val="center"/>
            <w:tcMar>
              <w:top w:w="110" w:type="dxa"/>
              <w:start w:w="135" w:type="dxa"/>
              <w:bottom w:w="110" w:type="dxa"/>
              <w:end w:w="135" w:type="dxa"/>
            </w:tcMar>
            <w:shd w:fill="24364B"/>
          </w:tcPr>
          <w:p>
            <w:pPr>
              <w:spacing w:after="0"/>
            </w:pPr>
            <w:r>
              <w:rPr>
                <w:b/>
                <w:color w:val="FFFFFF"/>
                <w:sz w:val="18"/>
              </w:rPr>
              <w:t>What it preserves</w:t>
            </w:r>
          </w:p>
        </w:tc>
      </w:tr>
      <w:tr>
        <w:tc>
          <w:tcPr>
            <w:tcW w:type="dxa" w:w="2592"/>
            <w:vAlign w:val="center"/>
            <w:tcMar>
              <w:top w:w="110" w:type="dxa"/>
              <w:start w:w="135" w:type="dxa"/>
              <w:bottom w:w="110" w:type="dxa"/>
              <w:end w:w="135" w:type="dxa"/>
            </w:tcMar>
          </w:tcPr>
          <w:p>
            <w:pPr>
              <w:spacing w:after="0" w:line="252" w:lineRule="auto"/>
            </w:pPr>
            <w:r>
              <w:rPr>
                <w:sz w:val="17"/>
              </w:rPr>
              <w:t>issues and triage_runs</w:t>
            </w:r>
          </w:p>
        </w:tc>
        <w:tc>
          <w:tcPr>
            <w:tcW w:type="dxa" w:w="6912"/>
            <w:vAlign w:val="center"/>
            <w:tcMar>
              <w:top w:w="110" w:type="dxa"/>
              <w:start w:w="135" w:type="dxa"/>
              <w:bottom w:w="110" w:type="dxa"/>
              <w:end w:w="135" w:type="dxa"/>
            </w:tcMar>
          </w:tcPr>
          <w:p>
            <w:pPr>
              <w:spacing w:after="0" w:line="252" w:lineRule="auto"/>
            </w:pPr>
            <w:r>
              <w:rPr>
                <w:sz w:val="17"/>
              </w:rPr>
              <w:t>Submitted issue snapshot, client/audit IDs, model and prompt version, retrieved chunks, suggestion and run status.</w:t>
            </w:r>
          </w:p>
        </w:tc>
      </w:tr>
      <w:tr>
        <w:tc>
          <w:tcPr>
            <w:tcW w:type="dxa" w:w="2592"/>
            <w:vAlign w:val="center"/>
            <w:tcMar>
              <w:top w:w="110" w:type="dxa"/>
              <w:start w:w="135" w:type="dxa"/>
              <w:bottom w:w="110" w:type="dxa"/>
              <w:end w:w="135" w:type="dxa"/>
            </w:tcMar>
            <w:shd w:fill="F5F7F9"/>
          </w:tcPr>
          <w:p>
            <w:pPr>
              <w:spacing w:after="0" w:line="252" w:lineRule="auto"/>
            </w:pPr>
            <w:r>
              <w:rPr>
                <w:sz w:val="17"/>
              </w:rPr>
              <w:t>approvals</w:t>
            </w:r>
          </w:p>
        </w:tc>
        <w:tc>
          <w:tcPr>
            <w:tcW w:type="dxa" w:w="6912"/>
            <w:vAlign w:val="center"/>
            <w:tcMar>
              <w:top w:w="110" w:type="dxa"/>
              <w:start w:w="135" w:type="dxa"/>
              <w:bottom w:w="110" w:type="dxa"/>
              <w:end w:w="135" w:type="dxa"/>
            </w:tcMar>
            <w:shd w:fill="F5F7F9"/>
          </w:tcPr>
          <w:p>
            <w:pPr>
              <w:spacing w:after="0" w:line="252" w:lineRule="auto"/>
            </w:pPr>
            <w:r>
              <w:rPr>
                <w:sz w:val="17"/>
              </w:rPr>
              <w:t>Decision, approver, reason, time and edited suggestion where applicable.</w:t>
            </w:r>
          </w:p>
        </w:tc>
      </w:tr>
      <w:tr>
        <w:tc>
          <w:tcPr>
            <w:tcW w:type="dxa" w:w="2592"/>
            <w:vAlign w:val="center"/>
            <w:tcMar>
              <w:top w:w="110" w:type="dxa"/>
              <w:start w:w="135" w:type="dxa"/>
              <w:bottom w:w="110" w:type="dxa"/>
              <w:end w:w="135" w:type="dxa"/>
            </w:tcMar>
          </w:tcPr>
          <w:p>
            <w:pPr>
              <w:spacing w:after="0" w:line="252" w:lineRule="auto"/>
            </w:pPr>
            <w:r>
              <w:rPr>
                <w:sz w:val="17"/>
              </w:rPr>
              <w:t>audit_events</w:t>
            </w:r>
          </w:p>
        </w:tc>
        <w:tc>
          <w:tcPr>
            <w:tcW w:type="dxa" w:w="6912"/>
            <w:vAlign w:val="center"/>
            <w:tcMar>
              <w:top w:w="110" w:type="dxa"/>
              <w:start w:w="135" w:type="dxa"/>
              <w:bottom w:w="110" w:type="dxa"/>
              <w:end w:w="135" w:type="dxa"/>
            </w:tcMar>
          </w:tcPr>
          <w:p>
            <w:pPr>
              <w:spacing w:after="0" w:line="252" w:lineRule="auto"/>
            </w:pPr>
            <w:r>
              <w:rPr>
                <w:sz w:val="17"/>
              </w:rPr>
              <w:t>Graph events, retrieval/model timing and token-use metadata when available.</w:t>
            </w:r>
          </w:p>
        </w:tc>
      </w:tr>
      <w:tr>
        <w:tc>
          <w:tcPr>
            <w:tcW w:type="dxa" w:w="2592"/>
            <w:vAlign w:val="center"/>
            <w:tcMar>
              <w:top w:w="110" w:type="dxa"/>
              <w:start w:w="135" w:type="dxa"/>
              <w:bottom w:w="110" w:type="dxa"/>
              <w:end w:w="135" w:type="dxa"/>
            </w:tcMar>
            <w:shd w:fill="F5F7F9"/>
          </w:tcPr>
          <w:p>
            <w:pPr>
              <w:spacing w:after="0" w:line="252" w:lineRule="auto"/>
            </w:pPr>
            <w:r>
              <w:rPr>
                <w:sz w:val="17"/>
              </w:rPr>
              <w:t>scoping_runs and scoping_decisions</w:t>
            </w:r>
          </w:p>
        </w:tc>
        <w:tc>
          <w:tcPr>
            <w:tcW w:type="dxa" w:w="6912"/>
            <w:vAlign w:val="center"/>
            <w:tcMar>
              <w:top w:w="110" w:type="dxa"/>
              <w:start w:w="135" w:type="dxa"/>
              <w:bottom w:w="110" w:type="dxa"/>
              <w:end w:w="135" w:type="dxa"/>
            </w:tcMar>
            <w:shd w:fill="F5F7F9"/>
          </w:tcPr>
          <w:p>
            <w:pPr>
              <w:spacing w:after="0" w:line="252" w:lineRule="auto"/>
            </w:pPr>
            <w:r>
              <w:rPr>
                <w:sz w:val="17"/>
              </w:rPr>
              <w:t>Saved scoping pack and per-cluster decision, reason and approver.</w:t>
            </w:r>
          </w:p>
        </w:tc>
      </w:tr>
    </w:tbl>
    <w:p>
      <w:pPr>
        <w:spacing w:after="20"/>
      </w:pPr>
    </w:p>
    <w:p>
      <w:pPr>
        <w:pStyle w:val="Heading2"/>
        <w:keepNext/>
      </w:pPr>
      <w:r>
        <w:t>Memory policy</w:t>
      </w:r>
    </w:p>
    <w:p>
      <w:r>
        <w:t>When Mem0 is configured, the current adapter stores only a compact accepted pattern, such as an approved severity category, root-cause category and control ID. The memory key is scoped to auditor and client; metadata records the source issue ID and approver. Raw descriptions, retrieved evidence, unapproved drafts and secrets are not written to memory.</w:t>
      </w:r>
    </w:p>
    <w:p>
      <w:pPr>
        <w:pStyle w:val="Heading2"/>
        <w:keepNext/>
      </w:pPr>
      <w:r>
        <w:t>Citation and safety boundaries</w:t>
      </w:r>
    </w:p>
    <w:p>
      <w:pPr>
        <w:pStyle w:val="ListBullet"/>
        <w:spacing w:after="60" w:line="259" w:lineRule="auto"/>
      </w:pPr>
      <w:r>
        <w:t>Exact quote validation confirms that a quote exists in a retrieved chunk; it does not prove the quote semantically supports the conclusion.</w:t>
      </w:r>
    </w:p>
    <w:p>
      <w:pPr>
        <w:pStyle w:val="ListBullet"/>
        <w:spacing w:after="60" w:line="259" w:lineRule="auto"/>
      </w:pPr>
      <w:r>
        <w:t>A retrieval similarity threshold is a retrieval signal, not an evidence-sufficiency judgement.</w:t>
      </w:r>
    </w:p>
    <w:p>
      <w:pPr>
        <w:pStyle w:val="ListBullet"/>
        <w:spacing w:after="60" w:line="259" w:lineRule="auto"/>
      </w:pPr>
      <w:r>
        <w:t>All displayed recommendations remain suggestions. There is no auto-approval, auto-close, external issue creation or auto-filing.</w:t>
      </w:r>
    </w:p>
    <w:p>
      <w:pPr>
        <w:pStyle w:val="ListBullet"/>
        <w:spacing w:after="60" w:line="259" w:lineRule="auto"/>
      </w:pPr>
      <w:r>
        <w:t>The current demo has no production identity-to-tenant authorization policy. Do not use real client data until that gate is implemented and reviewed.</w:t>
      </w:r>
    </w:p>
    <w:p>
      <w:pPr>
        <w:pStyle w:val="Heading1"/>
        <w:keepNext/>
        <w:pageBreakBefore/>
      </w:pPr>
      <w:r>
        <w:t>Local setup and operation</w:t>
      </w:r>
    </w:p>
    <w:p>
      <w:pPr>
        <w:pStyle w:val="Heading2"/>
        <w:keepNext/>
      </w:pPr>
      <w:r>
        <w:t>Run with the current OpenAI and Pinecone settings</w:t>
      </w:r>
    </w:p>
    <w:p>
      <w:pPr>
        <w:pStyle w:val="ListNumber"/>
        <w:spacing w:after="80" w:line="259" w:lineRule="auto"/>
      </w:pPr>
      <w:r>
        <w:t>Use Python 3.11 or newer and activate the project virtual environment.</w:t>
      </w:r>
    </w:p>
    <w:p>
      <w:pPr>
        <w:pStyle w:val="ListNumber"/>
        <w:spacing w:after="80" w:line="259" w:lineRule="auto"/>
      </w:pPr>
      <w:r>
        <w:t>Set OPENAI_API_KEY and PINECONE_API_KEY in the local .env file. Keep secrets out of source control.</w:t>
      </w:r>
    </w:p>
    <w:p>
      <w:pPr>
        <w:pStyle w:val="ListNumber"/>
        <w:spacing w:after="80" w:line="259" w:lineRule="auto"/>
      </w:pPr>
      <w:r>
        <w:t>The current vector contract is text-embedding-3-small with 1,536 dimensions and cosine similarity. If the model or dimension changes, create a compatible index and re-embed every source.</w:t>
      </w:r>
    </w:p>
    <w:p>
      <w:pPr>
        <w:spacing w:after="40"/>
      </w:pPr>
      <w:r>
        <w:t>Index or refresh the synthetic corpus (this upserts records and does not delete the namespaces):</w:t>
      </w:r>
    </w:p>
    <w:p>
      <w:pPr>
        <w:spacing w:after="120"/>
        <w:ind w:left="259"/>
      </w:pPr>
      <w:r>
        <w:rPr>
          <w:rFonts w:ascii="Menlo" w:hAnsi="Menlo"/>
          <w:color w:val="24364B"/>
          <w:sz w:val="18"/>
        </w:rPr>
        <w:t>.venv/bin/python -m src.issue_triage.ingestion.cli_ingest</w:t>
      </w:r>
    </w:p>
    <w:p>
      <w:pPr>
        <w:spacing w:after="40"/>
      </w:pPr>
      <w:r>
        <w:t>Start the UI in another terminal:</w:t>
      </w:r>
    </w:p>
    <w:p>
      <w:pPr>
        <w:spacing w:after="120"/>
        <w:ind w:left="259"/>
      </w:pPr>
      <w:r>
        <w:rPr>
          <w:rFonts w:ascii="Menlo" w:hAnsi="Menlo"/>
          <w:color w:val="24364B"/>
          <w:sz w:val="18"/>
        </w:rPr>
        <w:t>APP_ENV=development AUTH_MODE=demo .venv/bin/streamlit run app.py</w:t>
      </w:r>
    </w:p>
    <w:p>
      <w:pPr>
        <w:spacing w:after="180"/>
      </w:pPr>
      <w:r>
        <w:t>Open http://127.0.0.1:8501. Use the synthetic client/audit choices. The --rebuild flag deletes the three configured Pinecone namespaces before re-indexing; reserve it for a dedicated concept index.</w:t>
      </w:r>
    </w:p>
    <w:p>
      <w:pPr>
        <w:pStyle w:val="Heading2"/>
        <w:keepNext/>
      </w:pPr>
      <w:r>
        <w:t>Configuration reference</w:t>
      </w:r>
    </w:p>
    <w:tbl>
      <w:tblPr>
        <w:tblW w:type="auto" w:w="0"/>
        <w:jc w:val="center"/>
        <w:tblLayout w:type="fixed"/>
        <w:tblLook w:firstColumn="1" w:firstRow="1" w:lastColumn="0" w:lastRow="0" w:noHBand="0" w:noVBand="1" w:val="04A0"/>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4997"/>
        <w:gridCol w:w="4997"/>
      </w:tblGrid>
      <w:tr>
        <w:trPr>
          <w:tblHeader w:val="true"/>
        </w:trPr>
        <w:tc>
          <w:tcPr>
            <w:tcW w:type="dxa" w:w="3528"/>
            <w:vAlign w:val="center"/>
            <w:tcMar>
              <w:top w:w="110" w:type="dxa"/>
              <w:start w:w="135" w:type="dxa"/>
              <w:bottom w:w="110" w:type="dxa"/>
              <w:end w:w="135" w:type="dxa"/>
            </w:tcMar>
            <w:shd w:fill="24364B"/>
          </w:tcPr>
          <w:p>
            <w:pPr>
              <w:spacing w:after="0"/>
            </w:pPr>
            <w:r>
              <w:rPr>
                <w:b/>
                <w:color w:val="FFFFFF"/>
                <w:sz w:val="18"/>
              </w:rPr>
              <w:t>Setting</w:t>
            </w:r>
          </w:p>
        </w:tc>
        <w:tc>
          <w:tcPr>
            <w:tcW w:type="dxa" w:w="5976"/>
            <w:vAlign w:val="center"/>
            <w:tcMar>
              <w:top w:w="110" w:type="dxa"/>
              <w:start w:w="135" w:type="dxa"/>
              <w:bottom w:w="110" w:type="dxa"/>
              <w:end w:w="135" w:type="dxa"/>
            </w:tcMar>
            <w:shd w:fill="24364B"/>
          </w:tcPr>
          <w:p>
            <w:pPr>
              <w:spacing w:after="0"/>
            </w:pPr>
            <w:r>
              <w:rPr>
                <w:b/>
                <w:color w:val="FFFFFF"/>
                <w:sz w:val="18"/>
              </w:rPr>
              <w:t>Purpose</w:t>
            </w:r>
          </w:p>
        </w:tc>
      </w:tr>
      <w:tr>
        <w:tc>
          <w:tcPr>
            <w:tcW w:type="dxa" w:w="3528"/>
            <w:vAlign w:val="center"/>
            <w:tcMar>
              <w:top w:w="110" w:type="dxa"/>
              <w:start w:w="135" w:type="dxa"/>
              <w:bottom w:w="110" w:type="dxa"/>
              <w:end w:w="135" w:type="dxa"/>
            </w:tcMar>
          </w:tcPr>
          <w:p>
            <w:pPr>
              <w:spacing w:after="0" w:line="252" w:lineRule="auto"/>
            </w:pPr>
            <w:r>
              <w:rPr>
                <w:sz w:val="17"/>
              </w:rPr>
              <w:t>DATABASE_URL</w:t>
            </w:r>
          </w:p>
        </w:tc>
        <w:tc>
          <w:tcPr>
            <w:tcW w:type="dxa" w:w="5976"/>
            <w:vAlign w:val="center"/>
            <w:tcMar>
              <w:top w:w="110" w:type="dxa"/>
              <w:start w:w="135" w:type="dxa"/>
              <w:bottom w:w="110" w:type="dxa"/>
              <w:end w:w="135" w:type="dxa"/>
            </w:tcMar>
          </w:tcPr>
          <w:p>
            <w:pPr>
              <w:spacing w:after="0" w:line="252" w:lineRule="auto"/>
            </w:pPr>
            <w:r>
              <w:rPr>
                <w:sz w:val="17"/>
              </w:rPr>
              <w:t>Local SQL persistence; default SQLite file is data/issue_triage.db.</w:t>
            </w:r>
          </w:p>
        </w:tc>
      </w:tr>
      <w:tr>
        <w:tc>
          <w:tcPr>
            <w:tcW w:type="dxa" w:w="3528"/>
            <w:vAlign w:val="center"/>
            <w:tcMar>
              <w:top w:w="110" w:type="dxa"/>
              <w:start w:w="135" w:type="dxa"/>
              <w:bottom w:w="110" w:type="dxa"/>
              <w:end w:w="135" w:type="dxa"/>
            </w:tcMar>
            <w:shd w:fill="F5F7F9"/>
          </w:tcPr>
          <w:p>
            <w:pPr>
              <w:spacing w:after="0" w:line="252" w:lineRule="auto"/>
            </w:pPr>
            <w:r>
              <w:rPr>
                <w:sz w:val="17"/>
              </w:rPr>
              <w:t>CHECKPOINT_BACKEND / CHECKPOINT_DATABASE_URL</w:t>
            </w:r>
          </w:p>
        </w:tc>
        <w:tc>
          <w:tcPr>
            <w:tcW w:type="dxa" w:w="5976"/>
            <w:vAlign w:val="center"/>
            <w:tcMar>
              <w:top w:w="110" w:type="dxa"/>
              <w:start w:w="135" w:type="dxa"/>
              <w:bottom w:w="110" w:type="dxa"/>
              <w:end w:w="135" w:type="dxa"/>
            </w:tcMar>
            <w:shd w:fill="F5F7F9"/>
          </w:tcPr>
          <w:p>
            <w:pPr>
              <w:spacing w:after="0" w:line="252" w:lineRule="auto"/>
            </w:pPr>
            <w:r>
              <w:rPr>
                <w:sz w:val="17"/>
              </w:rPr>
              <w:t>Durable LangGraph state; SQLite locally, Postgres for the Compose scaffold.</w:t>
            </w:r>
          </w:p>
        </w:tc>
      </w:tr>
      <w:tr>
        <w:tc>
          <w:tcPr>
            <w:tcW w:type="dxa" w:w="3528"/>
            <w:vAlign w:val="center"/>
            <w:tcMar>
              <w:top w:w="110" w:type="dxa"/>
              <w:start w:w="135" w:type="dxa"/>
              <w:bottom w:w="110" w:type="dxa"/>
              <w:end w:w="135" w:type="dxa"/>
            </w:tcMar>
          </w:tcPr>
          <w:p>
            <w:pPr>
              <w:spacing w:after="0" w:line="252" w:lineRule="auto"/>
            </w:pPr>
            <w:r>
              <w:rPr>
                <w:sz w:val="17"/>
              </w:rPr>
              <w:t>PINECONE_INDEX</w:t>
            </w:r>
          </w:p>
        </w:tc>
        <w:tc>
          <w:tcPr>
            <w:tcW w:type="dxa" w:w="5976"/>
            <w:vAlign w:val="center"/>
            <w:tcMar>
              <w:top w:w="110" w:type="dxa"/>
              <w:start w:w="135" w:type="dxa"/>
              <w:bottom w:w="110" w:type="dxa"/>
              <w:end w:w="135" w:type="dxa"/>
            </w:tcMar>
          </w:tcPr>
          <w:p>
            <w:pPr>
              <w:spacing w:after="0" w:line="252" w:lineRule="auto"/>
            </w:pPr>
            <w:r>
              <w:rPr>
                <w:sz w:val="17"/>
              </w:rPr>
              <w:t>Target vector index; defaults to issue-triage-v1.</w:t>
            </w:r>
          </w:p>
        </w:tc>
      </w:tr>
      <w:tr>
        <w:tc>
          <w:tcPr>
            <w:tcW w:type="dxa" w:w="3528"/>
            <w:vAlign w:val="center"/>
            <w:tcMar>
              <w:top w:w="110" w:type="dxa"/>
              <w:start w:w="135" w:type="dxa"/>
              <w:bottom w:w="110" w:type="dxa"/>
              <w:end w:w="135" w:type="dxa"/>
            </w:tcMar>
            <w:shd w:fill="F5F7F9"/>
          </w:tcPr>
          <w:p>
            <w:pPr>
              <w:spacing w:after="0" w:line="252" w:lineRule="auto"/>
            </w:pPr>
            <w:r>
              <w:rPr>
                <w:sz w:val="17"/>
              </w:rPr>
              <w:t>CHAT_MODEL / EMBEDDING_MODEL</w:t>
            </w:r>
          </w:p>
        </w:tc>
        <w:tc>
          <w:tcPr>
            <w:tcW w:type="dxa" w:w="5976"/>
            <w:vAlign w:val="center"/>
            <w:tcMar>
              <w:top w:w="110" w:type="dxa"/>
              <w:start w:w="135" w:type="dxa"/>
              <w:bottom w:w="110" w:type="dxa"/>
              <w:end w:w="135" w:type="dxa"/>
            </w:tcMar>
            <w:shd w:fill="F5F7F9"/>
          </w:tcPr>
          <w:p>
            <w:pPr>
              <w:spacing w:after="0" w:line="252" w:lineRule="auto"/>
            </w:pPr>
            <w:r>
              <w:rPr>
                <w:sz w:val="17"/>
              </w:rPr>
              <w:t>Model IDs for structured triage and vector embedding.</w:t>
            </w:r>
          </w:p>
        </w:tc>
      </w:tr>
      <w:tr>
        <w:tc>
          <w:tcPr>
            <w:tcW w:type="dxa" w:w="3528"/>
            <w:vAlign w:val="center"/>
            <w:tcMar>
              <w:top w:w="110" w:type="dxa"/>
              <w:start w:w="135" w:type="dxa"/>
              <w:bottom w:w="110" w:type="dxa"/>
              <w:end w:w="135" w:type="dxa"/>
            </w:tcMar>
          </w:tcPr>
          <w:p>
            <w:pPr>
              <w:spacing w:after="0" w:line="252" w:lineRule="auto"/>
            </w:pPr>
            <w:r>
              <w:rPr>
                <w:sz w:val="17"/>
              </w:rPr>
              <w:t>RETRIEVAL_THRESHOLD / PROMPT_VERSION</w:t>
            </w:r>
          </w:p>
        </w:tc>
        <w:tc>
          <w:tcPr>
            <w:tcW w:type="dxa" w:w="5976"/>
            <w:vAlign w:val="center"/>
            <w:tcMar>
              <w:top w:w="110" w:type="dxa"/>
              <w:start w:w="135" w:type="dxa"/>
              <w:bottom w:w="110" w:type="dxa"/>
              <w:end w:w="135" w:type="dxa"/>
            </w:tcMar>
          </w:tcPr>
          <w:p>
            <w:pPr>
              <w:spacing w:after="0" w:line="252" w:lineRule="auto"/>
            </w:pPr>
            <w:r>
              <w:rPr>
                <w:sz w:val="17"/>
              </w:rPr>
              <w:t>Weak-match screening and run trace/version metadata.</w:t>
            </w:r>
          </w:p>
        </w:tc>
      </w:tr>
      <w:tr>
        <w:tc>
          <w:tcPr>
            <w:tcW w:type="dxa" w:w="3528"/>
            <w:vAlign w:val="center"/>
            <w:tcMar>
              <w:top w:w="110" w:type="dxa"/>
              <w:start w:w="135" w:type="dxa"/>
              <w:bottom w:w="110" w:type="dxa"/>
              <w:end w:w="135" w:type="dxa"/>
            </w:tcMar>
            <w:shd w:fill="F5F7F9"/>
          </w:tcPr>
          <w:p>
            <w:pPr>
              <w:spacing w:after="0" w:line="252" w:lineRule="auto"/>
            </w:pPr>
            <w:r>
              <w:rPr>
                <w:sz w:val="17"/>
              </w:rPr>
              <w:t>MEM0_API_KEY</w:t>
            </w:r>
          </w:p>
        </w:tc>
        <w:tc>
          <w:tcPr>
            <w:tcW w:type="dxa" w:w="5976"/>
            <w:vAlign w:val="center"/>
            <w:tcMar>
              <w:top w:w="110" w:type="dxa"/>
              <w:start w:w="135" w:type="dxa"/>
              <w:bottom w:w="110" w:type="dxa"/>
              <w:end w:w="135" w:type="dxa"/>
            </w:tcMar>
            <w:shd w:fill="F5F7F9"/>
          </w:tcPr>
          <w:p>
            <w:pPr>
              <w:spacing w:after="0" w:line="252" w:lineRule="auto"/>
            </w:pPr>
            <w:r>
              <w:rPr>
                <w:sz w:val="17"/>
              </w:rPr>
              <w:t>Optional approved-pattern memory; absent means memory is disabled.</w:t>
            </w:r>
          </w:p>
        </w:tc>
      </w:tr>
    </w:tbl>
    <w:p>
      <w:pPr>
        <w:spacing w:after="20"/>
      </w:pPr>
    </w:p>
    <w:p>
      <w:pPr>
        <w:pStyle w:val="Heading2"/>
        <w:keepNext/>
      </w:pPr>
      <w:r>
        <w:t>Before real-client deployment</w:t>
      </w:r>
    </w:p>
    <w:p>
      <w:pPr>
        <w:pStyle w:val="ListBullet"/>
        <w:spacing w:after="60" w:line="259" w:lineRule="auto"/>
      </w:pPr>
      <w:r>
        <w:t>Implement and verify identity-to-client/audit authorization on every retrieval and record access path.</w:t>
      </w:r>
    </w:p>
    <w:p>
      <w:pPr>
        <w:pStyle w:val="ListBullet"/>
        <w:spacing w:after="60" w:line="259" w:lineRule="auto"/>
      </w:pPr>
      <w:r>
        <w:t>Commit a fully resolved dependency lock and validate supported runtime/provider model combinations.</w:t>
      </w:r>
    </w:p>
    <w:p>
      <w:pPr>
        <w:pStyle w:val="ListBullet"/>
        <w:spacing w:after="60" w:line="259" w:lineRule="auto"/>
      </w:pPr>
      <w:r>
        <w:t>Calibrate retrieval thresholds and severity behavior against auditor-reviewed examples; add repeatable evaluation and monitoring.</w:t>
      </w:r>
    </w:p>
    <w:p>
      <w:pPr>
        <w:pStyle w:val="ListBullet"/>
        <w:spacing w:after="60" w:line="259" w:lineRule="auto"/>
      </w:pPr>
      <w:r>
        <w:t>Complete security, privacy, retention, backup, recovery, vendor and operational reviews for the deployment environment.</w:t>
      </w:r>
    </w:p>
    <w:p>
      <w:pPr>
        <w:spacing w:before="160" w:after="0"/>
      </w:pPr>
      <w:r>
        <w:rPr>
          <w:b/>
          <w:color w:val="2F7559"/>
        </w:rPr>
        <w:t xml:space="preserve">Project files  </w:t>
      </w:r>
      <w:r>
        <w:t>Product spec: docs/product_spec.md  |  Prompt: docs/system_prompt.md  |  Agent guidance: AGENTS.md  |  App: app.py</w:t>
      </w:r>
    </w:p>
    <w:sectPr w:rsidR="00FC693F" w:rsidRPr="0006063C" w:rsidSect="00034616">
      <w:pgSz w:w="12240" w:h="15840"/>
      <w:pgMar w:top="979" w:right="1123" w:bottom="950"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2D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Triage Assistant Project Document</dc:title>
  <dc:subject>V1 product, architecture, data and operating guide</dc:subject>
  <dc:creator>Issue Triage Assistant Project</dc:creator>
  <cp:keywords>audit, issue triage, RAG, LangChain, LangGraph, Pinecone</cp:keywords>
  <dc:description>generated by python-docx</dc:description>
  <cp:lastModifiedBy/>
  <cp:revision>1</cp:revision>
  <dcterms:created xsi:type="dcterms:W3CDTF">2026-10-28T00:00:00Z</dcterms:created>
  <dcterms:modified xsi:type="dcterms:W3CDTF">2026-10-28T00:00:00Z</dcterms:modified>
  <cp:category/>
</cp:coreProperties>
</file>