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p>
    <w:p>
      <w:pPr>
        <w:spacing w:after="60"/>
        <w:jc w:val="center"/>
      </w:pPr>
      <w:r>
        <w:rPr>
          <w:b/>
          <w:bCs/>
          <w:caps/>
          <w:color w:val="8B1E2F"/>
          <w:sz w:val="22"/>
          <w:szCs w:val="22"/>
        </w:rPr>
        <w:t xml:space="preserve">PATENT SPECIFICATION — DRAFT</w:t>
      </w:r>
    </w:p>
    <w:p>
      <w:pPr>
        <w:spacing w:after="400"/>
        <w:jc w:val="center"/>
      </w:pPr>
      <w:r>
        <w:rPr>
          <w:i/>
          <w:iCs/>
          <w:color w:val="555555"/>
          <w:sz w:val="20"/>
          <w:szCs w:val="20"/>
        </w:rPr>
        <w:t xml:space="preserve">Prepared for Review by a Registered Patent Agent Prior to Filing</w:t>
      </w:r>
    </w:p>
    <w:p>
      <w:pPr>
        <w:spacing w:after="150" w:before="300"/>
        <w:jc w:val="center"/>
      </w:pPr>
      <w:r>
        <w:rPr>
          <w:b/>
          <w:bCs/>
          <w:color w:val="13294B"/>
          <w:sz w:val="34"/>
          <w:szCs w:val="34"/>
        </w:rPr>
        <w:t xml:space="preserve">SYSTEM AND METHOD FOR UNIFIED, FESTIVAL-CONTEXT-AWARE, MULTI-MODAL TRANSPORT AND EVENT-LOGISTICS DISPATCH WITH PROVIDER-AGNOSTIC MAPPING</w:t>
      </w:r>
    </w:p>
    <w:p>
      <w:pPr>
        <w:spacing w:after="5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3294B" w:val="clear"/>
            <w:tcMar>
              <w:top w:type="dxa" w:w="80"/>
              <w:left w:type="dxa" w:w="100"/>
              <w:bottom w:type="dxa" w:w="80"/>
              <w:right w:type="dxa" w:w="100"/>
            </w:tcMar>
            <w:vAlign w:val="center"/>
          </w:tcPr>
          <w:p>
            <w:r>
              <w:rPr>
                <w:b/>
                <w:bCs/>
                <w:color w:val="FFFFFF"/>
                <w:sz w:val="19"/>
                <w:szCs w:val="19"/>
              </w:rPr>
              <w:t xml:space="preserve">Field</w:t>
            </w:r>
          </w:p>
        </w:tc>
        <w:tc>
          <w:tcPr>
            <w:tcW w:type="dxa" w:w="6300"/>
            <w:shd w:fill="13294B" w:val="clear"/>
            <w:tcMar>
              <w:top w:type="dxa" w:w="80"/>
              <w:left w:type="dxa" w:w="100"/>
              <w:bottom w:type="dxa" w:w="80"/>
              <w:right w:type="dxa" w:w="100"/>
            </w:tcMar>
            <w:vAlign w:val="center"/>
          </w:tcPr>
          <w:p>
            <w:r>
              <w:rPr>
                <w:b/>
                <w:bCs/>
                <w:color w:val="FFFFFF"/>
                <w:sz w:val="19"/>
                <w:szCs w:val="19"/>
              </w:rPr>
              <w:t xml:space="preserve">Particulars</w:t>
            </w:r>
          </w:p>
        </w:tc>
      </w:tr>
      <w:tr>
        <w:tc>
          <w:tcPr>
            <w:tcW w:type="dxa" w:w="3000"/>
            <w:tcMar>
              <w:top w:type="dxa" w:w="80"/>
              <w:left w:type="dxa" w:w="100"/>
              <w:bottom w:type="dxa" w:w="80"/>
              <w:right w:type="dxa" w:w="100"/>
            </w:tcMar>
            <w:vAlign w:val="center"/>
          </w:tcPr>
          <w:p>
            <w:r>
              <w:rPr>
                <w:b w:val="false"/>
                <w:bCs w:val="false"/>
                <w:color w:val="1A1A1A"/>
                <w:sz w:val="19"/>
                <w:szCs w:val="19"/>
              </w:rPr>
              <w:t xml:space="preserve">Patent Type</w:t>
            </w:r>
          </w:p>
        </w:tc>
        <w:tc>
          <w:tcPr>
            <w:tcW w:type="dxa" w:w="6300"/>
            <w:tcMar>
              <w:top w:type="dxa" w:w="80"/>
              <w:left w:type="dxa" w:w="100"/>
              <w:bottom w:type="dxa" w:w="80"/>
              <w:right w:type="dxa" w:w="100"/>
            </w:tcMar>
            <w:vAlign w:val="center"/>
          </w:tcPr>
          <w:p>
            <w:r>
              <w:rPr>
                <w:b w:val="false"/>
                <w:bCs w:val="false"/>
                <w:color w:val="1A1A1A"/>
                <w:sz w:val="19"/>
                <w:szCs w:val="19"/>
              </w:rPr>
              <w:t xml:space="preserve">Provisional Specification (Draft) — Complete Specification to follow within 12 months per Section 9, Patents Act, 1970</w:t>
            </w:r>
          </w:p>
        </w:tc>
      </w:tr>
      <w:tr>
        <w:tc>
          <w:tcPr>
            <w:tcW w:type="dxa" w:w="3000"/>
            <w:shd w:fill="F2F2F2" w:val="clear"/>
            <w:tcMar>
              <w:top w:type="dxa" w:w="80"/>
              <w:left w:type="dxa" w:w="100"/>
              <w:bottom w:type="dxa" w:w="80"/>
              <w:right w:type="dxa" w:w="100"/>
            </w:tcMar>
            <w:vAlign w:val="center"/>
          </w:tcPr>
          <w:p>
            <w:r>
              <w:rPr>
                <w:b w:val="false"/>
                <w:bCs w:val="false"/>
                <w:color w:val="1A1A1A"/>
                <w:sz w:val="19"/>
                <w:szCs w:val="19"/>
              </w:rPr>
              <w:t xml:space="preserve">Applicant</w:t>
            </w:r>
          </w:p>
        </w:tc>
        <w:tc>
          <w:tcPr>
            <w:tcW w:type="dxa" w:w="6300"/>
            <w:shd w:fill="F2F2F2" w:val="clear"/>
            <w:tcMar>
              <w:top w:type="dxa" w:w="80"/>
              <w:left w:type="dxa" w:w="100"/>
              <w:bottom w:type="dxa" w:w="80"/>
              <w:right w:type="dxa" w:w="100"/>
            </w:tcMar>
            <w:vAlign w:val="center"/>
          </w:tcPr>
          <w:p>
            <w:r>
              <w:rPr>
                <w:b w:val="false"/>
                <w:bCs w:val="false"/>
                <w:color w:val="1A1A1A"/>
                <w:sz w:val="19"/>
                <w:szCs w:val="19"/>
              </w:rPr>
              <w:t xml:space="preserve">[To be completed by the Inventor — individual applicant, startup entity, or institutional assignee]</w:t>
            </w:r>
          </w:p>
        </w:tc>
      </w:tr>
      <w:tr>
        <w:tc>
          <w:tcPr>
            <w:tcW w:type="dxa" w:w="3000"/>
            <w:tcMar>
              <w:top w:type="dxa" w:w="80"/>
              <w:left w:type="dxa" w:w="100"/>
              <w:bottom w:type="dxa" w:w="80"/>
              <w:right w:type="dxa" w:w="100"/>
            </w:tcMar>
            <w:vAlign w:val="center"/>
          </w:tcPr>
          <w:p>
            <w:r>
              <w:rPr>
                <w:b w:val="false"/>
                <w:bCs w:val="false"/>
                <w:color w:val="1A1A1A"/>
                <w:sz w:val="19"/>
                <w:szCs w:val="19"/>
              </w:rPr>
              <w:t xml:space="preserve">Inventor(s)</w:t>
            </w:r>
          </w:p>
        </w:tc>
        <w:tc>
          <w:tcPr>
            <w:tcW w:type="dxa" w:w="6300"/>
            <w:tcMar>
              <w:top w:type="dxa" w:w="80"/>
              <w:left w:type="dxa" w:w="100"/>
              <w:bottom w:type="dxa" w:w="80"/>
              <w:right w:type="dxa" w:w="100"/>
            </w:tcMar>
            <w:vAlign w:val="center"/>
          </w:tcPr>
          <w:p>
            <w:r>
              <w:rPr>
                <w:b w:val="false"/>
                <w:bCs w:val="false"/>
                <w:color w:val="1A1A1A"/>
                <w:sz w:val="19"/>
                <w:szCs w:val="19"/>
              </w:rPr>
              <w:t xml:space="preserve">Sudhanshu Kumar [To be confirmed by the Inventor — full legal name as it should appear on Form 5]</w:t>
            </w:r>
          </w:p>
        </w:tc>
      </w:tr>
      <w:tr>
        <w:tc>
          <w:tcPr>
            <w:tcW w:type="dxa" w:w="3000"/>
            <w:shd w:fill="F2F2F2" w:val="clear"/>
            <w:tcMar>
              <w:top w:type="dxa" w:w="80"/>
              <w:left w:type="dxa" w:w="100"/>
              <w:bottom w:type="dxa" w:w="80"/>
              <w:right w:type="dxa" w:w="100"/>
            </w:tcMar>
            <w:vAlign w:val="center"/>
          </w:tcPr>
          <w:p>
            <w:r>
              <w:rPr>
                <w:b w:val="false"/>
                <w:bCs w:val="false"/>
                <w:color w:val="1A1A1A"/>
                <w:sz w:val="19"/>
                <w:szCs w:val="19"/>
              </w:rPr>
              <w:t xml:space="preserve">Institution / Organization</w:t>
            </w:r>
          </w:p>
        </w:tc>
        <w:tc>
          <w:tcPr>
            <w:tcW w:type="dxa" w:w="6300"/>
            <w:shd w:fill="F2F2F2" w:val="clear"/>
            <w:tcMar>
              <w:top w:type="dxa" w:w="80"/>
              <w:left w:type="dxa" w:w="100"/>
              <w:bottom w:type="dxa" w:w="80"/>
              <w:right w:type="dxa" w:w="100"/>
            </w:tcMar>
            <w:vAlign w:val="center"/>
          </w:tcPr>
          <w:p>
            <w:r>
              <w:rPr>
                <w:b w:val="false"/>
                <w:bCs w:val="false"/>
                <w:color w:val="1A1A1A"/>
                <w:sz w:val="19"/>
                <w:szCs w:val="19"/>
              </w:rPr>
              <w:t xml:space="preserve">[To be completed by the Inventor — e.g., independent applicant, or Lovely Professional University if filed as an institutional assignment]</w:t>
            </w:r>
          </w:p>
        </w:tc>
      </w:tr>
      <w:tr>
        <w:tc>
          <w:tcPr>
            <w:tcW w:type="dxa" w:w="3000"/>
            <w:tcMar>
              <w:top w:type="dxa" w:w="80"/>
              <w:left w:type="dxa" w:w="100"/>
              <w:bottom w:type="dxa" w:w="80"/>
              <w:right w:type="dxa" w:w="100"/>
            </w:tcMar>
            <w:vAlign w:val="center"/>
          </w:tcPr>
          <w:p>
            <w:r>
              <w:rPr>
                <w:b w:val="false"/>
                <w:bCs w:val="false"/>
                <w:color w:val="1A1A1A"/>
                <w:sz w:val="19"/>
                <w:szCs w:val="19"/>
              </w:rPr>
              <w:t xml:space="preserve">Address for Service</w:t>
            </w:r>
          </w:p>
        </w:tc>
        <w:tc>
          <w:tcPr>
            <w:tcW w:type="dxa" w:w="6300"/>
            <w:tcMar>
              <w:top w:type="dxa" w:w="80"/>
              <w:left w:type="dxa" w:w="100"/>
              <w:bottom w:type="dxa" w:w="80"/>
              <w:right w:type="dxa" w:w="100"/>
            </w:tcMar>
            <w:vAlign w:val="center"/>
          </w:tcPr>
          <w:p>
            <w:r>
              <w:rPr>
                <w:b w:val="false"/>
                <w:bCs w:val="false"/>
                <w:color w:val="1A1A1A"/>
                <w:sz w:val="19"/>
                <w:szCs w:val="19"/>
              </w:rPr>
              <w:t xml:space="preserve">[To be completed by the Inventor]</w:t>
            </w:r>
          </w:p>
        </w:tc>
      </w:tr>
      <w:tr>
        <w:tc>
          <w:tcPr>
            <w:tcW w:type="dxa" w:w="3000"/>
            <w:shd w:fill="F2F2F2" w:val="clear"/>
            <w:tcMar>
              <w:top w:type="dxa" w:w="80"/>
              <w:left w:type="dxa" w:w="100"/>
              <w:bottom w:type="dxa" w:w="80"/>
              <w:right w:type="dxa" w:w="100"/>
            </w:tcMar>
            <w:vAlign w:val="center"/>
          </w:tcPr>
          <w:p>
            <w:r>
              <w:rPr>
                <w:b w:val="false"/>
                <w:bCs w:val="false"/>
                <w:color w:val="1A1A1A"/>
                <w:sz w:val="19"/>
                <w:szCs w:val="19"/>
              </w:rPr>
              <w:t xml:space="preserve">Nationality</w:t>
            </w:r>
          </w:p>
        </w:tc>
        <w:tc>
          <w:tcPr>
            <w:tcW w:type="dxa" w:w="6300"/>
            <w:shd w:fill="F2F2F2" w:val="clear"/>
            <w:tcMar>
              <w:top w:type="dxa" w:w="80"/>
              <w:left w:type="dxa" w:w="100"/>
              <w:bottom w:type="dxa" w:w="80"/>
              <w:right w:type="dxa" w:w="100"/>
            </w:tcMar>
            <w:vAlign w:val="center"/>
          </w:tcPr>
          <w:p>
            <w:r>
              <w:rPr>
                <w:b w:val="false"/>
                <w:bCs w:val="false"/>
                <w:color w:val="1A1A1A"/>
                <w:sz w:val="19"/>
                <w:szCs w:val="19"/>
              </w:rPr>
              <w:t xml:space="preserve">[To be completed by the Inventor]</w:t>
            </w:r>
          </w:p>
        </w:tc>
      </w:tr>
      <w:tr>
        <w:tc>
          <w:tcPr>
            <w:tcW w:type="dxa" w:w="3000"/>
            <w:tcMar>
              <w:top w:type="dxa" w:w="80"/>
              <w:left w:type="dxa" w:w="100"/>
              <w:bottom w:type="dxa" w:w="80"/>
              <w:right w:type="dxa" w:w="100"/>
            </w:tcMar>
            <w:vAlign w:val="center"/>
          </w:tcPr>
          <w:p>
            <w:r>
              <w:rPr>
                <w:b w:val="false"/>
                <w:bCs w:val="false"/>
                <w:color w:val="1A1A1A"/>
                <w:sz w:val="19"/>
                <w:szCs w:val="19"/>
              </w:rPr>
              <w:t xml:space="preserve">Priority Date</w:t>
            </w:r>
          </w:p>
        </w:tc>
        <w:tc>
          <w:tcPr>
            <w:tcW w:type="dxa" w:w="6300"/>
            <w:tcMar>
              <w:top w:type="dxa" w:w="80"/>
              <w:left w:type="dxa" w:w="100"/>
              <w:bottom w:type="dxa" w:w="80"/>
              <w:right w:type="dxa" w:w="100"/>
            </w:tcMar>
            <w:vAlign w:val="center"/>
          </w:tcPr>
          <w:p>
            <w:r>
              <w:rPr>
                <w:b w:val="false"/>
                <w:bCs w:val="false"/>
                <w:color w:val="1A1A1A"/>
                <w:sz w:val="19"/>
                <w:szCs w:val="19"/>
              </w:rPr>
              <w:t xml:space="preserve">[To be completed — date of first filing, if any]</w:t>
            </w:r>
          </w:p>
        </w:tc>
      </w:tr>
      <w:tr>
        <w:tc>
          <w:tcPr>
            <w:tcW w:type="dxa" w:w="3000"/>
            <w:shd w:fill="F2F2F2" w:val="clear"/>
            <w:tcMar>
              <w:top w:type="dxa" w:w="80"/>
              <w:left w:type="dxa" w:w="100"/>
              <w:bottom w:type="dxa" w:w="80"/>
              <w:right w:type="dxa" w:w="100"/>
            </w:tcMar>
            <w:vAlign w:val="center"/>
          </w:tcPr>
          <w:p>
            <w:r>
              <w:rPr>
                <w:b w:val="false"/>
                <w:bCs w:val="false"/>
                <w:color w:val="1A1A1A"/>
                <w:sz w:val="19"/>
                <w:szCs w:val="19"/>
              </w:rPr>
              <w:t xml:space="preserve">Patent Filing Jurisdiction</w:t>
            </w:r>
          </w:p>
        </w:tc>
        <w:tc>
          <w:tcPr>
            <w:tcW w:type="dxa" w:w="6300"/>
            <w:shd w:fill="F2F2F2" w:val="clear"/>
            <w:tcMar>
              <w:top w:type="dxa" w:w="80"/>
              <w:left w:type="dxa" w:w="100"/>
              <w:bottom w:type="dxa" w:w="80"/>
              <w:right w:type="dxa" w:w="100"/>
            </w:tcMar>
            <w:vAlign w:val="center"/>
          </w:tcPr>
          <w:p>
            <w:r>
              <w:rPr>
                <w:b w:val="false"/>
                <w:bCs w:val="false"/>
                <w:color w:val="1A1A1A"/>
                <w:sz w:val="19"/>
                <w:szCs w:val="19"/>
              </w:rPr>
              <w:t xml:space="preserve">Republic of India (Indian Patent Office / CGPDTM)</w:t>
            </w:r>
          </w:p>
        </w:tc>
      </w:tr>
      <w:tr>
        <w:tc>
          <w:tcPr>
            <w:tcW w:type="dxa" w:w="3000"/>
            <w:tcMar>
              <w:top w:type="dxa" w:w="80"/>
              <w:left w:type="dxa" w:w="100"/>
              <w:bottom w:type="dxa" w:w="80"/>
              <w:right w:type="dxa" w:w="100"/>
            </w:tcMar>
            <w:vAlign w:val="center"/>
          </w:tcPr>
          <w:p>
            <w:r>
              <w:rPr>
                <w:b w:val="false"/>
                <w:bCs w:val="false"/>
                <w:color w:val="1A1A1A"/>
                <w:sz w:val="19"/>
                <w:szCs w:val="19"/>
              </w:rPr>
              <w:t xml:space="preserve">Future Filing</w:t>
            </w:r>
          </w:p>
        </w:tc>
        <w:tc>
          <w:tcPr>
            <w:tcW w:type="dxa" w:w="6300"/>
            <w:tcMar>
              <w:top w:type="dxa" w:w="80"/>
              <w:left w:type="dxa" w:w="100"/>
              <w:bottom w:type="dxa" w:w="80"/>
              <w:right w:type="dxa" w:w="100"/>
            </w:tcMar>
            <w:vAlign w:val="center"/>
          </w:tcPr>
          <w:p>
            <w:r>
              <w:rPr>
                <w:b w:val="false"/>
                <w:bCs w:val="false"/>
                <w:color w:val="1A1A1A"/>
                <w:sz w:val="19"/>
                <w:szCs w:val="19"/>
              </w:rPr>
              <w:t xml:space="preserve">[To be completed — PCT / national phase entry to be decided with Patent Agent]</w:t>
            </w:r>
          </w:p>
        </w:tc>
      </w:tr>
      <w:tr>
        <w:tc>
          <w:tcPr>
            <w:tcW w:type="dxa" w:w="3000"/>
            <w:shd w:fill="F2F2F2" w:val="clear"/>
            <w:tcMar>
              <w:top w:type="dxa" w:w="80"/>
              <w:left w:type="dxa" w:w="100"/>
              <w:bottom w:type="dxa" w:w="80"/>
              <w:right w:type="dxa" w:w="100"/>
            </w:tcMar>
            <w:vAlign w:val="center"/>
          </w:tcPr>
          <w:p>
            <w:r>
              <w:rPr>
                <w:b w:val="false"/>
                <w:bCs w:val="false"/>
                <w:color w:val="1A1A1A"/>
                <w:sz w:val="19"/>
                <w:szCs w:val="19"/>
              </w:rPr>
              <w:t xml:space="preserve">Document Version</w:t>
            </w:r>
          </w:p>
        </w:tc>
        <w:tc>
          <w:tcPr>
            <w:tcW w:type="dxa" w:w="6300"/>
            <w:shd w:fill="F2F2F2" w:val="clear"/>
            <w:tcMar>
              <w:top w:type="dxa" w:w="80"/>
              <w:left w:type="dxa" w:w="100"/>
              <w:bottom w:type="dxa" w:w="80"/>
              <w:right w:type="dxa" w:w="100"/>
            </w:tcMar>
            <w:vAlign w:val="center"/>
          </w:tcPr>
          <w:p>
            <w:r>
              <w:rPr>
                <w:b w:val="false"/>
                <w:bCs w:val="false"/>
                <w:color w:val="1A1A1A"/>
                <w:sz w:val="19"/>
                <w:szCs w:val="19"/>
              </w:rPr>
              <w:t xml:space="preserve">0.1 (Draft — Not Filed)</w:t>
            </w:r>
          </w:p>
        </w:tc>
      </w:tr>
      <w:tr>
        <w:tc>
          <w:tcPr>
            <w:tcW w:type="dxa" w:w="3000"/>
            <w:tcMar>
              <w:top w:type="dxa" w:w="80"/>
              <w:left w:type="dxa" w:w="100"/>
              <w:bottom w:type="dxa" w:w="80"/>
              <w:right w:type="dxa" w:w="100"/>
            </w:tcMar>
            <w:vAlign w:val="center"/>
          </w:tcPr>
          <w:p>
            <w:r>
              <w:rPr>
                <w:b w:val="false"/>
                <w:bCs w:val="false"/>
                <w:color w:val="1A1A1A"/>
                <w:sz w:val="19"/>
                <w:szCs w:val="19"/>
              </w:rPr>
              <w:t xml:space="preserve">Date Prepared</w:t>
            </w:r>
          </w:p>
        </w:tc>
        <w:tc>
          <w:tcPr>
            <w:tcW w:type="dxa" w:w="6300"/>
            <w:tcMar>
              <w:top w:type="dxa" w:w="80"/>
              <w:left w:type="dxa" w:w="100"/>
              <w:bottom w:type="dxa" w:w="80"/>
              <w:right w:type="dxa" w:w="100"/>
            </w:tcMar>
            <w:vAlign w:val="center"/>
          </w:tcPr>
          <w:p>
            <w:r>
              <w:rPr>
                <w:b w:val="false"/>
                <w:bCs w:val="false"/>
                <w:color w:val="1A1A1A"/>
                <w:sz w:val="19"/>
                <w:szCs w:val="19"/>
              </w:rPr>
              <w:t xml:space="preserve">August 4, 2026</w:t>
            </w:r>
          </w:p>
        </w:tc>
      </w:tr>
      <w:tr>
        <w:tc>
          <w:tcPr>
            <w:tcW w:type="dxa" w:w="3000"/>
            <w:shd w:fill="F2F2F2" w:val="clear"/>
            <w:tcMar>
              <w:top w:type="dxa" w:w="80"/>
              <w:left w:type="dxa" w:w="100"/>
              <w:bottom w:type="dxa" w:w="80"/>
              <w:right w:type="dxa" w:w="100"/>
            </w:tcMar>
            <w:vAlign w:val="center"/>
          </w:tcPr>
          <w:p>
            <w:r>
              <w:rPr>
                <w:b w:val="false"/>
                <w:bCs w:val="false"/>
                <w:color w:val="1A1A1A"/>
                <w:sz w:val="19"/>
                <w:szCs w:val="19"/>
              </w:rPr>
              <w:t xml:space="preserve">Patent Reference Number</w:t>
            </w:r>
          </w:p>
        </w:tc>
        <w:tc>
          <w:tcPr>
            <w:tcW w:type="dxa" w:w="6300"/>
            <w:shd w:fill="F2F2F2" w:val="clear"/>
            <w:tcMar>
              <w:top w:type="dxa" w:w="80"/>
              <w:left w:type="dxa" w:w="100"/>
              <w:bottom w:type="dxa" w:w="80"/>
              <w:right w:type="dxa" w:w="100"/>
            </w:tcMar>
            <w:vAlign w:val="center"/>
          </w:tcPr>
          <w:p>
            <w:r>
              <w:rPr>
                <w:b w:val="false"/>
                <w:bCs w:val="false"/>
                <w:color w:val="1A1A1A"/>
                <w:sz w:val="19"/>
                <w:szCs w:val="19"/>
              </w:rPr>
              <w:t xml:space="preserve">[To be assigned by Patent Agent / CGPDTM upon filing]</w:t>
            </w:r>
          </w:p>
        </w:tc>
      </w:tr>
      <w:tr>
        <w:tc>
          <w:tcPr>
            <w:tcW w:type="dxa" w:w="3000"/>
            <w:tcMar>
              <w:top w:type="dxa" w:w="80"/>
              <w:left w:type="dxa" w:w="100"/>
              <w:bottom w:type="dxa" w:w="80"/>
              <w:right w:type="dxa" w:w="100"/>
            </w:tcMar>
            <w:vAlign w:val="center"/>
          </w:tcPr>
          <w:p>
            <w:r>
              <w:rPr>
                <w:b w:val="false"/>
                <w:bCs w:val="false"/>
                <w:color w:val="1A1A1A"/>
                <w:sz w:val="19"/>
                <w:szCs w:val="19"/>
              </w:rPr>
              <w:t xml:space="preserve">Patent Agent</w:t>
            </w:r>
          </w:p>
        </w:tc>
        <w:tc>
          <w:tcPr>
            <w:tcW w:type="dxa" w:w="6300"/>
            <w:tcMar>
              <w:top w:type="dxa" w:w="80"/>
              <w:left w:type="dxa" w:w="100"/>
              <w:bottom w:type="dxa" w:w="80"/>
              <w:right w:type="dxa" w:w="100"/>
            </w:tcMar>
            <w:vAlign w:val="center"/>
          </w:tcPr>
          <w:p>
            <w:r>
              <w:rPr>
                <w:b w:val="false"/>
                <w:bCs w:val="false"/>
                <w:color w:val="1A1A1A"/>
                <w:sz w:val="19"/>
                <w:szCs w:val="19"/>
              </w:rPr>
              <w:t xml:space="preserve">[To be completed — name and IN/PA registration number of the registered Patent Agent engaged for filing]</w:t>
            </w:r>
          </w:p>
        </w:tc>
      </w:tr>
    </w:tbl>
    <w:p>
      <w:r>
        <w:br w:type="page"/>
      </w:r>
    </w:p>
    <w:p>
      <w:pPr>
        <w:pStyle w:val="Heading1"/>
        <w:pBdr>
          <w:bottom w:val="single" w:color="8B1E2F" w:sz="12" w:space="4"/>
        </w:pBdr>
        <w:spacing w:after="200" w:before="200"/>
      </w:pPr>
      <w:r>
        <w:rPr>
          <w:b/>
          <w:bCs/>
          <w:color w:val="13294B"/>
          <w:sz w:val="32"/>
          <w:szCs w:val="32"/>
        </w:rPr>
        <w:t xml:space="preserve">Important Notice — Read Before Use</w:t>
      </w:r>
    </w:p>
    <w:p>
      <w:pPr>
        <w:pBdr>
          <w:left w:val="single" w:color="B08D2B" w:sz="18" w:space="8"/>
        </w:pBdr>
        <w:shd w:fill="FFF7E0" w:val="clear"/>
        <w:spacing w:after="160" w:before="80"/>
        <w:ind w:left="200"/>
      </w:pPr>
      <w:r>
        <w:rPr>
          <w:i/>
          <w:iCs/>
          <w:color w:val="5A4400"/>
          <w:sz w:val="20"/>
          <w:szCs w:val="20"/>
        </w:rPr>
        <w:t xml:space="preserve">NOTE: This document is a DRAFT prepared with the assistance of an AI system (Claude, Anthropic) from review of the applicant's source code, a recorded product walkthrough, and publicly available prior-art searches. It is NOT a legal opinion, NOT a filed patent application, and NOT a substitute for advice from a Registered Patent Agent or Patent Attorney. Claude is not a lawyer and this is not legal advice.</w:t>
      </w:r>
    </w:p>
    <w:p>
      <w:pPr>
        <w:pBdr>
          <w:left w:val="single" w:color="B08D2B" w:sz="18" w:space="8"/>
        </w:pBdr>
        <w:shd w:fill="FFF7E0" w:val="clear"/>
        <w:spacing w:after="160" w:before="80"/>
        <w:ind w:left="200"/>
      </w:pPr>
      <w:r>
        <w:rPr>
          <w:i/>
          <w:iCs/>
          <w:color w:val="5A4400"/>
          <w:sz w:val="20"/>
          <w:szCs w:val="20"/>
        </w:rPr>
        <w:t xml:space="preserve">NOTE: The claims in Section 17 are illustrative drafts intended to communicate the applicant's understanding of claim scope. Patent claims are legally operative text that define the enforceable boundary of protection; drafting defects can render a claim invalid, unenforceable, or unintentionally narrow. These claims MUST be reviewed, revised, and finalized by a Registered Patent Agent (enrolled under Section 126 of the Patents Act, 1970) before any filing is made through the IP India e-filing portal (ipindiaonline.gov.in) or otherwise.</w:t>
      </w:r>
    </w:p>
    <w:p>
      <w:pPr>
        <w:pBdr>
          <w:left w:val="single" w:color="B08D2B" w:sz="18" w:space="8"/>
        </w:pBdr>
        <w:shd w:fill="FFF7E0" w:val="clear"/>
        <w:spacing w:after="160" w:before="80"/>
        <w:ind w:left="200"/>
      </w:pPr>
      <w:r>
        <w:rPr>
          <w:i/>
          <w:iCs/>
          <w:color w:val="5A4400"/>
          <w:sz w:val="20"/>
          <w:szCs w:val="20"/>
        </w:rPr>
        <w:t xml:space="preserve">NOTE: The prior-art references cited in Section 5 were located through web searches of public patent databases (Google Patents, Justia Patents) and academic literature, and are believed accurate as of the search date, but have not been verified through a professional, comprehensive patentability/freedom-to-operate search. A formal prior-art search commissioned through the Patent Agent is strongly recommended before filing, as it may surface additional, more directly relevant references not identified here.</w:t>
      </w:r>
    </w:p>
    <w:p>
      <w:pPr>
        <w:pBdr>
          <w:left w:val="single" w:color="B08D2B" w:sz="18" w:space="8"/>
        </w:pBdr>
        <w:shd w:fill="FFF7E0" w:val="clear"/>
        <w:spacing w:after="160" w:before="80"/>
        <w:ind w:left="200"/>
      </w:pPr>
      <w:r>
        <w:rPr>
          <w:i/>
          <w:iCs/>
          <w:color w:val="5A4400"/>
          <w:sz w:val="20"/>
          <w:szCs w:val="20"/>
        </w:rPr>
        <w:t xml:space="preserve">NOTE: This document reports the applicant's prototype as it exists at the time of writing. No field-deployment, production-backend, or third-party-audited performance data exists for this system; statements about capability are based on source-code review and walkthrough inspection, not on measured field performance.</w:t>
      </w:r>
    </w:p>
    <w:p>
      <w:pPr>
        <w:pStyle w:val="Heading2"/>
        <w:spacing w:after="140" w:before="280"/>
      </w:pPr>
      <w:r>
        <w:rPr>
          <w:b/>
          <w:bCs/>
          <w:color w:val="13294B"/>
          <w:sz w:val="26"/>
          <w:szCs w:val="26"/>
        </w:rPr>
        <w:t xml:space="preserve">Suggested Workflow for This Draft</w:t>
      </w:r>
    </w:p>
    <w:p>
      <w:pPr>
        <w:pStyle w:val="ListParagraph"/>
        <w:numPr>
          <w:ilvl w:val="0"/>
          <w:numId w:val="1"/>
        </w:numPr>
        <w:spacing w:after="90"/>
      </w:pPr>
      <w:r>
        <w:rPr>
          <w:sz w:val="21"/>
          <w:szCs w:val="21"/>
        </w:rPr>
        <w:t xml:space="preserve">1. Applicant reviews and corrects all bracketed [To be completed by the Inventor] placeholders.</w:t>
      </w:r>
    </w:p>
    <w:p>
      <w:pPr>
        <w:pStyle w:val="ListParagraph"/>
        <w:numPr>
          <w:ilvl w:val="0"/>
          <w:numId w:val="1"/>
        </w:numPr>
        <w:spacing w:after="90"/>
      </w:pPr>
      <w:r>
        <w:rPr>
          <w:sz w:val="21"/>
          <w:szCs w:val="21"/>
        </w:rPr>
        <w:t xml:space="preserve">2. Applicant engages a Registered Patent Agent.</w:t>
      </w:r>
    </w:p>
    <w:p>
      <w:pPr>
        <w:pStyle w:val="ListParagraph"/>
        <w:numPr>
          <w:ilvl w:val="0"/>
          <w:numId w:val="1"/>
        </w:numPr>
        <w:spacing w:after="90"/>
      </w:pPr>
      <w:r>
        <w:rPr>
          <w:sz w:val="21"/>
          <w:szCs w:val="21"/>
        </w:rPr>
        <w:t xml:space="preserve">3. Patent Agent commissions or conducts a formal patentability / prior-art search.</w:t>
      </w:r>
    </w:p>
    <w:p>
      <w:pPr>
        <w:pStyle w:val="ListParagraph"/>
        <w:numPr>
          <w:ilvl w:val="0"/>
          <w:numId w:val="1"/>
        </w:numPr>
        <w:spacing w:after="90"/>
      </w:pPr>
      <w:r>
        <w:rPr>
          <w:sz w:val="21"/>
          <w:szCs w:val="21"/>
        </w:rPr>
        <w:t xml:space="preserve">4. Patent Agent revises the Detailed Description and, in particular, the Claims (Section 17) in light of that search and current CGPDTM examination practice.</w:t>
      </w:r>
    </w:p>
    <w:p>
      <w:pPr>
        <w:pStyle w:val="ListParagraph"/>
        <w:numPr>
          <w:ilvl w:val="0"/>
          <w:numId w:val="1"/>
        </w:numPr>
        <w:spacing w:after="90"/>
      </w:pPr>
      <w:r>
        <w:rPr>
          <w:sz w:val="21"/>
          <w:szCs w:val="21"/>
        </w:rPr>
        <w:t xml:space="preserve">5. Applicant and Patent Agent jointly decide provisional vs. complete specification strategy (Section 21) and execute Form 1 / Form 2 / Form 5 / Form 26 accordingly.</w:t>
      </w:r>
    </w:p>
    <w:p>
      <w:r>
        <w:br w:type="page"/>
      </w:r>
    </w:p>
    <w:p>
      <w:pPr>
        <w:pStyle w:val="Heading1"/>
        <w:pBdr>
          <w:bottom w:val="single" w:color="8B1E2F" w:sz="12" w:space="4"/>
        </w:pBdr>
        <w:spacing w:after="200" w:before="200"/>
      </w:pPr>
      <w:r>
        <w:rPr>
          <w:b/>
          <w:bCs/>
          <w:color w:val="13294B"/>
          <w:sz w:val="32"/>
          <w:szCs w:val="32"/>
        </w:rPr>
        <w:t xml:space="preserve">Table of Contents</w:t>
      </w:r>
    </w:p>
    <w:p>
      <w:pPr>
        <w:spacing w:after="160" w:line="300"/>
        <w:jc w:val="both"/>
      </w:pPr>
      <w:r>
        <w:rPr>
          <w:b w:val="false"/>
          <w:bCs w:val="false"/>
          <w:i/>
          <w:iCs/>
          <w:color w:val="1A1A1A"/>
          <w:sz w:val="21"/>
          <w:szCs w:val="21"/>
        </w:rPr>
        <w:t xml:space="preserve">Right-click and select "Update Field" after opening in Microsoft Word if page numbers do not display.</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pBdr>
          <w:bottom w:val="single" w:color="8B1E2F" w:sz="12" w:space="4"/>
        </w:pBdr>
        <w:spacing w:after="200" w:before="200"/>
      </w:pPr>
      <w:r>
        <w:rPr>
          <w:b/>
          <w:bCs/>
          <w:color w:val="13294B"/>
          <w:sz w:val="32"/>
          <w:szCs w:val="32"/>
        </w:rPr>
        <w:t xml:space="preserve">2. Title of the Invention</w:t>
      </w:r>
    </w:p>
    <w:p>
      <w:pPr>
        <w:spacing w:after="160" w:line="300"/>
        <w:jc w:val="both"/>
      </w:pPr>
      <w:r>
        <w:rPr>
          <w:b w:val="false"/>
          <w:bCs w:val="false"/>
          <w:i w:val="false"/>
          <w:iCs w:val="false"/>
          <w:color w:val="1A1A1A"/>
          <w:sz w:val="21"/>
          <w:szCs w:val="21"/>
        </w:rPr>
        <w:t xml:space="preserve">SYSTEM AND METHOD FOR UNIFIED, FESTIVAL-CONTEXT-AWARE, MULTI-MODAL TRANSPORT AND EVENT-LOGISTICS DISPATCH WITH PROVIDER-AGNOSTIC MAPPING</w:t>
      </w:r>
    </w:p>
    <w:p>
      <w:pPr>
        <w:pBdr>
          <w:left w:val="single" w:color="B08D2B" w:sz="18" w:space="8"/>
        </w:pBdr>
        <w:shd w:fill="FFF7E0" w:val="clear"/>
        <w:spacing w:after="160" w:before="80"/>
        <w:ind w:left="200"/>
      </w:pPr>
      <w:r>
        <w:rPr>
          <w:i/>
          <w:iCs/>
          <w:color w:val="5A4400"/>
          <w:sz w:val="20"/>
          <w:szCs w:val="20"/>
        </w:rPr>
        <w:t xml:space="preserve">NOTE: Patent titles are conventionally kept concise and technically descriptive, without marketing language, product names ("SafarSetu"), or unnecessarily broad terms. The Patent Agent may further shorten or adjust this title during drafting to align with CGPDTM conventions and to best support the final claim scope.</w:t>
      </w:r>
    </w:p>
    <w:p>
      <w:pPr>
        <w:pStyle w:val="Heading1"/>
        <w:pageBreakBefore/>
        <w:pBdr>
          <w:bottom w:val="single" w:color="8B1E2F" w:sz="12" w:space="4"/>
        </w:pBdr>
        <w:spacing w:after="200" w:before="200"/>
      </w:pPr>
      <w:r>
        <w:rPr>
          <w:b/>
          <w:bCs/>
          <w:color w:val="13294B"/>
          <w:sz w:val="32"/>
          <w:szCs w:val="32"/>
        </w:rPr>
        <w:t xml:space="preserve">3. Field of the Invention</w:t>
      </w:r>
    </w:p>
    <w:p>
      <w:pPr>
        <w:pStyle w:val="Heading2"/>
        <w:spacing w:after="140" w:before="280"/>
      </w:pPr>
      <w:r>
        <w:rPr>
          <w:b/>
          <w:bCs/>
          <w:color w:val="13294B"/>
          <w:sz w:val="26"/>
          <w:szCs w:val="26"/>
        </w:rPr>
        <w:t xml:space="preserve">Primary Field</w:t>
      </w:r>
    </w:p>
    <w:p>
      <w:pPr>
        <w:spacing w:after="160" w:line="300"/>
        <w:jc w:val="both"/>
      </w:pPr>
      <w:r>
        <w:rPr>
          <w:b w:val="false"/>
          <w:bCs w:val="false"/>
          <w:i w:val="false"/>
          <w:iCs w:val="false"/>
          <w:color w:val="1A1A1A"/>
          <w:sz w:val="21"/>
          <w:szCs w:val="21"/>
        </w:rPr>
        <w:t xml:space="preserve">The present invention relates to computer-implemented systems and methods for location-based dispatch of transportation and logistics services, and more particularly to a software architecture that unifies passenger transport, goods transport, and event-linked transport booking under a single geofenced dispatch and fare-computation pipeline.</w:t>
      </w:r>
    </w:p>
    <w:p>
      <w:pPr>
        <w:pStyle w:val="Heading2"/>
        <w:spacing w:after="140" w:before="280"/>
      </w:pPr>
      <w:r>
        <w:rPr>
          <w:b/>
          <w:bCs/>
          <w:color w:val="13294B"/>
          <w:sz w:val="26"/>
          <w:szCs w:val="26"/>
        </w:rPr>
        <w:t xml:space="preserve">Secondary Field</w:t>
      </w:r>
    </w:p>
    <w:p>
      <w:pPr>
        <w:spacing w:after="160" w:line="300"/>
        <w:jc w:val="both"/>
      </w:pPr>
      <w:r>
        <w:rPr>
          <w:b w:val="false"/>
          <w:bCs w:val="false"/>
          <w:i w:val="false"/>
          <w:iCs w:val="false"/>
          <w:color w:val="1A1A1A"/>
          <w:sz w:val="21"/>
          <w:szCs w:val="21"/>
        </w:rPr>
        <w:t xml:space="preserve">The invention further relates to (a) methods for provider-agnostic digital mapping and route-geometry computation in mobile and web applications, permitting keyless operation with an optional upgrade path to a commercial mapping service; (b) methods for context-driven, multi-locale reconfiguration of application content and service offerings; and (c) methods for integrating event-transport booking with a vendor-services marketplace and event-budget management within a single data record.</w:t>
      </w:r>
    </w:p>
    <w:p>
      <w:pPr>
        <w:pStyle w:val="Heading2"/>
        <w:spacing w:after="140" w:before="280"/>
      </w:pPr>
      <w:r>
        <w:rPr>
          <w:b/>
          <w:bCs/>
          <w:color w:val="13294B"/>
          <w:sz w:val="26"/>
          <w:szCs w:val="26"/>
        </w:rPr>
        <w:t xml:space="preserve">Industrial Sector</w:t>
      </w:r>
    </w:p>
    <w:p>
      <w:pPr>
        <w:spacing w:after="160" w:line="300"/>
        <w:jc w:val="both"/>
      </w:pPr>
      <w:r>
        <w:rPr>
          <w:b w:val="false"/>
          <w:bCs w:val="false"/>
          <w:i w:val="false"/>
          <w:iCs w:val="false"/>
          <w:color w:val="1A1A1A"/>
          <w:sz w:val="21"/>
          <w:szCs w:val="21"/>
        </w:rPr>
        <w:t xml:space="preserve">Information technology; software services; transportation and logistics technology; mobile application development; e-commerce and services marketplaces.</w:t>
      </w:r>
    </w:p>
    <w:p>
      <w:pPr>
        <w:pStyle w:val="Heading2"/>
        <w:spacing w:after="140" w:before="280"/>
      </w:pPr>
      <w:r>
        <w:rPr>
          <w:b/>
          <w:bCs/>
          <w:color w:val="13294B"/>
          <w:sz w:val="26"/>
          <w:szCs w:val="26"/>
        </w:rPr>
        <w:t xml:space="preserve">Application Areas</w:t>
      </w:r>
    </w:p>
    <w:p>
      <w:pPr>
        <w:pStyle w:val="ListParagraph"/>
        <w:numPr>
          <w:ilvl w:val="0"/>
          <w:numId w:val="1"/>
        </w:numPr>
        <w:spacing w:after="90"/>
      </w:pPr>
      <w:r>
        <w:rPr>
          <w:sz w:val="21"/>
          <w:szCs w:val="21"/>
        </w:rPr>
        <w:t xml:space="preserve">Regional and intercity passenger ride-hailing</w:t>
      </w:r>
    </w:p>
    <w:p>
      <w:pPr>
        <w:pStyle w:val="ListParagraph"/>
        <w:numPr>
          <w:ilvl w:val="0"/>
          <w:numId w:val="1"/>
        </w:numPr>
        <w:spacing w:after="90"/>
      </w:pPr>
      <w:r>
        <w:rPr>
          <w:sz w:val="21"/>
          <w:szCs w:val="21"/>
        </w:rPr>
        <w:t xml:space="preserve">Goods and cargo transport dispatch</w:t>
      </w:r>
    </w:p>
    <w:p>
      <w:pPr>
        <w:pStyle w:val="ListParagraph"/>
        <w:numPr>
          <w:ilvl w:val="0"/>
          <w:numId w:val="1"/>
        </w:numPr>
        <w:spacing w:after="90"/>
      </w:pPr>
      <w:r>
        <w:rPr>
          <w:sz w:val="21"/>
          <w:szCs w:val="21"/>
        </w:rPr>
        <w:t xml:space="preserve">Pilgrimage, tourism, and fixed-route package travel booking</w:t>
      </w:r>
    </w:p>
    <w:p>
      <w:pPr>
        <w:pStyle w:val="ListParagraph"/>
        <w:numPr>
          <w:ilvl w:val="0"/>
          <w:numId w:val="1"/>
        </w:numPr>
        <w:spacing w:after="90"/>
      </w:pPr>
      <w:r>
        <w:rPr>
          <w:sz w:val="21"/>
          <w:szCs w:val="21"/>
        </w:rPr>
        <w:t xml:space="preserve">Event and wedding-logistics transport coordination</w:t>
      </w:r>
    </w:p>
    <w:p>
      <w:pPr>
        <w:pStyle w:val="ListParagraph"/>
        <w:numPr>
          <w:ilvl w:val="0"/>
          <w:numId w:val="1"/>
        </w:numPr>
        <w:spacing w:after="90"/>
      </w:pPr>
      <w:r>
        <w:rPr>
          <w:sz w:val="21"/>
          <w:szCs w:val="21"/>
        </w:rPr>
        <w:t xml:space="preserve">Event-services (vendor) marketplace platforms</w:t>
      </w:r>
    </w:p>
    <w:p>
      <w:pPr>
        <w:pStyle w:val="ListParagraph"/>
        <w:numPr>
          <w:ilvl w:val="0"/>
          <w:numId w:val="1"/>
        </w:numPr>
        <w:spacing w:after="90"/>
      </w:pPr>
      <w:r>
        <w:rPr>
          <w:sz w:val="21"/>
          <w:szCs w:val="21"/>
        </w:rPr>
        <w:t xml:space="preserve">Multilingual and regionally localized mobile software</w:t>
      </w:r>
    </w:p>
    <w:p>
      <w:pPr>
        <w:pStyle w:val="Heading1"/>
        <w:pageBreakBefore/>
        <w:pBdr>
          <w:bottom w:val="single" w:color="8B1E2F" w:sz="12" w:space="4"/>
        </w:pBdr>
        <w:spacing w:after="200" w:before="200"/>
      </w:pPr>
      <w:r>
        <w:rPr>
          <w:b/>
          <w:bCs/>
          <w:color w:val="13294B"/>
          <w:sz w:val="32"/>
          <w:szCs w:val="32"/>
        </w:rPr>
        <w:t xml:space="preserve">4. Background of the Invention</w:t>
      </w:r>
    </w:p>
    <w:p>
      <w:pPr>
        <w:pStyle w:val="Heading2"/>
        <w:spacing w:after="140" w:before="280"/>
      </w:pPr>
      <w:r>
        <w:rPr>
          <w:b/>
          <w:bCs/>
          <w:color w:val="13294B"/>
          <w:sz w:val="26"/>
          <w:szCs w:val="26"/>
        </w:rPr>
        <w:t xml:space="preserve">Current Technologies</w:t>
      </w:r>
    </w:p>
    <w:p>
      <w:pPr>
        <w:spacing w:after="160" w:line="300"/>
        <w:jc w:val="both"/>
      </w:pPr>
      <w:r>
        <w:rPr>
          <w:b w:val="false"/>
          <w:bCs w:val="false"/>
          <w:i w:val="false"/>
          <w:iCs w:val="false"/>
          <w:color w:val="1A1A1A"/>
          <w:sz w:val="21"/>
          <w:szCs w:val="21"/>
        </w:rPr>
        <w:t xml:space="preserve">Ride-hailing and on-demand transportation software platforms are well established, and the underlying dispatch, matching, and dynamic-pricing techniques used by such platforms have been the subject of extensive commercial development and patenting activity (see Section 5, Prior Art). Such platforms typically operate a single transportation modality — most commonly point-to-point passenger transport — within a single mobile application, backed by a commercial mapping and geolocation application programming interface (API) supplied by a third-party provider.</w:t>
      </w:r>
    </w:p>
    <w:p>
      <w:pPr>
        <w:pStyle w:val="Heading2"/>
        <w:spacing w:after="140" w:before="280"/>
      </w:pPr>
      <w:r>
        <w:rPr>
          <w:b/>
          <w:bCs/>
          <w:color w:val="13294B"/>
          <w:sz w:val="26"/>
          <w:szCs w:val="26"/>
        </w:rPr>
        <w:t xml:space="preserve">Industry Overview</w:t>
      </w:r>
    </w:p>
    <w:p>
      <w:pPr>
        <w:spacing w:after="160" w:line="300"/>
        <w:jc w:val="both"/>
      </w:pPr>
      <w:r>
        <w:rPr>
          <w:b w:val="false"/>
          <w:bCs w:val="false"/>
          <w:i w:val="false"/>
          <w:iCs w:val="false"/>
          <w:color w:val="1A1A1A"/>
          <w:sz w:val="21"/>
          <w:szCs w:val="21"/>
        </w:rPr>
        <w:t xml:space="preserve">Separately, on-demand goods/parcel transport platforms, fixed-route package/tour-booking platforms, and event-services (vendor) marketplace platforms — including platforms specifically directed to wedding vendor discovery and booking — exist as further, largely independent categories of software product, each typically operated as a distinct application by a distinct commercial entity, with independent user accounts, independent payment handling, and independent vehicle or vendor inventories.</w:t>
      </w:r>
    </w:p>
    <w:p>
      <w:pPr>
        <w:pStyle w:val="Heading2"/>
        <w:spacing w:after="140" w:before="280"/>
      </w:pPr>
      <w:r>
        <w:rPr>
          <w:b/>
          <w:bCs/>
          <w:color w:val="13294B"/>
          <w:sz w:val="26"/>
          <w:szCs w:val="26"/>
        </w:rPr>
        <w:t xml:space="preserve">Existing Solutions and Their Technical Limitations</w:t>
      </w:r>
    </w:p>
    <w:p>
      <w:pPr>
        <w:pStyle w:val="ListParagraph"/>
        <w:numPr>
          <w:ilvl w:val="0"/>
          <w:numId w:val="1"/>
        </w:numPr>
        <w:spacing w:after="90"/>
      </w:pPr>
      <w:r>
        <w:rPr>
          <w:sz w:val="21"/>
          <w:szCs w:val="21"/>
        </w:rPr>
        <w:t xml:space="preserve">Application fragmentation: a user requiring passenger transport, goods transport, and event-related transport must install, register with, and separately operate multiple distinct applications, with no shared fare logic, vehicle inventory, or booking history between them.</w:t>
      </w:r>
    </w:p>
    <w:p>
      <w:pPr>
        <w:pStyle w:val="ListParagraph"/>
        <w:numPr>
          <w:ilvl w:val="0"/>
          <w:numId w:val="1"/>
        </w:numPr>
        <w:spacing w:after="90"/>
      </w:pPr>
      <w:r>
        <w:rPr>
          <w:sz w:val="21"/>
          <w:szCs w:val="21"/>
        </w:rPr>
        <w:t xml:space="preserve">Mapping-provider dependency: existing dispatch architectures are typically built around continuous access to a single, commercially licensed mapping/geolocation API, creating a recurring, usage-proportional operating cost and a single point of failure in the event of credential misconfiguration, quota exhaustion, or provider service interruption, without a documented, architecturally integrated fallback mode.</w:t>
      </w:r>
    </w:p>
    <w:p>
      <w:pPr>
        <w:pStyle w:val="ListParagraph"/>
        <w:numPr>
          <w:ilvl w:val="0"/>
          <w:numId w:val="1"/>
        </w:numPr>
        <w:spacing w:after="90"/>
      </w:pPr>
      <w:r>
        <w:rPr>
          <w:sz w:val="21"/>
          <w:szCs w:val="21"/>
        </w:rPr>
        <w:t xml:space="preserve">Limited language localization: the interface language coverage of mainstream transportation platforms is typically limited to a small number of widely spoken national or international languages, excluding numerous regional languages and dialects with substantial speaker populations.</w:t>
      </w:r>
    </w:p>
    <w:p>
      <w:pPr>
        <w:pStyle w:val="ListParagraph"/>
        <w:numPr>
          <w:ilvl w:val="0"/>
          <w:numId w:val="1"/>
        </w:numPr>
        <w:spacing w:after="90"/>
      </w:pPr>
      <w:r>
        <w:rPr>
          <w:sz w:val="21"/>
          <w:szCs w:val="21"/>
        </w:rPr>
        <w:t xml:space="preserve">Absence of context-linked service reconfiguration: existing platforms generally require independent, manual configuration of promotional content, active service offerings, and localized text for time-limited regional events (such as religious festivals), rather than a single, coupled reconfiguration mechanism.</w:t>
      </w:r>
    </w:p>
    <w:p>
      <w:pPr>
        <w:pStyle w:val="ListParagraph"/>
        <w:numPr>
          <w:ilvl w:val="0"/>
          <w:numId w:val="1"/>
        </w:numPr>
        <w:spacing w:after="90"/>
      </w:pPr>
      <w:r>
        <w:rPr>
          <w:sz w:val="21"/>
          <w:szCs w:val="21"/>
        </w:rPr>
        <w:t xml:space="preserve">Disjointed event-transport and event-vendor booking: existing wedding/event-vendor marketplace platforms (see Section 5) are not integrated with multi-stop event-transport booking, and existing multi-modal transport platforms (see Section 5) are not integrated with a vendor-services marketplace, budget tracker, guest manager, or ritual/task checklist tied to the same event record.</w:t>
      </w:r>
    </w:p>
    <w:p>
      <w:pPr>
        <w:pStyle w:val="Heading2"/>
        <w:spacing w:after="140" w:before="280"/>
      </w:pPr>
      <w:r>
        <w:rPr>
          <w:b/>
          <w:bCs/>
          <w:color w:val="13294B"/>
          <w:sz w:val="26"/>
          <w:szCs w:val="26"/>
        </w:rPr>
        <w:t xml:space="preserve">Need for the Present Invention</w:t>
      </w:r>
    </w:p>
    <w:p>
      <w:pPr>
        <w:spacing w:after="160" w:line="300"/>
        <w:jc w:val="both"/>
      </w:pPr>
      <w:r>
        <w:rPr>
          <w:b w:val="false"/>
          <w:bCs w:val="false"/>
          <w:i w:val="false"/>
          <w:iCs w:val="false"/>
          <w:color w:val="1A1A1A"/>
          <w:sz w:val="21"/>
          <w:szCs w:val="21"/>
        </w:rPr>
        <w:t xml:space="preserve">There exists an unmet technical need for a system that (i) implements passenger transport, goods transport, and event-linked transport as instances of a single, shared, geofenced dispatch and fare-computation pipeline rather than as independent applications; (ii) is capable of baseline operation without a continuously available, paid commercial mapping API, while remaining upgradable to one without modification of dispatch or geofencing logic; (iii) supports a plurality of regional languages, including low-resource regional dialects, applied uniformly across static and dynamically generated content; (iv) provides a single mechanism for coupling promotional content, active service offerings, and localized text to a configurable calendar of regional festival/seasonal contexts; and (v) integrates multi-stop event-transport booking with an event-vendor marketplace, a budget tracker, a guest manager, and a ritual/task checklist within a single, shared event data record. The present invention addresses each of these needs.</w:t>
      </w:r>
    </w:p>
    <w:p>
      <w:pPr>
        <w:pStyle w:val="Heading1"/>
        <w:pageBreakBefore/>
        <w:pBdr>
          <w:bottom w:val="single" w:color="8B1E2F" w:sz="12" w:space="4"/>
        </w:pBdr>
        <w:spacing w:after="200" w:before="200"/>
      </w:pPr>
      <w:r>
        <w:rPr>
          <w:b/>
          <w:bCs/>
          <w:color w:val="13294B"/>
          <w:sz w:val="32"/>
          <w:szCs w:val="32"/>
        </w:rPr>
        <w:t xml:space="preserve">5. Prior Art</w:t>
      </w:r>
    </w:p>
    <w:p>
      <w:pPr>
        <w:spacing w:after="160" w:line="300"/>
        <w:jc w:val="both"/>
      </w:pPr>
      <w:r>
        <w:rPr>
          <w:b w:val="false"/>
          <w:bCs w:val="false"/>
          <w:i w:val="false"/>
          <w:iCs w:val="false"/>
          <w:color w:val="1A1A1A"/>
          <w:sz w:val="21"/>
          <w:szCs w:val="21"/>
        </w:rPr>
        <w:t xml:space="preserve">The following prior art was identified through searches of public patent databases (Google Patents, Justia Patents) and academic literature. It is presented to support the novelty and inventive-step analysis in Section 22 and should be supplemented by a formal, professional patentability search commissioned through the Patent Agent prior to filing.</w:t>
      </w:r>
    </w:p>
    <w:p>
      <w:pPr>
        <w:pStyle w:val="Heading2"/>
        <w:spacing w:after="140" w:before="280"/>
      </w:pPr>
      <w:r>
        <w:rPr>
          <w:b/>
          <w:bCs/>
          <w:color w:val="13294B"/>
          <w:sz w:val="26"/>
          <w:szCs w:val="26"/>
        </w:rPr>
        <w:t xml:space="preserve">5.1 Patent Literature</w:t>
      </w:r>
    </w:p>
    <w:p>
      <w:pPr>
        <w:pStyle w:val="Heading3"/>
        <w:spacing w:after="100" w:before="200"/>
      </w:pPr>
      <w:r>
        <w:rPr>
          <w:b/>
          <w:bCs/>
          <w:color w:val="8B1E2F"/>
          <w:sz w:val="22"/>
          <w:szCs w:val="22"/>
        </w:rPr>
        <w:t xml:space="preserve">PA-1: AU2020361447B2 — "Multi-modal transportation system"</w:t>
      </w:r>
    </w:p>
    <w:p>
      <w:pPr>
        <w:spacing w:after="160" w:line="300"/>
        <w:jc w:val="both"/>
      </w:pPr>
      <w:r>
        <w:rPr>
          <w:b w:val="false"/>
          <w:bCs w:val="false"/>
          <w:i w:val="false"/>
          <w:iCs w:val="false"/>
          <w:color w:val="1A1A1A"/>
          <w:sz w:val="21"/>
          <w:szCs w:val="21"/>
        </w:rPr>
        <w:t xml:space="preserve">Discloses a system for determining a route between a starting and ending location that includes a rideable modality and a transit modality, and for displaying route indicators and directions. Directed to combining a ride-hailing modality with public-transit modality within a single trip-planning interface.</w:t>
      </w:r>
    </w:p>
    <w:p>
      <w:pPr>
        <w:pStyle w:val="Heading3"/>
        <w:spacing w:after="100" w:before="200"/>
      </w:pPr>
      <w:r>
        <w:rPr>
          <w:b/>
          <w:bCs/>
          <w:color w:val="8B1E2F"/>
          <w:sz w:val="22"/>
          <w:szCs w:val="22"/>
        </w:rPr>
        <w:t xml:space="preserve">PA-2: US 11,455,578 B2 — "System and method for ride order dispatching and vehicle repositioning" (issued Sept. 27, 2022)</w:t>
      </w:r>
    </w:p>
    <w:p>
      <w:pPr>
        <w:spacing w:after="160" w:line="300"/>
        <w:jc w:val="both"/>
      </w:pPr>
      <w:r>
        <w:rPr>
          <w:b w:val="false"/>
          <w:bCs w:val="false"/>
          <w:i w:val="false"/>
          <w:iCs w:val="false"/>
          <w:color w:val="1A1A1A"/>
          <w:sz w:val="21"/>
          <w:szCs w:val="21"/>
        </w:rPr>
        <w:t xml:space="preserve">Discloses a vehicle-dispatch platform in which transportation requests, comprising a pickup location and destination, are relayed to drivers based on proximity and related factors, with provision for vehicle repositioning.</w:t>
      </w:r>
    </w:p>
    <w:p>
      <w:pPr>
        <w:pStyle w:val="Heading3"/>
        <w:spacing w:after="100" w:before="200"/>
      </w:pPr>
      <w:r>
        <w:rPr>
          <w:b/>
          <w:bCs/>
          <w:color w:val="8B1E2F"/>
          <w:sz w:val="22"/>
          <w:szCs w:val="22"/>
        </w:rPr>
        <w:t xml:space="preserve">PA-3: US 10,837,786 — "Multi-modal transportation service planning and fulfillment"</w:t>
      </w:r>
    </w:p>
    <w:p>
      <w:pPr>
        <w:spacing w:after="160" w:line="300"/>
        <w:jc w:val="both"/>
      </w:pPr>
      <w:r>
        <w:rPr>
          <w:b w:val="false"/>
          <w:bCs w:val="false"/>
          <w:i w:val="false"/>
          <w:iCs w:val="false"/>
          <w:color w:val="1A1A1A"/>
          <w:sz w:val="21"/>
          <w:szCs w:val="21"/>
        </w:rPr>
        <w:t xml:space="preserve">Discloses systems and methods for real-time planning and fulfillment of multi-modal transportation services via a multi-modal ride-sharing network, addressing transport requests that may involve more than one transportation modality.</w:t>
      </w:r>
    </w:p>
    <w:p>
      <w:pPr>
        <w:pStyle w:val="Heading3"/>
        <w:spacing w:after="100" w:before="200"/>
      </w:pPr>
      <w:r>
        <w:rPr>
          <w:b/>
          <w:bCs/>
          <w:color w:val="8B1E2F"/>
          <w:sz w:val="22"/>
          <w:szCs w:val="22"/>
        </w:rPr>
        <w:t xml:space="preserve">PA-4: US 11,475,412 B2 — "Systems and methods for facilitating a multi-modal transportation service"</w:t>
      </w:r>
    </w:p>
    <w:p>
      <w:pPr>
        <w:spacing w:after="160" w:line="300"/>
        <w:jc w:val="both"/>
      </w:pPr>
      <w:r>
        <w:rPr>
          <w:b w:val="false"/>
          <w:bCs w:val="false"/>
          <w:i w:val="false"/>
          <w:iCs w:val="false"/>
          <w:color w:val="1A1A1A"/>
          <w:sz w:val="21"/>
          <w:szCs w:val="21"/>
        </w:rPr>
        <w:t xml:space="preserve">Discloses facilitating state changes at a plurality of devices involved in a multi-modal transportation service, noting that certain prior services are limited to a single modality (e.g., cars, bikes, or scooters).</w:t>
      </w:r>
    </w:p>
    <w:p>
      <w:pPr>
        <w:pStyle w:val="Heading3"/>
        <w:spacing w:after="100" w:before="200"/>
      </w:pPr>
      <w:r>
        <w:rPr>
          <w:b/>
          <w:bCs/>
          <w:color w:val="8B1E2F"/>
          <w:sz w:val="22"/>
          <w:szCs w:val="22"/>
        </w:rPr>
        <w:t xml:space="preserve">PA-5: US 2017/0185087 A1 — "Vehicle dispatching method and system"</w:t>
      </w:r>
    </w:p>
    <w:p>
      <w:pPr>
        <w:spacing w:after="160" w:line="300"/>
        <w:jc w:val="both"/>
      </w:pPr>
      <w:r>
        <w:rPr>
          <w:b w:val="false"/>
          <w:bCs w:val="false"/>
          <w:i w:val="false"/>
          <w:iCs w:val="false"/>
          <w:color w:val="1A1A1A"/>
          <w:sz w:val="21"/>
          <w:szCs w:val="21"/>
        </w:rPr>
        <w:t xml:space="preserve">Discloses dispatching of multiple vehicles within a work area for cargo/goods transport, monitoring vehicles and demand events to maximize material hauled or deliveries completed.</w:t>
      </w:r>
    </w:p>
    <w:p>
      <w:pPr>
        <w:pStyle w:val="Heading3"/>
        <w:spacing w:after="100" w:before="200"/>
      </w:pPr>
      <w:r>
        <w:rPr>
          <w:b/>
          <w:bCs/>
          <w:color w:val="8B1E2F"/>
          <w:sz w:val="22"/>
          <w:szCs w:val="22"/>
        </w:rPr>
        <w:t xml:space="preserve">PA-6: US 2016/0364679 A1 — "Systems and methods for on-demand transportation"</w:t>
      </w:r>
    </w:p>
    <w:p>
      <w:pPr>
        <w:spacing w:after="160" w:line="300"/>
        <w:jc w:val="both"/>
      </w:pPr>
      <w:r>
        <w:rPr>
          <w:b w:val="false"/>
          <w:bCs w:val="false"/>
          <w:i w:val="false"/>
          <w:iCs w:val="false"/>
          <w:color w:val="1A1A1A"/>
          <w:sz w:val="21"/>
          <w:szCs w:val="21"/>
        </w:rPr>
        <w:t xml:space="preserve">Discloses a ride-sharing computer system that matches packages to riders traveling a compatible route, combining passenger transport and package delivery within a single trip, without the rider's awareness of the co-transported package.</w:t>
      </w:r>
    </w:p>
    <w:p>
      <w:pPr>
        <w:pStyle w:val="Heading3"/>
        <w:spacing w:after="100" w:before="200"/>
      </w:pPr>
      <w:r>
        <w:rPr>
          <w:b/>
          <w:bCs/>
          <w:color w:val="8B1E2F"/>
          <w:sz w:val="22"/>
          <w:szCs w:val="22"/>
        </w:rPr>
        <w:t xml:space="preserve">PA-7: US 11,748,789 B2 — "Dynamically adjusting transportation provider pool size" (Lyft, Inc.)</w:t>
      </w:r>
    </w:p>
    <w:p>
      <w:pPr>
        <w:spacing w:after="160" w:line="300"/>
        <w:jc w:val="both"/>
      </w:pPr>
      <w:r>
        <w:rPr>
          <w:b w:val="false"/>
          <w:bCs w:val="false"/>
          <w:i w:val="false"/>
          <w:iCs w:val="false"/>
          <w:color w:val="1A1A1A"/>
          <w:sz w:val="21"/>
          <w:szCs w:val="21"/>
        </w:rPr>
        <w:t xml:space="preserve">Discloses regulating provider-device access to an online dispatch mode based on a provider-efficiency parameter and detected behavior patterns within a geographic area, directed to driver-supply-side pool management rather than to the multi-category service or festival-context orchestration described herein.</w:t>
      </w:r>
    </w:p>
    <w:p>
      <w:pPr>
        <w:pStyle w:val="Heading3"/>
        <w:spacing w:after="100" w:before="200"/>
      </w:pPr>
      <w:r>
        <w:rPr>
          <w:b/>
          <w:bCs/>
          <w:color w:val="8B1E2F"/>
          <w:sz w:val="22"/>
          <w:szCs w:val="22"/>
        </w:rPr>
        <w:t xml:space="preserve">PA-8: US 2013/0054293 A1 — "System and Database for matching event vendors with event planners in real-time"</w:t>
      </w:r>
    </w:p>
    <w:p>
      <w:pPr>
        <w:spacing w:after="160" w:line="300"/>
        <w:jc w:val="both"/>
      </w:pPr>
      <w:r>
        <w:rPr>
          <w:b w:val="false"/>
          <w:bCs w:val="false"/>
          <w:i w:val="false"/>
          <w:iCs w:val="false"/>
          <w:color w:val="1A1A1A"/>
          <w:sz w:val="21"/>
          <w:szCs w:val="21"/>
        </w:rPr>
        <w:t xml:space="preserve">Discloses a system and database for matching event vendors (including wedding vendors) with event planners, addressing the coordination burden of manually contacting vendors for availability and cost information. Directed solely to vendor-planner matching; not integrated with transport booking, geofenced dispatch, a budget tracker, a guest manager, or a ritual/task checklist.</w:t>
      </w:r>
    </w:p>
    <w:p>
      <w:pPr>
        <w:pStyle w:val="Heading2"/>
        <w:spacing w:after="140" w:before="280"/>
      </w:pPr>
      <w:r>
        <w:rPr>
          <w:b/>
          <w:bCs/>
          <w:color w:val="13294B"/>
          <w:sz w:val="26"/>
          <w:szCs w:val="26"/>
        </w:rPr>
        <w:t xml:space="preserve">5.2 Non-Patent Literature</w:t>
      </w:r>
    </w:p>
    <w:p>
      <w:pPr>
        <w:pStyle w:val="ListParagraph"/>
        <w:numPr>
          <w:ilvl w:val="0"/>
          <w:numId w:val="1"/>
        </w:numPr>
        <w:spacing w:after="90"/>
      </w:pPr>
      <w:r>
        <w:rPr>
          <w:sz w:val="21"/>
          <w:szCs w:val="21"/>
        </w:rPr>
        <w:t xml:space="preserve">Deshmukh et al., "Survey of Geofencing Algorithms," International Journal of Computer Science, Engineering and Technology, vol. 3, no. 2, 2018 — surveys geofencing boundary-test techniques for mobile applications.</w:t>
      </w:r>
    </w:p>
    <w:p>
      <w:pPr>
        <w:pStyle w:val="ListParagraph"/>
        <w:numPr>
          <w:ilvl w:val="0"/>
          <w:numId w:val="1"/>
        </w:numPr>
        <w:spacing w:after="90"/>
      </w:pPr>
      <w:r>
        <w:rPr>
          <w:sz w:val="21"/>
          <w:szCs w:val="21"/>
        </w:rPr>
        <w:t xml:space="preserve">Luxen and Vetter, "Real-time routing with OpenStreetMap data," Proc. 19th ACM SIGSPATIAL GIS, 2011 — describes the Open Source Routing Machine (OSRM), an open-data route-computation engine.</w:t>
      </w:r>
    </w:p>
    <w:p>
      <w:pPr>
        <w:pStyle w:val="ListParagraph"/>
        <w:numPr>
          <w:ilvl w:val="0"/>
          <w:numId w:val="1"/>
        </w:numPr>
        <w:spacing w:after="90"/>
      </w:pPr>
      <w:r>
        <w:rPr>
          <w:sz w:val="21"/>
          <w:szCs w:val="21"/>
        </w:rPr>
        <w:t xml:space="preserve">Mundotiya et al., "Linguistic resources for Bhojpuri, Magahi, and Maithili...," ACM TALLIP, vol. 20, no. 6, 2021 — documents the low-resource status of Bhojpuri and Maithili in digital/NLP contexts.</w:t>
      </w:r>
    </w:p>
    <w:p>
      <w:pPr>
        <w:pStyle w:val="ListParagraph"/>
        <w:numPr>
          <w:ilvl w:val="0"/>
          <w:numId w:val="1"/>
        </w:numPr>
        <w:spacing w:after="90"/>
      </w:pPr>
      <w:r>
        <w:rPr>
          <w:sz w:val="21"/>
          <w:szCs w:val="21"/>
        </w:rPr>
        <w:t xml:space="preserve">Kushwaha et al., "Safe rides, fair prices: A comprehensive analysis of India's ride-hailing sector," IJSRCSE, vol. 13, no. 3, 2025 — analyzes safety and fare-transparency features in the Indian ride-hailing market.</w:t>
      </w:r>
    </w:p>
    <w:p>
      <w:pPr>
        <w:pStyle w:val="ListParagraph"/>
        <w:numPr>
          <w:ilvl w:val="0"/>
          <w:numId w:val="1"/>
        </w:numPr>
        <w:spacing w:after="90"/>
      </w:pPr>
      <w:r>
        <w:rPr>
          <w:sz w:val="21"/>
          <w:szCs w:val="21"/>
        </w:rPr>
        <w:t xml:space="preserve">Torrao et al., "Perceptions of women's safety in transient environments...," Sustainability, vol. 16, no. 19, 2024 — reports an India-focused mobility safety study relevant to the women's-safety-mode feature described herein.</w:t>
      </w:r>
    </w:p>
    <w:p>
      <w:pPr>
        <w:pStyle w:val="ListParagraph"/>
        <w:numPr>
          <w:ilvl w:val="0"/>
          <w:numId w:val="1"/>
        </w:numPr>
        <w:spacing w:after="90"/>
      </w:pPr>
      <w:r>
        <w:rPr>
          <w:sz w:val="21"/>
          <w:szCs w:val="21"/>
        </w:rPr>
        <w:t xml:space="preserve">Cisterna et al., "MaaS modelling: A review of factors, customers' profiles, choices and business models," European Transport Research Review, vol. 15, no. 1, 2023 — reviews Mobility-as-a-Service integration models, generally directed to combining transit modes for single-trip planning rather than to the multi-category service and event-marketplace integration described herein.</w:t>
      </w:r>
    </w:p>
    <w:p>
      <w:pPr>
        <w:pStyle w:val="Heading2"/>
        <w:spacing w:after="140" w:before="280"/>
      </w:pPr>
      <w:r>
        <w:rPr>
          <w:b/>
          <w:bCs/>
          <w:color w:val="13294B"/>
          <w:sz w:val="26"/>
          <w:szCs w:val="26"/>
        </w:rPr>
        <w:t xml:space="preserve">5.3 Prior-Art Comparison Table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900"/>
      </w:tblGrid>
      <w:tr>
        <w:trPr>
          <w:tblHeader/>
        </w:trPr>
        <w:tc>
          <w:tcPr>
            <w:tcW w:type="dxa" w:w="1900"/>
            <w:shd w:fill="13294B" w:val="clear"/>
            <w:tcMar>
              <w:top w:type="dxa" w:w="80"/>
              <w:left w:type="dxa" w:w="100"/>
              <w:bottom w:type="dxa" w:w="80"/>
              <w:right w:type="dxa" w:w="100"/>
            </w:tcMar>
            <w:vAlign w:val="center"/>
          </w:tcPr>
          <w:p>
            <w:r>
              <w:rPr>
                <w:b/>
                <w:bCs/>
                <w:color w:val="FFFFFF"/>
                <w:sz w:val="19"/>
                <w:szCs w:val="19"/>
              </w:rPr>
              <w:t xml:space="preserve">Ref.</w:t>
            </w:r>
          </w:p>
        </w:tc>
        <w:tc>
          <w:tcPr>
            <w:tcW w:type="dxa" w:w="3500"/>
            <w:shd w:fill="13294B" w:val="clear"/>
            <w:tcMar>
              <w:top w:type="dxa" w:w="80"/>
              <w:left w:type="dxa" w:w="100"/>
              <w:bottom w:type="dxa" w:w="80"/>
              <w:right w:type="dxa" w:w="100"/>
            </w:tcMar>
            <w:vAlign w:val="center"/>
          </w:tcPr>
          <w:p>
            <w:r>
              <w:rPr>
                <w:b/>
                <w:bCs/>
                <w:color w:val="FFFFFF"/>
                <w:sz w:val="19"/>
                <w:szCs w:val="19"/>
              </w:rPr>
              <w:t xml:space="preserve">Core Teaching</w:t>
            </w:r>
          </w:p>
        </w:tc>
        <w:tc>
          <w:tcPr>
            <w:tcW w:type="dxa" w:w="3900"/>
            <w:shd w:fill="13294B" w:val="clear"/>
            <w:tcMar>
              <w:top w:type="dxa" w:w="80"/>
              <w:left w:type="dxa" w:w="100"/>
              <w:bottom w:type="dxa" w:w="80"/>
              <w:right w:type="dxa" w:w="100"/>
            </w:tcMar>
            <w:vAlign w:val="center"/>
          </w:tcPr>
          <w:p>
            <w:r>
              <w:rPr>
                <w:b/>
                <w:bCs/>
                <w:color w:val="FFFFFF"/>
                <w:sz w:val="19"/>
                <w:szCs w:val="19"/>
              </w:rPr>
              <w:t xml:space="preserve">Key Limitation Relative to Present Invention</w:t>
            </w:r>
          </w:p>
        </w:tc>
      </w:tr>
      <w:tr>
        <w:tc>
          <w:tcPr>
            <w:tcW w:type="dxa" w:w="1900"/>
            <w:tcMar>
              <w:top w:type="dxa" w:w="80"/>
              <w:left w:type="dxa" w:w="100"/>
              <w:bottom w:type="dxa" w:w="80"/>
              <w:right w:type="dxa" w:w="100"/>
            </w:tcMar>
            <w:vAlign w:val="center"/>
          </w:tcPr>
          <w:p>
            <w:r>
              <w:rPr>
                <w:b w:val="false"/>
                <w:bCs w:val="false"/>
                <w:color w:val="1A1A1A"/>
                <w:sz w:val="19"/>
                <w:szCs w:val="19"/>
              </w:rPr>
              <w:t xml:space="preserve">PA-1 (AU2020361447B2)</w:t>
            </w:r>
          </w:p>
        </w:tc>
        <w:tc>
          <w:tcPr>
            <w:tcW w:type="dxa" w:w="3500"/>
            <w:tcMar>
              <w:top w:type="dxa" w:w="80"/>
              <w:left w:type="dxa" w:w="100"/>
              <w:bottom w:type="dxa" w:w="80"/>
              <w:right w:type="dxa" w:w="100"/>
            </w:tcMar>
            <w:vAlign w:val="center"/>
          </w:tcPr>
          <w:p>
            <w:r>
              <w:rPr>
                <w:b w:val="false"/>
                <w:bCs w:val="false"/>
                <w:color w:val="1A1A1A"/>
                <w:sz w:val="19"/>
                <w:szCs w:val="19"/>
              </w:rPr>
              <w:t xml:space="preserve">Combines rideable + transit modality trip planning</w:t>
            </w:r>
          </w:p>
        </w:tc>
        <w:tc>
          <w:tcPr>
            <w:tcW w:type="dxa" w:w="3900"/>
            <w:tcMar>
              <w:top w:type="dxa" w:w="80"/>
              <w:left w:type="dxa" w:w="100"/>
              <w:bottom w:type="dxa" w:w="80"/>
              <w:right w:type="dxa" w:w="100"/>
            </w:tcMar>
            <w:vAlign w:val="center"/>
          </w:tcPr>
          <w:p>
            <w:r>
              <w:rPr>
                <w:b w:val="false"/>
                <w:bCs w:val="false"/>
                <w:color w:val="1A1A1A"/>
                <w:sz w:val="19"/>
                <w:szCs w:val="19"/>
              </w:rPr>
              <w:t xml:space="preserve">Does not address cargo, pilgrimage-package, or wedding-convoy booking; no provider-agnostic mapping; no festival/language orchestration</w:t>
            </w:r>
          </w:p>
        </w:tc>
      </w:tr>
      <w:tr>
        <w:tc>
          <w:tcPr>
            <w:tcW w:type="dxa" w:w="1900"/>
            <w:shd w:fill="F2F2F2" w:val="clear"/>
            <w:tcMar>
              <w:top w:type="dxa" w:w="80"/>
              <w:left w:type="dxa" w:w="100"/>
              <w:bottom w:type="dxa" w:w="80"/>
              <w:right w:type="dxa" w:w="100"/>
            </w:tcMar>
            <w:vAlign w:val="center"/>
          </w:tcPr>
          <w:p>
            <w:r>
              <w:rPr>
                <w:b w:val="false"/>
                <w:bCs w:val="false"/>
                <w:color w:val="1A1A1A"/>
                <w:sz w:val="19"/>
                <w:szCs w:val="19"/>
              </w:rPr>
              <w:t xml:space="preserve">PA-2 (US11,455,578)</w:t>
            </w:r>
          </w:p>
        </w:tc>
        <w:tc>
          <w:tcPr>
            <w:tcW w:type="dxa" w:w="3500"/>
            <w:shd w:fill="F2F2F2" w:val="clear"/>
            <w:tcMar>
              <w:top w:type="dxa" w:w="80"/>
              <w:left w:type="dxa" w:w="100"/>
              <w:bottom w:type="dxa" w:w="80"/>
              <w:right w:type="dxa" w:w="100"/>
            </w:tcMar>
            <w:vAlign w:val="center"/>
          </w:tcPr>
          <w:p>
            <w:r>
              <w:rPr>
                <w:b w:val="false"/>
                <w:bCs w:val="false"/>
                <w:color w:val="1A1A1A"/>
                <w:sz w:val="19"/>
                <w:szCs w:val="19"/>
              </w:rPr>
              <w:t xml:space="preserve">Ride-order dispatch and vehicle repositioning</w:t>
            </w:r>
          </w:p>
        </w:tc>
        <w:tc>
          <w:tcPr>
            <w:tcW w:type="dxa" w:w="3900"/>
            <w:shd w:fill="F2F2F2" w:val="clear"/>
            <w:tcMar>
              <w:top w:type="dxa" w:w="80"/>
              <w:left w:type="dxa" w:w="100"/>
              <w:bottom w:type="dxa" w:w="80"/>
              <w:right w:type="dxa" w:w="100"/>
            </w:tcMar>
            <w:vAlign w:val="center"/>
          </w:tcPr>
          <w:p>
            <w:r>
              <w:rPr>
                <w:b w:val="false"/>
                <w:bCs w:val="false"/>
                <w:color w:val="1A1A1A"/>
                <w:sz w:val="19"/>
                <w:szCs w:val="19"/>
              </w:rPr>
              <w:t xml:space="preserve">Single passenger-transport modality; requires a specific commercial dispatch backend; no keyless mapping fallback</w:t>
            </w:r>
          </w:p>
        </w:tc>
      </w:tr>
      <w:tr>
        <w:tc>
          <w:tcPr>
            <w:tcW w:type="dxa" w:w="1900"/>
            <w:tcMar>
              <w:top w:type="dxa" w:w="80"/>
              <w:left w:type="dxa" w:w="100"/>
              <w:bottom w:type="dxa" w:w="80"/>
              <w:right w:type="dxa" w:w="100"/>
            </w:tcMar>
            <w:vAlign w:val="center"/>
          </w:tcPr>
          <w:p>
            <w:r>
              <w:rPr>
                <w:b w:val="false"/>
                <w:bCs w:val="false"/>
                <w:color w:val="1A1A1A"/>
                <w:sz w:val="19"/>
                <w:szCs w:val="19"/>
              </w:rPr>
              <w:t xml:space="preserve">PA-3 (US10,837,786) / PA-4 (US11,475,412)</w:t>
            </w:r>
          </w:p>
        </w:tc>
        <w:tc>
          <w:tcPr>
            <w:tcW w:type="dxa" w:w="3500"/>
            <w:tcMar>
              <w:top w:type="dxa" w:w="80"/>
              <w:left w:type="dxa" w:w="100"/>
              <w:bottom w:type="dxa" w:w="80"/>
              <w:right w:type="dxa" w:w="100"/>
            </w:tcMar>
            <w:vAlign w:val="center"/>
          </w:tcPr>
          <w:p>
            <w:r>
              <w:rPr>
                <w:b w:val="false"/>
                <w:bCs w:val="false"/>
                <w:color w:val="1A1A1A"/>
                <w:sz w:val="19"/>
                <w:szCs w:val="19"/>
              </w:rPr>
              <w:t xml:space="preserve">Multi-modal transportation planning/fulfillment across device states</w:t>
            </w:r>
          </w:p>
        </w:tc>
        <w:tc>
          <w:tcPr>
            <w:tcW w:type="dxa" w:w="3900"/>
            <w:tcMar>
              <w:top w:type="dxa" w:w="80"/>
              <w:left w:type="dxa" w:w="100"/>
              <w:bottom w:type="dxa" w:w="80"/>
              <w:right w:type="dxa" w:w="100"/>
            </w:tcMar>
            <w:vAlign w:val="center"/>
          </w:tcPr>
          <w:p>
            <w:r>
              <w:rPr>
                <w:b w:val="false"/>
                <w:bCs w:val="false"/>
                <w:color w:val="1A1A1A"/>
                <w:sz w:val="19"/>
                <w:szCs w:val="19"/>
              </w:rPr>
              <w:t xml:space="preserve">"Multi-modal" refers to transit/rideable/micromobility modes for one trip, not to structurally distinct service categories (goods, pilgrimage, wedding) or a vendor marketplace</w:t>
            </w:r>
          </w:p>
        </w:tc>
      </w:tr>
      <w:tr>
        <w:tc>
          <w:tcPr>
            <w:tcW w:type="dxa" w:w="1900"/>
            <w:shd w:fill="F2F2F2" w:val="clear"/>
            <w:tcMar>
              <w:top w:type="dxa" w:w="80"/>
              <w:left w:type="dxa" w:w="100"/>
              <w:bottom w:type="dxa" w:w="80"/>
              <w:right w:type="dxa" w:w="100"/>
            </w:tcMar>
            <w:vAlign w:val="center"/>
          </w:tcPr>
          <w:p>
            <w:r>
              <w:rPr>
                <w:b w:val="false"/>
                <w:bCs w:val="false"/>
                <w:color w:val="1A1A1A"/>
                <w:sz w:val="19"/>
                <w:szCs w:val="19"/>
              </w:rPr>
              <w:t xml:space="preserve">PA-5 (US2017/0185087)</w:t>
            </w:r>
          </w:p>
        </w:tc>
        <w:tc>
          <w:tcPr>
            <w:tcW w:type="dxa" w:w="3500"/>
            <w:shd w:fill="F2F2F2" w:val="clear"/>
            <w:tcMar>
              <w:top w:type="dxa" w:w="80"/>
              <w:left w:type="dxa" w:w="100"/>
              <w:bottom w:type="dxa" w:w="80"/>
              <w:right w:type="dxa" w:w="100"/>
            </w:tcMar>
            <w:vAlign w:val="center"/>
          </w:tcPr>
          <w:p>
            <w:r>
              <w:rPr>
                <w:b w:val="false"/>
                <w:bCs w:val="false"/>
                <w:color w:val="1A1A1A"/>
                <w:sz w:val="19"/>
                <w:szCs w:val="19"/>
              </w:rPr>
              <w:t xml:space="preserve">Cargo/goods vehicle dispatching in a work area</w:t>
            </w:r>
          </w:p>
        </w:tc>
        <w:tc>
          <w:tcPr>
            <w:tcW w:type="dxa" w:w="3900"/>
            <w:shd w:fill="F2F2F2" w:val="clear"/>
            <w:tcMar>
              <w:top w:type="dxa" w:w="80"/>
              <w:left w:type="dxa" w:w="100"/>
              <w:bottom w:type="dxa" w:w="80"/>
              <w:right w:type="dxa" w:w="100"/>
            </w:tcMar>
            <w:vAlign w:val="center"/>
          </w:tcPr>
          <w:p>
            <w:r>
              <w:rPr>
                <w:b w:val="false"/>
                <w:bCs w:val="false"/>
                <w:color w:val="1A1A1A"/>
                <w:sz w:val="19"/>
                <w:szCs w:val="19"/>
              </w:rPr>
              <w:t xml:space="preserve">Directed to industrial/cargo dispatch only; no passenger, pilgrimage, or wedding integration; no festival/language layer</w:t>
            </w:r>
          </w:p>
        </w:tc>
      </w:tr>
      <w:tr>
        <w:tc>
          <w:tcPr>
            <w:tcW w:type="dxa" w:w="1900"/>
            <w:tcMar>
              <w:top w:type="dxa" w:w="80"/>
              <w:left w:type="dxa" w:w="100"/>
              <w:bottom w:type="dxa" w:w="80"/>
              <w:right w:type="dxa" w:w="100"/>
            </w:tcMar>
            <w:vAlign w:val="center"/>
          </w:tcPr>
          <w:p>
            <w:r>
              <w:rPr>
                <w:b w:val="false"/>
                <w:bCs w:val="false"/>
                <w:color w:val="1A1A1A"/>
                <w:sz w:val="19"/>
                <w:szCs w:val="19"/>
              </w:rPr>
              <w:t xml:space="preserve">PA-6 (US2016/0364679)</w:t>
            </w:r>
          </w:p>
        </w:tc>
        <w:tc>
          <w:tcPr>
            <w:tcW w:type="dxa" w:w="3500"/>
            <w:tcMar>
              <w:top w:type="dxa" w:w="80"/>
              <w:left w:type="dxa" w:w="100"/>
              <w:bottom w:type="dxa" w:w="80"/>
              <w:right w:type="dxa" w:w="100"/>
            </w:tcMar>
            <w:vAlign w:val="center"/>
          </w:tcPr>
          <w:p>
            <w:r>
              <w:rPr>
                <w:b w:val="false"/>
                <w:bCs w:val="false"/>
                <w:color w:val="1A1A1A"/>
                <w:sz w:val="19"/>
                <w:szCs w:val="19"/>
              </w:rPr>
              <w:t xml:space="preserve">Combines passenger ride with concurrent package delivery in one trip</w:t>
            </w:r>
          </w:p>
        </w:tc>
        <w:tc>
          <w:tcPr>
            <w:tcW w:type="dxa" w:w="3900"/>
            <w:tcMar>
              <w:top w:type="dxa" w:w="80"/>
              <w:left w:type="dxa" w:w="100"/>
              <w:bottom w:type="dxa" w:w="80"/>
              <w:right w:type="dxa" w:w="100"/>
            </w:tcMar>
            <w:vAlign w:val="center"/>
          </w:tcPr>
          <w:p>
            <w:r>
              <w:rPr>
                <w:b w:val="false"/>
                <w:bCs w:val="false"/>
                <w:color w:val="1A1A1A"/>
                <w:sz w:val="19"/>
                <w:szCs w:val="19"/>
              </w:rPr>
              <w:t xml:space="preserve">Directed to a single concurrent-trip combination, not to a shared, parameterized pipeline spanning four independent booking types</w:t>
            </w:r>
          </w:p>
        </w:tc>
      </w:tr>
      <w:tr>
        <w:tc>
          <w:tcPr>
            <w:tcW w:type="dxa" w:w="1900"/>
            <w:shd w:fill="F2F2F2" w:val="clear"/>
            <w:tcMar>
              <w:top w:type="dxa" w:w="80"/>
              <w:left w:type="dxa" w:w="100"/>
              <w:bottom w:type="dxa" w:w="80"/>
              <w:right w:type="dxa" w:w="100"/>
            </w:tcMar>
            <w:vAlign w:val="center"/>
          </w:tcPr>
          <w:p>
            <w:r>
              <w:rPr>
                <w:b w:val="false"/>
                <w:bCs w:val="false"/>
                <w:color w:val="1A1A1A"/>
                <w:sz w:val="19"/>
                <w:szCs w:val="19"/>
              </w:rPr>
              <w:t xml:space="preserve">PA-7 (US11,748,789)</w:t>
            </w:r>
          </w:p>
        </w:tc>
        <w:tc>
          <w:tcPr>
            <w:tcW w:type="dxa" w:w="3500"/>
            <w:shd w:fill="F2F2F2" w:val="clear"/>
            <w:tcMar>
              <w:top w:type="dxa" w:w="80"/>
              <w:left w:type="dxa" w:w="100"/>
              <w:bottom w:type="dxa" w:w="80"/>
              <w:right w:type="dxa" w:w="100"/>
            </w:tcMar>
            <w:vAlign w:val="center"/>
          </w:tcPr>
          <w:p>
            <w:r>
              <w:rPr>
                <w:b w:val="false"/>
                <w:bCs w:val="false"/>
                <w:color w:val="1A1A1A"/>
                <w:sz w:val="19"/>
                <w:szCs w:val="19"/>
              </w:rPr>
              <w:t xml:space="preserve">Provider (driver) pool-size / online-mode regulation</w:t>
            </w:r>
          </w:p>
        </w:tc>
        <w:tc>
          <w:tcPr>
            <w:tcW w:type="dxa" w:w="3900"/>
            <w:shd w:fill="F2F2F2" w:val="clear"/>
            <w:tcMar>
              <w:top w:type="dxa" w:w="80"/>
              <w:left w:type="dxa" w:w="100"/>
              <w:bottom w:type="dxa" w:w="80"/>
              <w:right w:type="dxa" w:w="100"/>
            </w:tcMar>
            <w:vAlign w:val="center"/>
          </w:tcPr>
          <w:p>
            <w:r>
              <w:rPr>
                <w:b w:val="false"/>
                <w:bCs w:val="false"/>
                <w:color w:val="1A1A1A"/>
                <w:sz w:val="19"/>
                <w:szCs w:val="19"/>
              </w:rPr>
              <w:t xml:space="preserve">Supply-side management; does not address mapping-provider abstraction, festival orchestration, or event-vendor integration</w:t>
            </w:r>
          </w:p>
        </w:tc>
      </w:tr>
      <w:tr>
        <w:tc>
          <w:tcPr>
            <w:tcW w:type="dxa" w:w="1900"/>
            <w:tcMar>
              <w:top w:type="dxa" w:w="80"/>
              <w:left w:type="dxa" w:w="100"/>
              <w:bottom w:type="dxa" w:w="80"/>
              <w:right w:type="dxa" w:w="100"/>
            </w:tcMar>
            <w:vAlign w:val="center"/>
          </w:tcPr>
          <w:p>
            <w:r>
              <w:rPr>
                <w:b w:val="false"/>
                <w:bCs w:val="false"/>
                <w:color w:val="1A1A1A"/>
                <w:sz w:val="19"/>
                <w:szCs w:val="19"/>
              </w:rPr>
              <w:t xml:space="preserve">PA-8 (US2013/0054293)</w:t>
            </w:r>
          </w:p>
        </w:tc>
        <w:tc>
          <w:tcPr>
            <w:tcW w:type="dxa" w:w="3500"/>
            <w:tcMar>
              <w:top w:type="dxa" w:w="80"/>
              <w:left w:type="dxa" w:w="100"/>
              <w:bottom w:type="dxa" w:w="80"/>
              <w:right w:type="dxa" w:w="100"/>
            </w:tcMar>
            <w:vAlign w:val="center"/>
          </w:tcPr>
          <w:p>
            <w:r>
              <w:rPr>
                <w:b w:val="false"/>
                <w:bCs w:val="false"/>
                <w:color w:val="1A1A1A"/>
                <w:sz w:val="19"/>
                <w:szCs w:val="19"/>
              </w:rPr>
              <w:t xml:space="preserve">Real-time event-vendor-to-planner matching database</w:t>
            </w:r>
          </w:p>
        </w:tc>
        <w:tc>
          <w:tcPr>
            <w:tcW w:type="dxa" w:w="3900"/>
            <w:tcMar>
              <w:top w:type="dxa" w:w="80"/>
              <w:left w:type="dxa" w:w="100"/>
              <w:bottom w:type="dxa" w:w="80"/>
              <w:right w:type="dxa" w:w="100"/>
            </w:tcMar>
            <w:vAlign w:val="center"/>
          </w:tcPr>
          <w:p>
            <w:r>
              <w:rPr>
                <w:b w:val="false"/>
                <w:bCs w:val="false"/>
                <w:color w:val="1A1A1A"/>
                <w:sz w:val="19"/>
                <w:szCs w:val="19"/>
              </w:rPr>
              <w:t xml:space="preserve">Vendor matching only; no integration with transport booking, geofencing, budget tracker, or ritual/task checklist</w:t>
            </w:r>
          </w:p>
        </w:tc>
      </w:tr>
    </w:tbl>
    <w:p>
      <w:pPr>
        <w:pStyle w:val="Heading2"/>
        <w:spacing w:after="140" w:before="280"/>
      </w:pPr>
      <w:r>
        <w:rPr>
          <w:b/>
          <w:bCs/>
          <w:color w:val="13294B"/>
          <w:sz w:val="26"/>
          <w:szCs w:val="26"/>
        </w:rPr>
        <w:t xml:space="preserve">5.4 Research Gap and Patentability Gap</w:t>
      </w:r>
    </w:p>
    <w:p>
      <w:pPr>
        <w:spacing w:after="160" w:line="300"/>
        <w:jc w:val="both"/>
      </w:pPr>
      <w:r>
        <w:rPr>
          <w:b w:val="false"/>
          <w:bCs w:val="false"/>
          <w:i w:val="false"/>
          <w:iCs w:val="false"/>
          <w:color w:val="1A1A1A"/>
          <w:sz w:val="21"/>
          <w:szCs w:val="21"/>
        </w:rPr>
        <w:t xml:space="preserve">None of the identified references discloses, either individually or in combination as would be obvious to a person skilled in the art, a system in which (a) passenger transport, goods transport, pilgrimage-package transport, and multi-stop event-convoy transport are implemented as parameterized instances of one shared, geofenced dispatch and fare-computation pipeline; (b) the mapping/routing subsystem defaults to a keyless, open-data provider and detects and transparently substitutes a commercial provider without modification to the geofencing or fare-computation logic; (c) a single state-transition mechanism couples a festival/seasonal calendar to promotional content, an active dedicated service offering, and multi-locale (including low-resource regional dialect) interface text; and (d) an event-transport itinerary, an event-vendor marketplace, a budget tracker, a guest manager, and a ritual/task checklist are unified within a single event data record such that a vendor-booking action updates both the vendor-booking list and the cumulative-spend value. This combination is identified as the patentability gap addressed by the present invention (see Section 22 for the corresponding novelty and inventive-step analysis).</w:t>
      </w:r>
    </w:p>
    <w:p>
      <w:pPr>
        <w:pStyle w:val="Heading1"/>
        <w:pageBreakBefore/>
        <w:pBdr>
          <w:bottom w:val="single" w:color="8B1E2F" w:sz="12" w:space="4"/>
        </w:pBdr>
        <w:spacing w:after="200" w:before="200"/>
      </w:pPr>
      <w:r>
        <w:rPr>
          <w:b/>
          <w:bCs/>
          <w:color w:val="13294B"/>
          <w:sz w:val="32"/>
          <w:szCs w:val="32"/>
        </w:rPr>
        <w:t xml:space="preserve">6. Objects of the Invention</w:t>
      </w:r>
    </w:p>
    <w:p>
      <w:pPr>
        <w:pStyle w:val="Heading2"/>
        <w:spacing w:after="140" w:before="280"/>
      </w:pPr>
      <w:r>
        <w:rPr>
          <w:b/>
          <w:bCs/>
          <w:color w:val="13294B"/>
          <w:sz w:val="26"/>
          <w:szCs w:val="26"/>
        </w:rPr>
        <w:t xml:space="preserve">Primary Objective</w:t>
      </w:r>
    </w:p>
    <w:p>
      <w:pPr>
        <w:spacing w:after="160" w:line="300"/>
        <w:jc w:val="both"/>
      </w:pPr>
      <w:r>
        <w:rPr>
          <w:b w:val="false"/>
          <w:bCs w:val="false"/>
          <w:i w:val="false"/>
          <w:iCs w:val="false"/>
          <w:color w:val="1A1A1A"/>
          <w:sz w:val="21"/>
          <w:szCs w:val="21"/>
        </w:rPr>
        <w:t xml:space="preserve">It is the primary objective of the present invention to provide a unified computer-implemented system and method capable of dispatching passenger, goods, pilgrimage-package, and event-convoy transport requests through a single shared, geofenced booking pipeline, within a single user account and application.</w:t>
      </w:r>
    </w:p>
    <w:p>
      <w:pPr>
        <w:pStyle w:val="Heading2"/>
        <w:spacing w:after="140" w:before="280"/>
      </w:pPr>
      <w:r>
        <w:rPr>
          <w:b/>
          <w:bCs/>
          <w:color w:val="13294B"/>
          <w:sz w:val="26"/>
          <w:szCs w:val="26"/>
        </w:rPr>
        <w:t xml:space="preserve">Secondary Objectives</w:t>
      </w:r>
    </w:p>
    <w:p>
      <w:pPr>
        <w:pStyle w:val="ListParagraph"/>
        <w:numPr>
          <w:ilvl w:val="0"/>
          <w:numId w:val="1"/>
        </w:numPr>
        <w:spacing w:after="90"/>
      </w:pPr>
      <w:r>
        <w:rPr>
          <w:sz w:val="21"/>
          <w:szCs w:val="21"/>
        </w:rPr>
        <w:t xml:space="preserve">To provide a mapping and route-geometry subsystem that operates by default without a paid commercial mapping credential, while supporting transparent substitution of a commercial provider without modification of dependent modules.</w:t>
      </w:r>
    </w:p>
    <w:p>
      <w:pPr>
        <w:pStyle w:val="ListParagraph"/>
        <w:numPr>
          <w:ilvl w:val="0"/>
          <w:numId w:val="1"/>
        </w:numPr>
        <w:spacing w:after="90"/>
      </w:pPr>
      <w:r>
        <w:rPr>
          <w:sz w:val="21"/>
          <w:szCs w:val="21"/>
        </w:rPr>
        <w:t xml:space="preserve">To provide a mechanism for coupling a configurable festival/seasonal calendar to promotional content, an active dedicated service offering, and multi-locale interface text within a single state transition.</w:t>
      </w:r>
    </w:p>
    <w:p>
      <w:pPr>
        <w:pStyle w:val="ListParagraph"/>
        <w:numPr>
          <w:ilvl w:val="0"/>
          <w:numId w:val="1"/>
        </w:numPr>
        <w:spacing w:after="90"/>
      </w:pPr>
      <w:r>
        <w:rPr>
          <w:sz w:val="21"/>
          <w:szCs w:val="21"/>
        </w:rPr>
        <w:t xml:space="preserve">To provide an integrated event-transport-and-vendor-marketplace module in which a multi-stop transport itinerary, a vendor marketplace, a budget tracker, a guest manager, and a ritual/task checklist are unified within a single event record.</w:t>
      </w:r>
    </w:p>
    <w:p>
      <w:pPr>
        <w:pStyle w:val="Heading2"/>
        <w:spacing w:after="140" w:before="280"/>
      </w:pPr>
      <w:r>
        <w:rPr>
          <w:b/>
          <w:bCs/>
          <w:color w:val="13294B"/>
          <w:sz w:val="26"/>
          <w:szCs w:val="26"/>
        </w:rPr>
        <w:t xml:space="preserve">Technical Objectives</w:t>
      </w:r>
    </w:p>
    <w:p>
      <w:pPr>
        <w:pStyle w:val="ListParagraph"/>
        <w:numPr>
          <w:ilvl w:val="0"/>
          <w:numId w:val="1"/>
        </w:numPr>
        <w:spacing w:after="90"/>
      </w:pPr>
      <w:r>
        <w:rPr>
          <w:sz w:val="21"/>
          <w:szCs w:val="21"/>
        </w:rPr>
        <w:t xml:space="preserve">To minimize code duplication and maintenance burden across heterogeneous transport-service categories by maximizing shared-pipeline reuse.</w:t>
      </w:r>
    </w:p>
    <w:p>
      <w:pPr>
        <w:pStyle w:val="ListParagraph"/>
        <w:numPr>
          <w:ilvl w:val="0"/>
          <w:numId w:val="1"/>
        </w:numPr>
        <w:spacing w:after="90"/>
      </w:pPr>
      <w:r>
        <w:rPr>
          <w:sz w:val="21"/>
          <w:szCs w:val="21"/>
        </w:rPr>
        <w:t xml:space="preserve">To decouple fare-computation and geofencing logic from the identity of the active mapping provider.</w:t>
      </w:r>
    </w:p>
    <w:p>
      <w:pPr>
        <w:pStyle w:val="ListParagraph"/>
        <w:numPr>
          <w:ilvl w:val="0"/>
          <w:numId w:val="1"/>
        </w:numPr>
        <w:spacing w:after="90"/>
      </w:pPr>
      <w:r>
        <w:rPr>
          <w:sz w:val="21"/>
          <w:szCs w:val="21"/>
        </w:rPr>
        <w:t xml:space="preserve">To support low-resource regional-language rendering without per-screen localized templates.</w:t>
      </w:r>
    </w:p>
    <w:p>
      <w:pPr>
        <w:pStyle w:val="Heading2"/>
        <w:spacing w:after="140" w:before="280"/>
      </w:pPr>
      <w:r>
        <w:rPr>
          <w:b/>
          <w:bCs/>
          <w:color w:val="13294B"/>
          <w:sz w:val="26"/>
          <w:szCs w:val="26"/>
        </w:rPr>
        <w:t xml:space="preserve">Commercial Objectives</w:t>
      </w:r>
    </w:p>
    <w:p>
      <w:pPr>
        <w:pStyle w:val="ListParagraph"/>
        <w:numPr>
          <w:ilvl w:val="0"/>
          <w:numId w:val="1"/>
        </w:numPr>
        <w:spacing w:after="90"/>
      </w:pPr>
      <w:r>
        <w:rPr>
          <w:sz w:val="21"/>
          <w:szCs w:val="21"/>
        </w:rPr>
        <w:t xml:space="preserve">To reduce the operating cost associated with commercial mapping-API usage in cost-sensitive regional deployments.</w:t>
      </w:r>
    </w:p>
    <w:p>
      <w:pPr>
        <w:pStyle w:val="ListParagraph"/>
        <w:numPr>
          <w:ilvl w:val="0"/>
          <w:numId w:val="1"/>
        </w:numPr>
        <w:spacing w:after="90"/>
      </w:pPr>
      <w:r>
        <w:rPr>
          <w:sz w:val="21"/>
          <w:szCs w:val="21"/>
        </w:rPr>
        <w:t xml:space="preserve">To reduce customer-acquisition and retention friction associated with requiring multiple, unrelated applications for related transport and event-logistics needs.</w:t>
      </w:r>
    </w:p>
    <w:p>
      <w:pPr>
        <w:pStyle w:val="Heading2"/>
        <w:spacing w:after="140" w:before="280"/>
      </w:pPr>
      <w:r>
        <w:rPr>
          <w:b/>
          <w:bCs/>
          <w:color w:val="13294B"/>
          <w:sz w:val="26"/>
          <w:szCs w:val="26"/>
        </w:rPr>
        <w:t xml:space="preserve">Industrial Objectives</w:t>
      </w:r>
    </w:p>
    <w:p>
      <w:pPr>
        <w:pStyle w:val="ListParagraph"/>
        <w:numPr>
          <w:ilvl w:val="0"/>
          <w:numId w:val="1"/>
        </w:numPr>
        <w:spacing w:after="90"/>
      </w:pPr>
      <w:r>
        <w:rPr>
          <w:sz w:val="21"/>
          <w:szCs w:val="21"/>
        </w:rPr>
        <w:t xml:space="preserve">To provide a software architecture suitable for licensing or deployment by regional transportation operators, particularly in Tier-2/Tier-3 markets with linguistic diversity and variable network connectivity.</w:t>
      </w:r>
    </w:p>
    <w:p>
      <w:pPr>
        <w:pStyle w:val="Heading1"/>
        <w:pageBreakBefore/>
        <w:pBdr>
          <w:bottom w:val="single" w:color="8B1E2F" w:sz="12" w:space="4"/>
        </w:pBdr>
        <w:spacing w:after="200" w:before="200"/>
      </w:pPr>
      <w:r>
        <w:rPr>
          <w:b/>
          <w:bCs/>
          <w:color w:val="13294B"/>
          <w:sz w:val="32"/>
          <w:szCs w:val="32"/>
        </w:rPr>
        <w:t xml:space="preserve">7. Summary of the Invention</w:t>
      </w:r>
    </w:p>
    <w:p>
      <w:pPr>
        <w:spacing w:after="160" w:line="300"/>
        <w:jc w:val="both"/>
      </w:pPr>
      <w:r>
        <w:rPr>
          <w:b w:val="false"/>
          <w:bCs w:val="false"/>
          <w:i w:val="false"/>
          <w:iCs w:val="false"/>
          <w:color w:val="1A1A1A"/>
          <w:sz w:val="21"/>
          <w:szCs w:val="21"/>
        </w:rPr>
        <w:t xml:space="preserve">The present invention provides a computer-implemented system comprising a location-resolution module, a provider-agnostic mapping abstraction module, a geofencing module, a fare-computation module, and a dispatch/tracking module, cooperating through a shared application-state data structure, and reused without modification of their core logic across a plurality of distinct booking types, including passenger ride booking, cargo/goods transport booking, fixed-route package booking, and multi-stop event-convoy booking, each booking type distinguished from the others only by a substituted vehicle-and-rate data table and, for the event-convoy booking type, a substituted multi-point itinerary data structure in place of a single pickup/drop coordinate pair.</w:t>
      </w:r>
    </w:p>
    <w:p>
      <w:pPr>
        <w:spacing w:after="160" w:line="300"/>
        <w:jc w:val="both"/>
      </w:pPr>
      <w:r>
        <w:rPr>
          <w:b w:val="false"/>
          <w:bCs w:val="false"/>
          <w:i w:val="false"/>
          <w:iCs w:val="false"/>
          <w:color w:val="1A1A1A"/>
          <w:sz w:val="21"/>
          <w:szCs w:val="21"/>
        </w:rPr>
        <w:t xml:space="preserve">The mapping abstraction module is configured to operate, by default, using a keyless map-rendering and route-geometry service, and to detect a supplied commercial mapping-service credential and, upon such detection, to render subsequent map and route-geometry output using the corresponding commercial mapping service, without altering the data structures consumed by the geofencing module or the fare-computation module.</w:t>
      </w:r>
    </w:p>
    <w:p>
      <w:pPr>
        <w:spacing w:after="160" w:line="300"/>
        <w:jc w:val="both"/>
      </w:pPr>
      <w:r>
        <w:rPr>
          <w:b w:val="false"/>
          <w:bCs w:val="false"/>
          <w:i w:val="false"/>
          <w:iCs w:val="false"/>
          <w:color w:val="1A1A1A"/>
          <w:sz w:val="21"/>
          <w:szCs w:val="21"/>
        </w:rPr>
        <w:t xml:space="preserve">The system further comprises a festival-context orchestration module configured to maintain a plurality of predefined festival/seasonal context states, each associated with a promotional content set, a designated dedicated service or offer, and a plurality of parallel localized text variants in a corresponding plurality of languages, and configured to atomically update a displayed promotional element, an available booking offer, and rendered interface text across the plurality of languages responsive to a single state-transition event.</w:t>
      </w:r>
    </w:p>
    <w:p>
      <w:pPr>
        <w:spacing w:after="160" w:line="300"/>
        <w:jc w:val="both"/>
      </w:pPr>
      <w:r>
        <w:rPr>
          <w:b w:val="false"/>
          <w:bCs w:val="false"/>
          <w:i w:val="false"/>
          <w:iCs w:val="false"/>
          <w:color w:val="1A1A1A"/>
          <w:sz w:val="21"/>
          <w:szCs w:val="21"/>
        </w:rPr>
        <w:t xml:space="preserve">The system further comprises an event-logistics module configured to create an event record associated with a user account, the event record comprising a multi-stop transport itinerary, a user-defined budget value, a guest-list data structure, and a ritual/task checklist data structure, and to present, within the same application session, a filterable vendor-marketplace interface associated with the event record, such that a vendor-booking action received via the vendor-marketplace interface updates both a vendor-booking list and a cumulative-spend value compared against the user-defined budget value, within the same event record used to store the multi-stop transport itinerary.</w:t>
      </w:r>
    </w:p>
    <w:p>
      <w:pPr>
        <w:spacing w:after="160" w:line="300"/>
        <w:jc w:val="both"/>
      </w:pPr>
      <w:r>
        <w:rPr>
          <w:b w:val="false"/>
          <w:bCs w:val="false"/>
          <w:i w:val="false"/>
          <w:iCs w:val="false"/>
          <w:color w:val="1A1A1A"/>
          <w:sz w:val="21"/>
          <w:szCs w:val="21"/>
        </w:rPr>
        <w:t xml:space="preserve">The core inventive concept lies in the architectural unification — through a shared, parameterized pipeline and a shared application-state data structure — of service categories, mapping-provider sources, and localization/promotional states that are, in the prior art identified in Section 5, addressed only individually or in narrower combination. The industrial significance of the invention lies in its applicability to regionally deployed transportation platforms operating under cost, connectivity, and linguistic constraints not fully addressed by existing metropolitan-oriented ride-hailing architectures.</w:t>
      </w:r>
    </w:p>
    <w:p>
      <w:pPr>
        <w:pStyle w:val="Heading1"/>
        <w:pageBreakBefore/>
        <w:pBdr>
          <w:bottom w:val="single" w:color="8B1E2F" w:sz="12" w:space="4"/>
        </w:pBdr>
        <w:spacing w:after="200" w:before="200"/>
      </w:pPr>
      <w:r>
        <w:rPr>
          <w:b/>
          <w:bCs/>
          <w:color w:val="13294B"/>
          <w:sz w:val="32"/>
          <w:szCs w:val="32"/>
        </w:rPr>
        <w:t xml:space="preserve">8. Brief Description of the Drawings</w:t>
      </w:r>
    </w:p>
    <w:p>
      <w:pPr>
        <w:spacing w:after="160" w:line="300"/>
        <w:jc w:val="both"/>
      </w:pPr>
      <w:r>
        <w:rPr>
          <w:b w:val="false"/>
          <w:bCs w:val="false"/>
          <w:i w:val="false"/>
          <w:iCs w:val="false"/>
          <w:color w:val="1A1A1A"/>
          <w:sz w:val="21"/>
          <w:szCs w:val="21"/>
        </w:rPr>
        <w:t xml:space="preserve">The accompanying drawings, which are incorporated in and constitute part of this specification, illustrate embodiments of the invention and, together with the description, serve to explain the principles of the invention. For formal filing, these should be redrawn by the Patent Agent's draughtsperson in accordance with CGPDTM drawing requirements (numbered reference signs, plain line art, sheet numbering per Patent Rules, 2003).</w:t>
      </w:r>
    </w:p>
    <w:p>
      <w:pPr>
        <w:spacing w:after="80"/>
      </w:pPr>
      <w:r>
        <w:rPr>
          <w:b/>
          <w:bCs/>
          <w:color w:val="13294B"/>
          <w:sz w:val="21"/>
          <w:szCs w:val="21"/>
        </w:rPr>
        <w:t xml:space="preserve">Figure 1. Overall System Architecture —</w:t>
      </w:r>
    </w:p>
    <w:p>
      <w:pPr>
        <w:spacing w:after="160" w:line="300"/>
        <w:jc w:val="both"/>
      </w:pPr>
      <w:r>
        <w:rPr>
          <w:b w:val="false"/>
          <w:bCs w:val="false"/>
          <w:i w:val="false"/>
          <w:iCs w:val="false"/>
          <w:color w:val="1A1A1A"/>
          <w:sz w:val="21"/>
          <w:szCs w:val="21"/>
        </w:rPr>
        <w:t xml:space="preserve">depicts the client application, the shared application-state data structure, the five core cooperating modules (location-resolution, mapping abstraction, geofencing, fare computation, dispatch/tracking), the dual-path mapping abstraction (keyless default and optional commercial provider), and the festival-context orchestration and multi-locale language modules as cross-cutting layers.</w:t>
      </w:r>
    </w:p>
    <w:p>
      <w:pPr>
        <w:spacing w:after="80"/>
      </w:pPr>
      <w:r>
        <w:rPr>
          <w:b/>
          <w:bCs/>
          <w:color w:val="13294B"/>
          <w:sz w:val="21"/>
          <w:szCs w:val="21"/>
        </w:rPr>
        <w:t xml:space="preserve">Figure 2. Shared Booking Pipeline (Workflow) —</w:t>
      </w:r>
    </w:p>
    <w:p>
      <w:pPr>
        <w:spacing w:after="160" w:line="300"/>
        <w:jc w:val="both"/>
      </w:pPr>
      <w:r>
        <w:rPr>
          <w:b w:val="false"/>
          <w:bCs w:val="false"/>
          <w:i w:val="false"/>
          <w:iCs w:val="false"/>
          <w:color w:val="1A1A1A"/>
          <w:sz w:val="21"/>
          <w:szCs w:val="21"/>
        </w:rPr>
        <w:t xml:space="preserve">depicts the seven-stage pipeline (booking-type selection, location resolution, geofence validation, mapping/route geometry, vehicle-class/fare computation, dispatch simulation/live tracking, receipt/history) re-entered for each of the four supported booking types.</w:t>
      </w:r>
    </w:p>
    <w:p>
      <w:pPr>
        <w:spacing w:after="80"/>
      </w:pPr>
      <w:r>
        <w:rPr>
          <w:b/>
          <w:bCs/>
          <w:color w:val="13294B"/>
          <w:sz w:val="21"/>
          <w:szCs w:val="21"/>
        </w:rPr>
        <w:t xml:space="preserve">Figure 3. Event-Logistics Module Data Flow —</w:t>
      </w:r>
    </w:p>
    <w:p>
      <w:pPr>
        <w:spacing w:after="160" w:line="300"/>
        <w:jc w:val="both"/>
      </w:pPr>
      <w:r>
        <w:rPr>
          <w:b w:val="false"/>
          <w:bCs w:val="false"/>
          <w:i w:val="false"/>
          <w:iCs w:val="false"/>
          <w:color w:val="1A1A1A"/>
          <w:sz w:val="21"/>
          <w:szCs w:val="21"/>
        </w:rPr>
        <w:t xml:space="preserve">depicts the event record created upon entry to the event-logistics module, its constituent multi-stop transport itinerary, vendor marketplace/booking list, budget tracker, guest manager, and ritual/task checklist, and the cross-module update triggered by a vendor-booking action.</w:t>
      </w:r>
    </w:p>
    <w:p>
      <w:pPr>
        <w:spacing w:after="80"/>
      </w:pPr>
      <w:r>
        <w:rPr>
          <w:b/>
          <w:bCs/>
          <w:color w:val="13294B"/>
          <w:sz w:val="21"/>
          <w:szCs w:val="21"/>
        </w:rPr>
        <w:t xml:space="preserve">Figure 4. Fare-Computation Process Flow —</w:t>
      </w:r>
    </w:p>
    <w:p>
      <w:pPr>
        <w:spacing w:after="160" w:line="300"/>
        <w:jc w:val="both"/>
      </w:pPr>
      <w:r>
        <w:rPr>
          <w:b w:val="false"/>
          <w:bCs w:val="false"/>
          <w:i w:val="false"/>
          <w:iCs w:val="false"/>
          <w:color w:val="1A1A1A"/>
          <w:sz w:val="21"/>
          <w:szCs w:val="21"/>
        </w:rPr>
        <w:t xml:space="preserve">[To be prepared by Patent Agent/draughtsperson] — a step-by-step flow corresponding to Algorithm 1 (Section 16), depicting base/distance/time component computation, conditional surge evaluation, optional protection-fee addition, and tax application.</w:t>
      </w:r>
    </w:p>
    <w:p>
      <w:pPr>
        <w:spacing w:after="80"/>
      </w:pPr>
      <w:r>
        <w:rPr>
          <w:b/>
          <w:bCs/>
          <w:color w:val="13294B"/>
          <w:sz w:val="21"/>
          <w:szCs w:val="21"/>
        </w:rPr>
        <w:t xml:space="preserve">Figure 5. Geofence Validation Process Flow —</w:t>
      </w:r>
    </w:p>
    <w:p>
      <w:pPr>
        <w:spacing w:after="160" w:line="300"/>
        <w:jc w:val="both"/>
      </w:pPr>
      <w:r>
        <w:rPr>
          <w:b w:val="false"/>
          <w:bCs w:val="false"/>
          <w:i w:val="false"/>
          <w:iCs w:val="false"/>
          <w:color w:val="1A1A1A"/>
          <w:sz w:val="21"/>
          <w:szCs w:val="21"/>
        </w:rPr>
        <w:t xml:space="preserve">[To be prepared by Patent Agent/draughtsperson] — a step-by-step flow corresponding to Algorithm 2 (Section 16), depicting per-coordinate boundary testing across the pickup/drop or multi-stop coordinate set.</w:t>
      </w:r>
    </w:p>
    <w:p>
      <w:pPr>
        <w:spacing w:after="80"/>
      </w:pPr>
      <w:r>
        <w:rPr>
          <w:b/>
          <w:bCs/>
          <w:color w:val="13294B"/>
          <w:sz w:val="21"/>
          <w:szCs w:val="21"/>
        </w:rPr>
        <w:t xml:space="preserve">Figure 6. Festival-Context State Transition Diagram —</w:t>
      </w:r>
    </w:p>
    <w:p>
      <w:pPr>
        <w:spacing w:after="160" w:line="300"/>
        <w:jc w:val="both"/>
      </w:pPr>
      <w:r>
        <w:rPr>
          <w:b w:val="false"/>
          <w:bCs w:val="false"/>
          <w:i w:val="false"/>
          <w:iCs w:val="false"/>
          <w:color w:val="1A1A1A"/>
          <w:sz w:val="21"/>
          <w:szCs w:val="21"/>
        </w:rPr>
        <w:t xml:space="preserve">[To be prepared by Patent Agent/draughtsperson] — a state diagram depicting the predefined festival/seasonal states and the atomic update of promotional content, active offer, and localized text upon state selection or automatic detection.</w:t>
      </w:r>
    </w:p>
    <w:p>
      <w:pPr>
        <w:spacing w:after="80"/>
      </w:pPr>
      <w:r>
        <w:rPr>
          <w:b/>
          <w:bCs/>
          <w:color w:val="13294B"/>
          <w:sz w:val="21"/>
          <w:szCs w:val="21"/>
        </w:rPr>
        <w:t xml:space="preserve">Figure 7. Representative User Interface — Booking and Fare Breakdown —</w:t>
      </w:r>
    </w:p>
    <w:p>
      <w:pPr>
        <w:spacing w:after="160" w:line="300"/>
        <w:jc w:val="both"/>
      </w:pPr>
      <w:r>
        <w:rPr>
          <w:b w:val="false"/>
          <w:bCs w:val="false"/>
          <w:i w:val="false"/>
          <w:iCs w:val="false"/>
          <w:color w:val="1A1A1A"/>
          <w:sz w:val="21"/>
          <w:szCs w:val="21"/>
        </w:rPr>
        <w:t xml:space="preserve">a representative screen capture illustrating the itemized fare breakdown presented to the user prior to booking confirmation.</w:t>
      </w:r>
    </w:p>
    <w:p>
      <w:pPr>
        <w:spacing w:after="80"/>
      </w:pPr>
      <w:r>
        <w:rPr>
          <w:b/>
          <w:bCs/>
          <w:color w:val="13294B"/>
          <w:sz w:val="21"/>
          <w:szCs w:val="21"/>
        </w:rPr>
        <w:t xml:space="preserve">Figure 8. Representative User Interface — Live Tracking —</w:t>
      </w:r>
    </w:p>
    <w:p>
      <w:pPr>
        <w:spacing w:after="160" w:line="300"/>
        <w:jc w:val="both"/>
      </w:pPr>
      <w:r>
        <w:rPr>
          <w:b w:val="false"/>
          <w:bCs w:val="false"/>
          <w:i w:val="false"/>
          <w:iCs w:val="false"/>
          <w:color w:val="1A1A1A"/>
          <w:sz w:val="21"/>
          <w:szCs w:val="21"/>
        </w:rPr>
        <w:t xml:space="preserve">[To be prepared/selected by Applicant] — a representative screen capture illustrating the live-tracking interface and in-trip safety controls.</w:t>
      </w:r>
    </w:p>
    <w:p>
      <w:pPr>
        <w:pBdr>
          <w:left w:val="single" w:color="B08D2B" w:sz="18" w:space="8"/>
        </w:pBdr>
        <w:shd w:fill="FFF7E0" w:val="clear"/>
        <w:spacing w:after="160" w:before="80"/>
        <w:ind w:left="200"/>
      </w:pPr>
      <w:r>
        <w:rPr>
          <w:i/>
          <w:iCs/>
          <w:color w:val="5A4400"/>
          <w:sz w:val="20"/>
          <w:szCs w:val="20"/>
        </w:rPr>
        <w:t xml:space="preserve">NOTE: Patent drawings filed with CGPDTM must comply with Rule 15 of the Patent Rules, 2003 (durable white sheets, prescribed margins, no photographs unless unavoidable). Figures 1–3 below are presented in schematic block-diagram form suitable for adaptation into formal drawings; representative interface screen captures (Figures 7–8) are included for descriptive context and should be replaced with, or supplemented by, formal line-art figures for filing.</w:t>
      </w:r>
    </w:p>
    <w:p>
      <w:pPr>
        <w:pStyle w:val="Heading2"/>
        <w:spacing w:after="140" w:before="280"/>
      </w:pPr>
      <w:r>
        <w:rPr>
          <w:b/>
          <w:bCs/>
          <w:color w:val="13294B"/>
          <w:sz w:val="26"/>
          <w:szCs w:val="26"/>
        </w:rPr>
        <w:t xml:space="preserve">Figure 1</w:t>
      </w:r>
    </w:p>
    <w:p>
      <w:pPr>
        <w:spacing w:before="16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571750"/>
                    </a:xfrm>
                    <a:prstGeom prst="rect">
                      <a:avLst/>
                    </a:prstGeom>
                  </pic:spPr>
                </pic:pic>
              </a:graphicData>
            </a:graphic>
          </wp:inline>
        </w:drawing>
      </w:r>
    </w:p>
    <w:p>
      <w:pPr>
        <w:spacing w:after="240" w:before="60"/>
        <w:jc w:val="center"/>
      </w:pPr>
      <w:r>
        <w:rPr>
          <w:i/>
          <w:iCs/>
          <w:color w:val="5A5A5A"/>
          <w:sz w:val="19"/>
          <w:szCs w:val="19"/>
        </w:rPr>
        <w:t xml:space="preserve">Fig. 1 — Overall system architecture.</w:t>
      </w:r>
    </w:p>
    <w:p>
      <w:pPr>
        <w:pStyle w:val="Heading2"/>
        <w:spacing w:after="140" w:before="280"/>
      </w:pPr>
      <w:r>
        <w:rPr>
          <w:b/>
          <w:bCs/>
          <w:color w:val="13294B"/>
          <w:sz w:val="26"/>
          <w:szCs w:val="26"/>
        </w:rPr>
        <w:t xml:space="preserve">Figure 2</w:t>
      </w:r>
    </w:p>
    <w:p>
      <w:pPr>
        <w:spacing w:before="16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571750"/>
                    </a:xfrm>
                    <a:prstGeom prst="rect">
                      <a:avLst/>
                    </a:prstGeom>
                  </pic:spPr>
                </pic:pic>
              </a:graphicData>
            </a:graphic>
          </wp:inline>
        </w:drawing>
      </w:r>
    </w:p>
    <w:p>
      <w:pPr>
        <w:spacing w:after="240" w:before="60"/>
        <w:jc w:val="center"/>
      </w:pPr>
      <w:r>
        <w:rPr>
          <w:i/>
          <w:iCs/>
          <w:color w:val="5A5A5A"/>
          <w:sz w:val="19"/>
          <w:szCs w:val="19"/>
        </w:rPr>
        <w:t xml:space="preserve">Fig. 2 — Shared booking pipeline / workflow.</w:t>
      </w:r>
    </w:p>
    <w:p>
      <w:pPr>
        <w:pStyle w:val="Heading2"/>
        <w:spacing w:after="140" w:before="280"/>
      </w:pPr>
      <w:r>
        <w:rPr>
          <w:b/>
          <w:bCs/>
          <w:color w:val="13294B"/>
          <w:sz w:val="26"/>
          <w:szCs w:val="26"/>
        </w:rPr>
        <w:t xml:space="preserve">Figure 3</w:t>
      </w:r>
    </w:p>
    <w:p>
      <w:pPr>
        <w:spacing w:before="16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571750"/>
                    </a:xfrm>
                    <a:prstGeom prst="rect">
                      <a:avLst/>
                    </a:prstGeom>
                  </pic:spPr>
                </pic:pic>
              </a:graphicData>
            </a:graphic>
          </wp:inline>
        </w:drawing>
      </w:r>
    </w:p>
    <w:p>
      <w:pPr>
        <w:spacing w:after="240" w:before="60"/>
        <w:jc w:val="center"/>
      </w:pPr>
      <w:r>
        <w:rPr>
          <w:i/>
          <w:iCs/>
          <w:color w:val="5A5A5A"/>
          <w:sz w:val="19"/>
          <w:szCs w:val="19"/>
        </w:rPr>
        <w:t xml:space="preserve">Fig. 3 — Event-logistics module data flow.</w:t>
      </w:r>
    </w:p>
    <w:p>
      <w:r>
        <w:br w:type="page"/>
      </w:r>
    </w:p>
    <w:p>
      <w:pPr>
        <w:pStyle w:val="Heading1"/>
        <w:pageBreakBefore/>
        <w:pBdr>
          <w:bottom w:val="single" w:color="8B1E2F" w:sz="12" w:space="4"/>
        </w:pBdr>
        <w:spacing w:after="200" w:before="200"/>
      </w:pPr>
      <w:r>
        <w:rPr>
          <w:b/>
          <w:bCs/>
          <w:color w:val="13294B"/>
          <w:sz w:val="32"/>
          <w:szCs w:val="32"/>
        </w:rPr>
        <w:t xml:space="preserve">9. Detailed Description of the Invention</w:t>
      </w:r>
    </w:p>
    <w:p>
      <w:pPr>
        <w:spacing w:after="160" w:line="300"/>
        <w:jc w:val="both"/>
      </w:pPr>
      <w:r>
        <w:rPr>
          <w:b w:val="false"/>
          <w:bCs w:val="false"/>
          <w:i w:val="false"/>
          <w:iCs w:val="false"/>
          <w:color w:val="1A1A1A"/>
          <w:sz w:val="21"/>
          <w:szCs w:val="21"/>
        </w:rPr>
        <w:t xml:space="preserve">The following detailed description refers to the accompanying drawings (Section 8) and describes representative embodiments of the invention. The description is illustrative and not limiting; alternative embodiments are described in Section 10.</w:t>
      </w:r>
    </w:p>
    <w:p>
      <w:pPr>
        <w:pStyle w:val="Heading2"/>
        <w:spacing w:after="140" w:before="280"/>
      </w:pPr>
      <w:r>
        <w:rPr>
          <w:b/>
          <w:bCs/>
          <w:color w:val="13294B"/>
          <w:sz w:val="26"/>
          <w:szCs w:val="26"/>
        </w:rPr>
        <w:t xml:space="preserve">9.1 Overall Architecture</w:t>
      </w:r>
    </w:p>
    <w:p>
      <w:pPr>
        <w:spacing w:after="160" w:line="300"/>
        <w:jc w:val="both"/>
      </w:pPr>
      <w:r>
        <w:rPr>
          <w:b w:val="false"/>
          <w:bCs w:val="false"/>
          <w:i w:val="false"/>
          <w:iCs w:val="false"/>
          <w:color w:val="1A1A1A"/>
          <w:sz w:val="21"/>
          <w:szCs w:val="21"/>
        </w:rPr>
        <w:t xml:space="preserve">Referring to Fig. 1, the system (100) comprises a client application (110) implemented using web/mobile-compatible markup, styling, and scripting technologies, structured around a shared application-state data structure (120) and a set of cooperating modules: a location-resolution module (130), a mapping abstraction module (140), a geofencing module (150), a fare-computation module (160), and a dispatch/tracking module (170). A festival-context orchestration module (180) and a multi-locale language module (190) operate as cross-cutting layers, each reading from and writing to the shared application-state data structure (120).</w:t>
      </w:r>
    </w:p>
    <w:p>
      <w:pPr>
        <w:pStyle w:val="Heading2"/>
        <w:spacing w:after="140" w:before="280"/>
      </w:pPr>
      <w:r>
        <w:rPr>
          <w:b/>
          <w:bCs/>
          <w:color w:val="13294B"/>
          <w:sz w:val="26"/>
          <w:szCs w:val="26"/>
        </w:rPr>
        <w:t xml:space="preserve">9.2 System Components — Hardware</w:t>
      </w:r>
    </w:p>
    <w:p>
      <w:pPr>
        <w:spacing w:after="160" w:line="300"/>
        <w:jc w:val="both"/>
      </w:pPr>
      <w:r>
        <w:rPr>
          <w:b w:val="false"/>
          <w:bCs w:val="false"/>
          <w:i w:val="false"/>
          <w:iCs w:val="false"/>
          <w:color w:val="1A1A1A"/>
          <w:sz w:val="21"/>
          <w:szCs w:val="21"/>
        </w:rPr>
        <w:t xml:space="preserve">The invention, in its presently reduced-to-practice form, executes on general-purpose consumer computing hardware — a smartphone, tablet, or personal computer capable of executing a modern web browser or equivalent application runtime, together with a device location sensor (e.g., a Global Positioning System receiver or network-based location service) used by the location-resolution module (130). A production embodiment additionally contemplates one or more server-class computing devices hosting a backend dispatch service, described further in Section 10 (Embodiment 3).</w:t>
      </w:r>
    </w:p>
    <w:p>
      <w:pPr>
        <w:pStyle w:val="Heading2"/>
        <w:spacing w:after="140" w:before="280"/>
      </w:pPr>
      <w:r>
        <w:rPr>
          <w:b/>
          <w:bCs/>
          <w:color w:val="13294B"/>
          <w:sz w:val="26"/>
          <w:szCs w:val="26"/>
        </w:rPr>
        <w:t xml:space="preserve">9.3 System Components — Software</w:t>
      </w:r>
    </w:p>
    <w:p>
      <w:pPr>
        <w:spacing w:after="160" w:line="300"/>
        <w:jc w:val="both"/>
      </w:pPr>
      <w:r>
        <w:rPr>
          <w:b w:val="false"/>
          <w:bCs w:val="false"/>
          <w:i w:val="false"/>
          <w:iCs w:val="false"/>
          <w:color w:val="1A1A1A"/>
          <w:sz w:val="21"/>
          <w:szCs w:val="21"/>
        </w:rPr>
        <w:t xml:space="preserve">The client application (110) is implemented in a markup language, a style-sheet language, and a general-purpose scripting language, bundled by a build tool for deployment as a static or installable web application. The mapping abstraction module (140) is backed, in its default configuration, by an open-data map-rendering library, an open-data route-geometry computation service compatible with contraction-hierarchy-based routing, and an open-data place-search/geocoding service, none of which require an API credential. Upon detection of a supplied commercial mapping-service credential, entered via a configuration interface of the client application (110), the mapping abstraction module (140) re-initializes against the corresponding commercial mapping, place-autocomplete, and directions services.</w:t>
      </w:r>
    </w:p>
    <w:p>
      <w:pPr>
        <w:pStyle w:val="Heading2"/>
        <w:spacing w:after="140" w:before="280"/>
      </w:pPr>
      <w:r>
        <w:rPr>
          <w:b/>
          <w:bCs/>
          <w:color w:val="13294B"/>
          <w:sz w:val="26"/>
          <w:szCs w:val="26"/>
        </w:rPr>
        <w:t xml:space="preserve">9.4 Modules — Location-Resolution Module (130)</w:t>
      </w:r>
    </w:p>
    <w:p>
      <w:pPr>
        <w:spacing w:after="160" w:line="300"/>
        <w:jc w:val="both"/>
      </w:pPr>
      <w:r>
        <w:rPr>
          <w:b w:val="false"/>
          <w:bCs w:val="false"/>
          <w:i w:val="false"/>
          <w:iCs w:val="false"/>
          <w:color w:val="1A1A1A"/>
          <w:sz w:val="21"/>
          <w:szCs w:val="21"/>
        </w:rPr>
        <w:t xml:space="preserve">The location-resolution module (130) receives a pickup location and, depending on the active booking type, either a single drop location or a sequence of named stop locations, via a place-autocomplete interface, a direct map interaction, or a device-location-sensor-derived coordinate. Resolved locations are represented as coordinate pairs (latitude, longitude) irrespective of the resolution method or the active mapping provider, and are written to the shared application-state data structure (120).</w:t>
      </w:r>
    </w:p>
    <w:p>
      <w:pPr>
        <w:pStyle w:val="Heading2"/>
        <w:spacing w:after="140" w:before="280"/>
      </w:pPr>
      <w:r>
        <w:rPr>
          <w:b/>
          <w:bCs/>
          <w:color w:val="13294B"/>
          <w:sz w:val="26"/>
          <w:szCs w:val="26"/>
        </w:rPr>
        <w:t xml:space="preserve">9.5 Modules — Mapping Abstraction Module (140)</w:t>
      </w:r>
    </w:p>
    <w:p>
      <w:pPr>
        <w:spacing w:after="160" w:line="300"/>
        <w:jc w:val="both"/>
      </w:pPr>
      <w:r>
        <w:rPr>
          <w:b w:val="false"/>
          <w:bCs w:val="false"/>
          <w:i w:val="false"/>
          <w:iCs w:val="false"/>
          <w:color w:val="1A1A1A"/>
          <w:sz w:val="21"/>
          <w:szCs w:val="21"/>
        </w:rPr>
        <w:t xml:space="preserve">The mapping abstraction module (140) exposes a single interface for map rendering and route-geometry computation to the remainder of the system. In a first (default) operating mode, this interface is backed by a keyless map-rendering library, a route-geometry service compatible with an open-data routing engine, and a fallback great-circle-distance computation (Section 16, Algorithm 2 note; Section 19 mathematical treatment omitted from this document and provided in the associated technical disclosure) for use when no network route-geometry service is reachable. In a second (optional) operating mode, activated upon detection of a supplied commercial mapping-service credential, the same interface is backed by a commercial mapping application programming interface. Critically, the geofencing module (150) and the fare-computation module (160) consume only a coordinate set, a route distance value, and a route duration value from the mapping abstraction module (140) — not provider-specific data structures — such that neither downstream module requires modification when the operating mode changes.</w:t>
      </w:r>
    </w:p>
    <w:p>
      <w:pPr>
        <w:pStyle w:val="Heading2"/>
        <w:spacing w:after="140" w:before="280"/>
      </w:pPr>
      <w:r>
        <w:rPr>
          <w:b/>
          <w:bCs/>
          <w:color w:val="13294B"/>
          <w:sz w:val="26"/>
          <w:szCs w:val="26"/>
        </w:rPr>
        <w:t xml:space="preserve">9.6 Modules — Geofencing Module (150)</w:t>
      </w:r>
    </w:p>
    <w:p>
      <w:pPr>
        <w:spacing w:after="160" w:line="300"/>
        <w:jc w:val="both"/>
      </w:pPr>
      <w:r>
        <w:rPr>
          <w:b w:val="false"/>
          <w:bCs w:val="false"/>
          <w:i w:val="false"/>
          <w:iCs w:val="false"/>
          <w:color w:val="1A1A1A"/>
          <w:sz w:val="21"/>
          <w:szCs w:val="21"/>
        </w:rPr>
        <w:t xml:space="preserve">The geofencing module (150) validates each coordinate in the coordinate set produced by the location-resolution module (130) against a configured service-area boundary, defined as a minimum and maximum latitude and a minimum and maximum longitude. A booking is permitted to proceed to the fare-computation module (160) only if every coordinate in the set satisfies the boundary test; otherwise, a corrective notification is generated for presentation to the user. The boundary test is performed identically regardless of which mapping-abstraction operating mode produced the coordinate set.</w:t>
      </w:r>
    </w:p>
    <w:p>
      <w:pPr>
        <w:pStyle w:val="Heading2"/>
        <w:spacing w:after="140" w:before="280"/>
      </w:pPr>
      <w:r>
        <w:rPr>
          <w:b/>
          <w:bCs/>
          <w:color w:val="13294B"/>
          <w:sz w:val="26"/>
          <w:szCs w:val="26"/>
        </w:rPr>
        <w:t xml:space="preserve">9.7 Modules — Fare-Computation Module (160)</w:t>
      </w:r>
    </w:p>
    <w:p>
      <w:pPr>
        <w:spacing w:after="160" w:line="300"/>
        <w:jc w:val="both"/>
      </w:pPr>
      <w:r>
        <w:rPr>
          <w:b w:val="false"/>
          <w:bCs w:val="false"/>
          <w:i w:val="false"/>
          <w:iCs w:val="false"/>
          <w:color w:val="1A1A1A"/>
          <w:sz w:val="21"/>
          <w:szCs w:val="21"/>
        </w:rPr>
        <w:t xml:space="preserve">The fare-computation module (160) computes, for a vehicle class selected from a plurality of vehicle classes associated with the currently active booking type, an itemized fare comprising a base component, a distance-based component computed from the route distance value, a time-based component computed from the route duration value, a conditionally applied demand-based surge multiplier, an optionally selected flat protection-fee component, and a tax component computed from the sum of the foregoing. The itemized breakdown is re-computed and re-presented to the user upon any change to the selected vehicle class or the protection-fee selection, prior to booking confirmation. The detailed algorithmic steps are set out in Section 16 (Algorithm 1).</w:t>
      </w:r>
    </w:p>
    <w:p>
      <w:pPr>
        <w:pStyle w:val="Heading2"/>
        <w:spacing w:after="140" w:before="280"/>
      </w:pPr>
      <w:r>
        <w:rPr>
          <w:b/>
          <w:bCs/>
          <w:color w:val="13294B"/>
          <w:sz w:val="26"/>
          <w:szCs w:val="26"/>
        </w:rPr>
        <w:t xml:space="preserve">9.8 Modules — Dispatch/Tracking Module (170)</w:t>
      </w:r>
    </w:p>
    <w:p>
      <w:pPr>
        <w:spacing w:after="160" w:line="300"/>
        <w:jc w:val="both"/>
      </w:pPr>
      <w:r>
        <w:rPr>
          <w:b w:val="false"/>
          <w:bCs w:val="false"/>
          <w:i w:val="false"/>
          <w:iCs w:val="false"/>
          <w:color w:val="1A1A1A"/>
          <w:sz w:val="21"/>
          <w:szCs w:val="21"/>
        </w:rPr>
        <w:t xml:space="preserve">The dispatch/tracking module (170) simulates or performs matching of the booking to an available service provider (driver), and, upon successful matching, renders a live-tracking interface comprising an animated representation of route progress, an estimated-time-of-arrival value, and in-session controls including a fare-splitting link generator, a live-location-sharing link generator, and an emergency-alert ("SOS") trigger.</w:t>
      </w:r>
    </w:p>
    <w:p>
      <w:pPr>
        <w:pStyle w:val="Heading2"/>
        <w:spacing w:after="140" w:before="280"/>
      </w:pPr>
      <w:r>
        <w:rPr>
          <w:b/>
          <w:bCs/>
          <w:color w:val="13294B"/>
          <w:sz w:val="26"/>
          <w:szCs w:val="26"/>
        </w:rPr>
        <w:t xml:space="preserve">9.9 Modules — Festival-Context Orchestration Module (180)</w:t>
      </w:r>
    </w:p>
    <w:p>
      <w:pPr>
        <w:spacing w:after="160" w:line="300"/>
        <w:jc w:val="both"/>
      </w:pPr>
      <w:r>
        <w:rPr>
          <w:b w:val="false"/>
          <w:bCs w:val="false"/>
          <w:i w:val="false"/>
          <w:iCs w:val="false"/>
          <w:color w:val="1A1A1A"/>
          <w:sz w:val="21"/>
          <w:szCs w:val="21"/>
        </w:rPr>
        <w:t xml:space="preserve">The festival-context orchestration module (180) maintains a plurality of predefined context states, each state associated with (a) a promotional content configuration, (b) a designated dedicated service or offer, and (c) a set of parallel text values in each of a plurality of supported languages. Upon receiving a user selection or an automatic determination of an active state, the module (180) performs a single state-transition operation that updates the promotional content configuration, the designated offer as exposed on a service-selection interface, and the rendered interface text, together, without requiring independent reconfiguration of each.</w:t>
      </w:r>
    </w:p>
    <w:p>
      <w:pPr>
        <w:pStyle w:val="Heading2"/>
        <w:spacing w:after="140" w:before="280"/>
      </w:pPr>
      <w:r>
        <w:rPr>
          <w:b/>
          <w:bCs/>
          <w:color w:val="13294B"/>
          <w:sz w:val="26"/>
          <w:szCs w:val="26"/>
        </w:rPr>
        <w:t xml:space="preserve">9.10 Modules — Multi-Locale Language Module (190)</w:t>
      </w:r>
    </w:p>
    <w:p>
      <w:pPr>
        <w:spacing w:after="160" w:line="300"/>
        <w:jc w:val="both"/>
      </w:pPr>
      <w:r>
        <w:rPr>
          <w:b w:val="false"/>
          <w:bCs w:val="false"/>
          <w:i w:val="false"/>
          <w:iCs w:val="false"/>
          <w:color w:val="1A1A1A"/>
          <w:sz w:val="21"/>
          <w:szCs w:val="21"/>
        </w:rPr>
        <w:t xml:space="preserve">The multi-locale language module (190) resolves, at render time, an active-language attribute associated with each unit of interface text — including text generated dynamically by the festival-context orchestration module (180) or by the event-logistics module (Section 9.11) — against a currently selected language state, such that a single language-selection action causes all visible text, static and dynamically generated alike, to be rendered in the selected language without per-screen localized templates.</w:t>
      </w:r>
    </w:p>
    <w:p>
      <w:pPr>
        <w:pStyle w:val="Heading2"/>
        <w:spacing w:after="140" w:before="280"/>
      </w:pPr>
      <w:r>
        <w:rPr>
          <w:b/>
          <w:bCs/>
          <w:color w:val="13294B"/>
          <w:sz w:val="26"/>
          <w:szCs w:val="26"/>
        </w:rPr>
        <w:t xml:space="preserve">9.11 Modules — Event-Logistics Module (SafarShaadi Embodiment)</w:t>
      </w:r>
    </w:p>
    <w:p>
      <w:pPr>
        <w:spacing w:after="160" w:line="300"/>
        <w:jc w:val="both"/>
      </w:pPr>
      <w:r>
        <w:rPr>
          <w:b w:val="false"/>
          <w:bCs w:val="false"/>
          <w:i w:val="false"/>
          <w:iCs w:val="false"/>
          <w:color w:val="1A1A1A"/>
          <w:sz w:val="21"/>
          <w:szCs w:val="21"/>
        </w:rPr>
        <w:t xml:space="preserve">The event-logistics module, in a presently preferred embodiment directed to wedding-event logistics, creates an event record associated with a user account upon entry to the module. The event record comprises: a multi-stop transport itinerary produced by the location-resolution module (130) operating in an event-convoy booking-type configuration; a filterable vendor-marketplace interface presenting vendor listings associated with configurable service categories and filterable according to a preference criterion captured during an earlier stage of the booking flow; a budget tracker comprising a user-defined budget value and a cumulative-spend value; a guest-manager data structure comprising, for each of a plurality of guest entries, a meal-preference value and an RSVP-status value; and a ritual/task checklist data structure comprising a plurality of milestone entries, each markable as complete. A vendor-booking action received via the vendor-marketplace interface updates both a vendor-booking list and the cumulative-spend value of the budget tracker, within the same event record, without requiring re-entry into the transport-booking flow.</w:t>
      </w:r>
    </w:p>
    <w:p>
      <w:pPr>
        <w:pStyle w:val="Heading2"/>
        <w:spacing w:after="140" w:before="280"/>
      </w:pPr>
      <w:r>
        <w:rPr>
          <w:b/>
          <w:bCs/>
          <w:color w:val="13294B"/>
          <w:sz w:val="26"/>
          <w:szCs w:val="26"/>
        </w:rPr>
        <w:t xml:space="preserve">9.12 Communication and Data Flow</w:t>
      </w:r>
    </w:p>
    <w:p>
      <w:pPr>
        <w:spacing w:after="160" w:line="300"/>
        <w:jc w:val="both"/>
      </w:pPr>
      <w:r>
        <w:rPr>
          <w:b w:val="false"/>
          <w:bCs w:val="false"/>
          <w:i w:val="false"/>
          <w:iCs w:val="false"/>
          <w:color w:val="1A1A1A"/>
          <w:sz w:val="21"/>
          <w:szCs w:val="21"/>
        </w:rPr>
        <w:t xml:space="preserve">Inter-module communication occurs through read and write operations on the shared application-state data structure (120) rather than through direct module-to-module function calls, such that a state change effected by one module (for example, a festival-context state transition effected by module (180)) becomes immediately visible to any other module that reads the corresponding portion of the shared state (for example, a promotional-offer display consumed by the fare-computation module (160)) without an explicit inter-module message or a page/screen transition.</w:t>
      </w:r>
    </w:p>
    <w:p>
      <w:pPr>
        <w:pStyle w:val="Heading2"/>
        <w:spacing w:after="140" w:before="280"/>
      </w:pPr>
      <w:r>
        <w:rPr>
          <w:b/>
          <w:bCs/>
          <w:color w:val="13294B"/>
          <w:sz w:val="26"/>
          <w:szCs w:val="26"/>
        </w:rPr>
        <w:t xml:space="preserve">9.13 Security, Error Handling, and Recovery</w:t>
      </w:r>
    </w:p>
    <w:p>
      <w:pPr>
        <w:spacing w:after="160" w:line="300"/>
        <w:jc w:val="both"/>
      </w:pPr>
      <w:r>
        <w:rPr>
          <w:b w:val="false"/>
          <w:bCs w:val="false"/>
          <w:i w:val="false"/>
          <w:iCs w:val="false"/>
          <w:color w:val="1A1A1A"/>
          <w:sz w:val="21"/>
          <w:szCs w:val="21"/>
        </w:rPr>
        <w:t xml:space="preserve">The system incorporates a women's-safety configuration linking a driver-preference constraint to an emergency-alert dispatch pathway; a global error-handling mechanism that intercepts otherwise-uncaught application errors and renders a recoverable in-application notification in place of an unhandled failure state; and explicit degraded-operation modes, including a reduced-bandwidth ("low-data") rendering mode and an offline/cached-data operating mode, each surfaced to the user through a consistent notification interface rather than through silent failure.</w:t>
      </w:r>
    </w:p>
    <w:p>
      <w:pPr>
        <w:pStyle w:val="Heading2"/>
        <w:spacing w:after="140" w:before="280"/>
      </w:pPr>
      <w:r>
        <w:rPr>
          <w:b/>
          <w:bCs/>
          <w:color w:val="13294B"/>
          <w:sz w:val="26"/>
          <w:szCs w:val="26"/>
        </w:rPr>
        <w:t xml:space="preserve">9.14 Scalability, Performance, and Industrial Deployment</w:t>
      </w:r>
    </w:p>
    <w:p>
      <w:pPr>
        <w:spacing w:after="160" w:line="300"/>
        <w:jc w:val="both"/>
      </w:pPr>
      <w:r>
        <w:rPr>
          <w:b w:val="false"/>
          <w:bCs w:val="false"/>
          <w:i w:val="false"/>
          <w:iCs w:val="false"/>
          <w:color w:val="1A1A1A"/>
          <w:sz w:val="21"/>
          <w:szCs w:val="21"/>
        </w:rPr>
        <w:t xml:space="preserve">As set out in Section 16.3, the fare-computation module (160) and the geofencing module (150) execute in constant or linear time relative to the number of coordinates validated, such that the dominant latency contribution in a deployed system is expected to arise from network round-trip time to the active mapping-abstraction provider and, in a multi-user production deployment, from the backend dispatch service described in Section 10 (Embodiment 3) rather than from the fare or geofencing computations themselves. Industrial deployment considerations, including backend scaling, are further addressed in Section 13 (Industrial Applicability).</w:t>
      </w:r>
    </w:p>
    <w:p>
      <w:pPr>
        <w:pStyle w:val="Heading1"/>
        <w:pageBreakBefore/>
        <w:pBdr>
          <w:bottom w:val="single" w:color="8B1E2F" w:sz="12" w:space="4"/>
        </w:pBdr>
        <w:spacing w:after="200" w:before="200"/>
      </w:pPr>
      <w:r>
        <w:rPr>
          <w:b/>
          <w:bCs/>
          <w:color w:val="13294B"/>
          <w:sz w:val="32"/>
          <w:szCs w:val="32"/>
        </w:rPr>
        <w:t xml:space="preserve">10. Preferred Embodiments</w:t>
      </w:r>
    </w:p>
    <w:p>
      <w:pPr>
        <w:pStyle w:val="Heading2"/>
        <w:spacing w:after="140" w:before="280"/>
      </w:pPr>
      <w:r>
        <w:rPr>
          <w:b/>
          <w:bCs/>
          <w:color w:val="13294B"/>
          <w:sz w:val="26"/>
          <w:szCs w:val="26"/>
        </w:rPr>
        <w:t xml:space="preserve">Embodiment 1 — Keyless Baseline Embodiment</w:t>
      </w:r>
    </w:p>
    <w:p>
      <w:pPr>
        <w:spacing w:after="160" w:line="300"/>
        <w:jc w:val="both"/>
      </w:pPr>
      <w:r>
        <w:rPr>
          <w:b w:val="false"/>
          <w:bCs w:val="false"/>
          <w:i w:val="false"/>
          <w:iCs w:val="false"/>
          <w:color w:val="1A1A1A"/>
          <w:sz w:val="21"/>
          <w:szCs w:val="21"/>
        </w:rPr>
        <w:t xml:space="preserve">In a first, presently reduced-to-practice embodiment, the mapping abstraction module (140) operates exclusively in its default (keyless) operating mode. This embodiment is suited to low-cost, rapid regional deployment where commercial mapping-API expenditure is undesirable, and demonstrates that the geofencing module (150), fare-computation module (160), and dispatch/tracking module (170) function correctly using only open-data mapping input.</w:t>
      </w:r>
    </w:p>
    <w:p>
      <w:pPr>
        <w:pStyle w:val="Heading2"/>
        <w:spacing w:after="140" w:before="280"/>
      </w:pPr>
      <w:r>
        <w:rPr>
          <w:b/>
          <w:bCs/>
          <w:color w:val="13294B"/>
          <w:sz w:val="26"/>
          <w:szCs w:val="26"/>
        </w:rPr>
        <w:t xml:space="preserve">Embodiment 2 — Commercial-Provider-Augmented Embodiment</w:t>
      </w:r>
    </w:p>
    <w:p>
      <w:pPr>
        <w:spacing w:after="160" w:line="300"/>
        <w:jc w:val="both"/>
      </w:pPr>
      <w:r>
        <w:rPr>
          <w:b w:val="false"/>
          <w:bCs w:val="false"/>
          <w:i w:val="false"/>
          <w:iCs w:val="false"/>
          <w:color w:val="1A1A1A"/>
          <w:sz w:val="21"/>
          <w:szCs w:val="21"/>
        </w:rPr>
        <w:t xml:space="preserve">In a second embodiment, an operator supplies a commercial mapping-service credential via the client application's configuration interface, causing the mapping abstraction module (140) to operate in its second (commercial) mode. This embodiment is suited to deployments prioritizing mapping data currency and route-quality over operating cost, and demonstrates the transparent-substitution property of the mapping abstraction module (140) without modification to the geofencing or fare-computation modules.</w:t>
      </w:r>
    </w:p>
    <w:p>
      <w:pPr>
        <w:pStyle w:val="Heading2"/>
        <w:spacing w:after="140" w:before="280"/>
      </w:pPr>
      <w:r>
        <w:rPr>
          <w:b/>
          <w:bCs/>
          <w:color w:val="13294B"/>
          <w:sz w:val="26"/>
          <w:szCs w:val="26"/>
        </w:rPr>
        <w:t xml:space="preserve">Embodiment 3 — Production/Backend-Integrated Embodiment</w:t>
      </w:r>
    </w:p>
    <w:p>
      <w:pPr>
        <w:spacing w:after="160" w:line="300"/>
        <w:jc w:val="both"/>
      </w:pPr>
      <w:r>
        <w:rPr>
          <w:b w:val="false"/>
          <w:bCs w:val="false"/>
          <w:i w:val="false"/>
          <w:iCs w:val="false"/>
          <w:color w:val="1A1A1A"/>
          <w:sz w:val="21"/>
          <w:szCs w:val="21"/>
        </w:rPr>
        <w:t xml:space="preserve">In a third, presently contemplated (not yet reduced to practice) embodiment, the client application (110) communicates with a backend dispatch service hosted on one or more server-class computing devices, which maintains a persistent, multi-user data store in place of the client-local application-state data structure (120), coordinates driver/vendor supply across concurrent users, and integrates a payment-gateway service for settlement of fares and vendor payments. This embodiment is directed to full-scale commercial deployment and is described further in Section 13 (Industrial Applicability) and Section 23 (Commercialization Strategy).</w:t>
      </w:r>
    </w:p>
    <w:p>
      <w:pPr>
        <w:pStyle w:val="Heading2"/>
        <w:spacing w:after="140" w:before="280"/>
      </w:pPr>
      <w:r>
        <w:rPr>
          <w:b/>
          <w:bCs/>
          <w:color w:val="13294B"/>
          <w:sz w:val="26"/>
          <w:szCs w:val="26"/>
        </w:rPr>
        <w:t xml:space="preserve">Embodiment 4 — Alternative Service-Category Configuration</w:t>
      </w:r>
    </w:p>
    <w:p>
      <w:pPr>
        <w:spacing w:after="160" w:line="300"/>
        <w:jc w:val="both"/>
      </w:pPr>
      <w:r>
        <w:rPr>
          <w:b w:val="false"/>
          <w:bCs w:val="false"/>
          <w:i w:val="false"/>
          <w:iCs w:val="false"/>
          <w:color w:val="1A1A1A"/>
          <w:sz w:val="21"/>
          <w:szCs w:val="21"/>
        </w:rPr>
        <w:t xml:space="preserve">In a further embodiment, the shared booking pipeline (Fig. 2) is configured with an additional booking-type parameter value and an associated vehicle/rate table directed to a service category other than the four presently implemented (for example, intercity freight or scheduled event-catering delivery), illustrating the extensibility of the shared-pipeline architecture to service categories beyond those specifically described in Section 9.</w:t>
      </w:r>
    </w:p>
    <w:p>
      <w:pPr>
        <w:pStyle w:val="Heading2"/>
        <w:spacing w:after="140" w:before="280"/>
      </w:pPr>
      <w:r>
        <w:rPr>
          <w:b/>
          <w:bCs/>
          <w:color w:val="13294B"/>
          <w:sz w:val="26"/>
          <w:szCs w:val="26"/>
        </w:rPr>
        <w:t xml:space="preserve">Embodiment 5 — Alternative Event-Logistics Configuration</w:t>
      </w:r>
    </w:p>
    <w:p>
      <w:pPr>
        <w:spacing w:after="160" w:line="300"/>
        <w:jc w:val="both"/>
      </w:pPr>
      <w:r>
        <w:rPr>
          <w:b w:val="false"/>
          <w:bCs w:val="false"/>
          <w:i w:val="false"/>
          <w:iCs w:val="false"/>
          <w:color w:val="1A1A1A"/>
          <w:sz w:val="21"/>
          <w:szCs w:val="21"/>
        </w:rPr>
        <w:t xml:space="preserve">In a further embodiment, the event-logistics module (Section 9.11) is configured for an event type other than a wedding (for example, a religious pilgrimage group event or a large family gathering), with the vendor-marketplace category set, the ritual/task checklist entries, and the filter criteria reconfigured accordingly, while the underlying event-record data structure — multi-stop itinerary, vendor marketplace/budget tracker coupling, guest manager, and task checklist — remains unchanged.</w:t>
      </w:r>
    </w:p>
    <w:p>
      <w:pPr>
        <w:pStyle w:val="Heading2"/>
        <w:spacing w:after="140" w:before="280"/>
      </w:pPr>
      <w:r>
        <w:rPr>
          <w:b/>
          <w:bCs/>
          <w:color w:val="13294B"/>
          <w:sz w:val="26"/>
          <w:szCs w:val="26"/>
        </w:rPr>
        <w:t xml:space="preserve">Optional / Future Variants</w:t>
      </w:r>
    </w:p>
    <w:p>
      <w:pPr>
        <w:pStyle w:val="ListParagraph"/>
        <w:numPr>
          <w:ilvl w:val="0"/>
          <w:numId w:val="1"/>
        </w:numPr>
        <w:spacing w:after="90"/>
      </w:pPr>
      <w:r>
        <w:rPr>
          <w:sz w:val="21"/>
          <w:szCs w:val="21"/>
        </w:rPr>
        <w:t xml:space="preserve">A variant in which the festival-context orchestration module (180) is coupled to a demand-forecasting subsystem that proactively pre-positions driver supply ahead of a predicted festival-linked demand surge.</w:t>
      </w:r>
    </w:p>
    <w:p>
      <w:pPr>
        <w:pStyle w:val="ListParagraph"/>
        <w:numPr>
          <w:ilvl w:val="0"/>
          <w:numId w:val="1"/>
        </w:numPr>
        <w:spacing w:after="90"/>
      </w:pPr>
      <w:r>
        <w:rPr>
          <w:sz w:val="21"/>
          <w:szCs w:val="21"/>
        </w:rPr>
        <w:t xml:space="preserve">A variant in which the multi-locale language module (190) is extended to additional regional languages beyond the four presently implemented, using a corpus-driven translation-resource pipeline.</w:t>
      </w:r>
    </w:p>
    <w:p>
      <w:pPr>
        <w:pStyle w:val="ListParagraph"/>
        <w:numPr>
          <w:ilvl w:val="0"/>
          <w:numId w:val="1"/>
        </w:numPr>
        <w:spacing w:after="90"/>
      </w:pPr>
      <w:r>
        <w:rPr>
          <w:sz w:val="21"/>
          <w:szCs w:val="21"/>
        </w:rPr>
        <w:t xml:space="preserve">A variant in which the geofencing module (150) supports a non-rectangular (polygonal) service-area boundary in place of, or in addition to, the rectangular boundary described in Section 9.6.</w:t>
      </w:r>
    </w:p>
    <w:p>
      <w:pPr>
        <w:pStyle w:val="Heading1"/>
        <w:pageBreakBefore/>
        <w:pBdr>
          <w:bottom w:val="single" w:color="8B1E2F" w:sz="12" w:space="4"/>
        </w:pBdr>
        <w:spacing w:after="200" w:before="200"/>
      </w:pPr>
      <w:r>
        <w:rPr>
          <w:b/>
          <w:bCs/>
          <w:color w:val="13294B"/>
          <w:sz w:val="32"/>
          <w:szCs w:val="32"/>
        </w:rPr>
        <w:t xml:space="preserve">11. Working Examples</w:t>
      </w:r>
    </w:p>
    <w:p>
      <w:pPr>
        <w:pBdr>
          <w:left w:val="single" w:color="B08D2B" w:sz="18" w:space="8"/>
        </w:pBdr>
        <w:shd w:fill="FFF7E0" w:val="clear"/>
        <w:spacing w:after="160" w:before="80"/>
        <w:ind w:left="200"/>
      </w:pPr>
      <w:r>
        <w:rPr>
          <w:i/>
          <w:iCs/>
          <w:color w:val="5A4400"/>
          <w:sz w:val="20"/>
          <w:szCs w:val="20"/>
        </w:rPr>
        <w:t xml:space="preserve">NOTE: The following examples are illustrative, hypothetical applications of the system's deterministic algorithms (Section 16) to representative input values, provided to demonstrate how the invention operates. They are not reports of field-measured or user-collected data; no field trial has been conducted as of the date of this specification (see Section 22 and the accompanying technical disclosure for further discussion of this limitation).</w:t>
      </w:r>
    </w:p>
    <w:p>
      <w:pPr>
        <w:pStyle w:val="Heading2"/>
        <w:spacing w:after="140" w:before="280"/>
      </w:pPr>
      <w:r>
        <w:rPr>
          <w:b/>
          <w:bCs/>
          <w:color w:val="13294B"/>
          <w:sz w:val="26"/>
          <w:szCs w:val="26"/>
        </w:rPr>
        <w:t xml:space="preserve">Working Example 1 — Standard Ride Booking</w:t>
      </w:r>
    </w:p>
    <w:p>
      <w:pPr>
        <w:spacing w:after="80"/>
      </w:pPr>
      <w:r>
        <w:rPr>
          <w:b/>
          <w:bCs/>
          <w:color w:val="13294B"/>
          <w:sz w:val="21"/>
          <w:szCs w:val="21"/>
        </w:rPr>
        <w:t xml:space="preserve">Input:</w:t>
      </w:r>
    </w:p>
    <w:p>
      <w:pPr>
        <w:spacing w:after="160" w:line="300"/>
        <w:jc w:val="both"/>
      </w:pPr>
      <w:r>
        <w:rPr>
          <w:b w:val="false"/>
          <w:bCs w:val="false"/>
          <w:i w:val="false"/>
          <w:iCs w:val="false"/>
          <w:color w:val="1A1A1A"/>
          <w:sz w:val="21"/>
          <w:szCs w:val="21"/>
        </w:rPr>
        <w:t xml:space="preserve">A user selects the ride booking type; the location-resolution module (130) resolves a pickup coordinate and a drop coordinate within the configured service-area boundary; the mapping abstraction module (140), operating in its default mode, returns a route distance of 12.4 km and a route duration of 28 minutes; the user selects a standard-class vehicle and does not select the optional protection fee.</w:t>
      </w:r>
    </w:p>
    <w:p>
      <w:pPr>
        <w:spacing w:after="80"/>
      </w:pPr>
      <w:r>
        <w:rPr>
          <w:b/>
          <w:bCs/>
          <w:color w:val="13294B"/>
          <w:sz w:val="21"/>
          <w:szCs w:val="21"/>
        </w:rPr>
        <w:t xml:space="preserve">Processing:</w:t>
      </w:r>
    </w:p>
    <w:p>
      <w:pPr>
        <w:spacing w:after="160" w:line="300"/>
        <w:jc w:val="both"/>
      </w:pPr>
      <w:r>
        <w:rPr>
          <w:b w:val="false"/>
          <w:bCs w:val="false"/>
          <w:i w:val="false"/>
          <w:iCs w:val="false"/>
          <w:color w:val="1A1A1A"/>
          <w:sz w:val="21"/>
          <w:szCs w:val="21"/>
        </w:rPr>
        <w:t xml:space="preserve">The geofencing module (150) validates both coordinates as within the configured boundary and permits the booking to proceed. The fare-computation module (160) computes a base component, a distance component (12.4 km × the applicable per-kilometre rate), and a time component (28 minutes × the applicable per-minute rate); because the route distance does not exceed the configured surge threshold for this example, the surge multiplier is set to unity; the protection-fee component is zero, as it was not selected; a tax component is computed on the resulting subtotal at the configured rate.</w:t>
      </w:r>
    </w:p>
    <w:p>
      <w:pPr>
        <w:spacing w:after="80"/>
      </w:pPr>
      <w:r>
        <w:rPr>
          <w:b/>
          <w:bCs/>
          <w:color w:val="13294B"/>
          <w:sz w:val="21"/>
          <w:szCs w:val="21"/>
        </w:rPr>
        <w:t xml:space="preserve">Output:</w:t>
      </w:r>
    </w:p>
    <w:p>
      <w:pPr>
        <w:spacing w:after="160" w:line="300"/>
        <w:jc w:val="both"/>
      </w:pPr>
      <w:r>
        <w:rPr>
          <w:b w:val="false"/>
          <w:bCs w:val="false"/>
          <w:i w:val="false"/>
          <w:iCs w:val="false"/>
          <w:color w:val="1A1A1A"/>
          <w:sz w:val="21"/>
          <w:szCs w:val="21"/>
        </w:rPr>
        <w:t xml:space="preserve">An itemized fare breakdown comprising the base, distance, time, and tax components and a final total is rendered to the user for confirmation, consistent with Algorithm 1 (Section 16) and equations (1)–(3) of the accompanying mathematical model.</w:t>
      </w:r>
    </w:p>
    <w:p>
      <w:pPr>
        <w:pStyle w:val="Heading2"/>
        <w:spacing w:after="140" w:before="280"/>
      </w:pPr>
      <w:r>
        <w:rPr>
          <w:b/>
          <w:bCs/>
          <w:color w:val="13294B"/>
          <w:sz w:val="26"/>
          <w:szCs w:val="26"/>
        </w:rPr>
        <w:t xml:space="preserve">Working Example 2 — Wedding-Convoy Booking with Festival Context Active</w:t>
      </w:r>
    </w:p>
    <w:p>
      <w:pPr>
        <w:spacing w:after="80"/>
      </w:pPr>
      <w:r>
        <w:rPr>
          <w:b/>
          <w:bCs/>
          <w:color w:val="13294B"/>
          <w:sz w:val="21"/>
          <w:szCs w:val="21"/>
        </w:rPr>
        <w:t xml:space="preserve">Input:</w:t>
      </w:r>
    </w:p>
    <w:p>
      <w:pPr>
        <w:spacing w:after="160" w:line="300"/>
        <w:jc w:val="both"/>
      </w:pPr>
      <w:r>
        <w:rPr>
          <w:b w:val="false"/>
          <w:bCs w:val="false"/>
          <w:i w:val="false"/>
          <w:iCs w:val="false"/>
          <w:color w:val="1A1A1A"/>
          <w:sz w:val="21"/>
          <w:szCs w:val="21"/>
        </w:rPr>
        <w:t xml:space="preserve">A user selects the wedding-convoy booking type with the "wedding season" festival-context state active; the location-resolution module (130) resolves a three-stop itinerary (origin residence, ceremony venue, reception venue), each stop within the configured service-area boundary.</w:t>
      </w:r>
    </w:p>
    <w:p>
      <w:pPr>
        <w:spacing w:after="80"/>
      </w:pPr>
      <w:r>
        <w:rPr>
          <w:b/>
          <w:bCs/>
          <w:color w:val="13294B"/>
          <w:sz w:val="21"/>
          <w:szCs w:val="21"/>
        </w:rPr>
        <w:t xml:space="preserve">Processing:</w:t>
      </w:r>
    </w:p>
    <w:p>
      <w:pPr>
        <w:spacing w:after="160" w:line="300"/>
        <w:jc w:val="both"/>
      </w:pPr>
      <w:r>
        <w:rPr>
          <w:b w:val="false"/>
          <w:bCs w:val="false"/>
          <w:i w:val="false"/>
          <w:iCs w:val="false"/>
          <w:color w:val="1A1A1A"/>
          <w:sz w:val="21"/>
          <w:szCs w:val="21"/>
        </w:rPr>
        <w:t xml:space="preserve">The geofencing module (150) validates each of the three stop coordinates. The festival-context orchestration module (180), with the "wedding season" state active, has previously updated the available booking offer to include a discounted decorated-vehicle rate; this updated rate table is read by the fare-computation module (160) in place of the standard wedding-convoy rate table when computing the itemized fare across the multi-stop itinerary.</w:t>
      </w:r>
    </w:p>
    <w:p>
      <w:pPr>
        <w:spacing w:after="80"/>
      </w:pPr>
      <w:r>
        <w:rPr>
          <w:b/>
          <w:bCs/>
          <w:color w:val="13294B"/>
          <w:sz w:val="21"/>
          <w:szCs w:val="21"/>
        </w:rPr>
        <w:t xml:space="preserve">Output:</w:t>
      </w:r>
    </w:p>
    <w:p>
      <w:pPr>
        <w:spacing w:after="160" w:line="300"/>
        <w:jc w:val="both"/>
      </w:pPr>
      <w:r>
        <w:rPr>
          <w:b w:val="false"/>
          <w:bCs w:val="false"/>
          <w:i w:val="false"/>
          <w:iCs w:val="false"/>
          <w:color w:val="1A1A1A"/>
          <w:sz w:val="21"/>
          <w:szCs w:val="21"/>
        </w:rPr>
        <w:t xml:space="preserve">An itemized fare breakdown reflecting the festival-linked discounted rate is rendered to the user, together with the wedding-convoy-specific multi-stop itinerary summary, demonstrating the coupling between the festival-context orchestration module (180) and the fare-computation module (160) described in Section 9.9.</w:t>
      </w:r>
    </w:p>
    <w:p>
      <w:pPr>
        <w:pStyle w:val="Heading2"/>
        <w:spacing w:after="140" w:before="280"/>
      </w:pPr>
      <w:r>
        <w:rPr>
          <w:b/>
          <w:bCs/>
          <w:color w:val="13294B"/>
          <w:sz w:val="26"/>
          <w:szCs w:val="26"/>
        </w:rPr>
        <w:t xml:space="preserve">Working Example 3 — Event-Logistics Vendor Booking</w:t>
      </w:r>
    </w:p>
    <w:p>
      <w:pPr>
        <w:spacing w:after="80"/>
      </w:pPr>
      <w:r>
        <w:rPr>
          <w:b/>
          <w:bCs/>
          <w:color w:val="13294B"/>
          <w:sz w:val="21"/>
          <w:szCs w:val="21"/>
        </w:rPr>
        <w:t xml:space="preserve">Input:</w:t>
      </w:r>
    </w:p>
    <w:p>
      <w:pPr>
        <w:spacing w:after="160" w:line="300"/>
        <w:jc w:val="both"/>
      </w:pPr>
      <w:r>
        <w:rPr>
          <w:b w:val="false"/>
          <w:bCs w:val="false"/>
          <w:i w:val="false"/>
          <w:iCs w:val="false"/>
          <w:color w:val="1A1A1A"/>
          <w:sz w:val="21"/>
          <w:szCs w:val="21"/>
        </w:rPr>
        <w:t xml:space="preserve">Within an existing event record (Section 9.11) with a user-defined budget of ₹200,000 and a prior cumulative spend of ₹120,000, the user selects and books a decoration vendor listed at ₹35,000 through the vendor-marketplace interface.</w:t>
      </w:r>
    </w:p>
    <w:p>
      <w:pPr>
        <w:spacing w:after="80"/>
      </w:pPr>
      <w:r>
        <w:rPr>
          <w:b/>
          <w:bCs/>
          <w:color w:val="13294B"/>
          <w:sz w:val="21"/>
          <w:szCs w:val="21"/>
        </w:rPr>
        <w:t xml:space="preserve">Processing:</w:t>
      </w:r>
    </w:p>
    <w:p>
      <w:pPr>
        <w:spacing w:after="160" w:line="300"/>
        <w:jc w:val="both"/>
      </w:pPr>
      <w:r>
        <w:rPr>
          <w:b w:val="false"/>
          <w:bCs w:val="false"/>
          <w:i w:val="false"/>
          <w:iCs w:val="false"/>
          <w:color w:val="1A1A1A"/>
          <w:sz w:val="21"/>
          <w:szCs w:val="21"/>
        </w:rPr>
        <w:t xml:space="preserve">The event-logistics module appends the decoration-vendor booking to the vendor-booking list of the event record and recomputes the cumulative-spend value as ₹120,000 + ₹35,000 = ₹155,000, consistent with the budget-tracking model (equation (7) of the accompanying mathematical model), and recomputes the remaining-budget value as ₹200,000 − ₹155,000 = ₹45,000.</w:t>
      </w:r>
    </w:p>
    <w:p>
      <w:pPr>
        <w:spacing w:after="80"/>
      </w:pPr>
      <w:r>
        <w:rPr>
          <w:b/>
          <w:bCs/>
          <w:color w:val="13294B"/>
          <w:sz w:val="21"/>
          <w:szCs w:val="21"/>
        </w:rPr>
        <w:t xml:space="preserve">Output:</w:t>
      </w:r>
    </w:p>
    <w:p>
      <w:pPr>
        <w:spacing w:after="160" w:line="300"/>
        <w:jc w:val="both"/>
      </w:pPr>
      <w:r>
        <w:rPr>
          <w:b w:val="false"/>
          <w:bCs w:val="false"/>
          <w:i w:val="false"/>
          <w:iCs w:val="false"/>
          <w:color w:val="1A1A1A"/>
          <w:sz w:val="21"/>
          <w:szCs w:val="21"/>
        </w:rPr>
        <w:t xml:space="preserve">The updated vendor-booking list and the updated budget-tracker display (cumulative spend ₹155,000; remaining budget ₹45,000) are rendered without requiring the user to leave the event-logistics module or re-enter the transport-booking pipeline, demonstrating the cross-module update property described in Section 9.11 and Fig. 3.</w:t>
      </w:r>
    </w:p>
    <w:p>
      <w:pPr>
        <w:pStyle w:val="Heading1"/>
        <w:pageBreakBefore/>
        <w:pBdr>
          <w:bottom w:val="single" w:color="8B1E2F" w:sz="12" w:space="4"/>
        </w:pBdr>
        <w:spacing w:after="200" w:before="200"/>
      </w:pPr>
      <w:r>
        <w:rPr>
          <w:b/>
          <w:bCs/>
          <w:color w:val="13294B"/>
          <w:sz w:val="32"/>
          <w:szCs w:val="32"/>
        </w:rPr>
        <w:t xml:space="preserve">12. Advantages of the Invention</w:t>
      </w:r>
    </w:p>
    <w:p>
      <w:pPr>
        <w:pStyle w:val="Heading2"/>
        <w:spacing w:after="140" w:before="280"/>
      </w:pPr>
      <w:r>
        <w:rPr>
          <w:b/>
          <w:bCs/>
          <w:color w:val="13294B"/>
          <w:sz w:val="26"/>
          <w:szCs w:val="26"/>
        </w:rPr>
        <w:t xml:space="preserve">Technical Advantages</w:t>
      </w:r>
    </w:p>
    <w:p>
      <w:pPr>
        <w:pStyle w:val="ListParagraph"/>
        <w:numPr>
          <w:ilvl w:val="0"/>
          <w:numId w:val="1"/>
        </w:numPr>
        <w:spacing w:after="90"/>
      </w:pPr>
      <w:r>
        <w:rPr>
          <w:sz w:val="21"/>
          <w:szCs w:val="21"/>
        </w:rPr>
        <w:t xml:space="preserve">Elimination of a hard dependency on a commercial mapping-API credential for baseline system operation, while preserving an upgrade path that requires no modification to the geofencing or fare-computation modules.</w:t>
      </w:r>
    </w:p>
    <w:p>
      <w:pPr>
        <w:pStyle w:val="ListParagraph"/>
        <w:numPr>
          <w:ilvl w:val="0"/>
          <w:numId w:val="1"/>
        </w:numPr>
        <w:spacing w:after="90"/>
      </w:pPr>
      <w:r>
        <w:rPr>
          <w:sz w:val="21"/>
          <w:szCs w:val="21"/>
        </w:rPr>
        <w:t xml:space="preserve">Reduction of code duplication across four transport-service categories through a shared, parameterized dispatch pipeline.</w:t>
      </w:r>
    </w:p>
    <w:p>
      <w:pPr>
        <w:pStyle w:val="ListParagraph"/>
        <w:numPr>
          <w:ilvl w:val="0"/>
          <w:numId w:val="1"/>
        </w:numPr>
        <w:spacing w:after="90"/>
      </w:pPr>
      <w:r>
        <w:rPr>
          <w:sz w:val="21"/>
          <w:szCs w:val="21"/>
        </w:rPr>
        <w:t xml:space="preserve">Atomic, single-transition coupling of promotional, service-offer, and multi-locale content, reducing the risk of inconsistent state across these three surfaces.</w:t>
      </w:r>
    </w:p>
    <w:p>
      <w:pPr>
        <w:pStyle w:val="Heading2"/>
        <w:spacing w:after="140" w:before="280"/>
      </w:pPr>
      <w:r>
        <w:rPr>
          <w:b/>
          <w:bCs/>
          <w:color w:val="13294B"/>
          <w:sz w:val="26"/>
          <w:szCs w:val="26"/>
        </w:rPr>
        <w:t xml:space="preserve">Commercial Advantages</w:t>
      </w:r>
    </w:p>
    <w:p>
      <w:pPr>
        <w:pStyle w:val="ListParagraph"/>
        <w:numPr>
          <w:ilvl w:val="0"/>
          <w:numId w:val="1"/>
        </w:numPr>
        <w:spacing w:after="90"/>
      </w:pPr>
      <w:r>
        <w:rPr>
          <w:sz w:val="21"/>
          <w:szCs w:val="21"/>
        </w:rPr>
        <w:t xml:space="preserve">Reduced per-request operating cost in the default (keyless) operating mode relative to architectures requiring continuous commercial mapping-API usage.</w:t>
      </w:r>
    </w:p>
    <w:p>
      <w:pPr>
        <w:pStyle w:val="ListParagraph"/>
        <w:numPr>
          <w:ilvl w:val="0"/>
          <w:numId w:val="1"/>
        </w:numPr>
        <w:spacing w:after="90"/>
      </w:pPr>
      <w:r>
        <w:rPr>
          <w:sz w:val="21"/>
          <w:szCs w:val="21"/>
        </w:rPr>
        <w:t xml:space="preserve">Consolidation of multiple transport and event-logistics use cases within a single application and account, potentially improving user retention and reducing customer-acquisition cost relative to operating separate applications for each use case.</w:t>
      </w:r>
    </w:p>
    <w:p>
      <w:pPr>
        <w:pStyle w:val="Heading2"/>
        <w:spacing w:after="140" w:before="280"/>
      </w:pPr>
      <w:r>
        <w:rPr>
          <w:b/>
          <w:bCs/>
          <w:color w:val="13294B"/>
          <w:sz w:val="26"/>
          <w:szCs w:val="26"/>
        </w:rPr>
        <w:t xml:space="preserve">Industrial Advantages</w:t>
      </w:r>
    </w:p>
    <w:p>
      <w:pPr>
        <w:pStyle w:val="ListParagraph"/>
        <w:numPr>
          <w:ilvl w:val="0"/>
          <w:numId w:val="1"/>
        </w:numPr>
        <w:spacing w:after="90"/>
      </w:pPr>
      <w:r>
        <w:rPr>
          <w:sz w:val="21"/>
          <w:szCs w:val="21"/>
        </w:rPr>
        <w:t xml:space="preserve">Applicability to regional deployment contexts characterized by cost sensitivity, variable network connectivity, and linguistic diversity, which are not the primary design target of existing metropolitan-oriented ride-hailing architectures identified in Section 5.</w:t>
      </w:r>
    </w:p>
    <w:p>
      <w:pPr>
        <w:pStyle w:val="Heading2"/>
        <w:spacing w:after="140" w:before="280"/>
      </w:pPr>
      <w:r>
        <w:rPr>
          <w:b/>
          <w:bCs/>
          <w:color w:val="13294B"/>
          <w:sz w:val="26"/>
          <w:szCs w:val="26"/>
        </w:rPr>
        <w:t xml:space="preserve">Economic Benefits</w:t>
      </w:r>
    </w:p>
    <w:p>
      <w:pPr>
        <w:pStyle w:val="ListParagraph"/>
        <w:numPr>
          <w:ilvl w:val="0"/>
          <w:numId w:val="1"/>
        </w:numPr>
        <w:spacing w:after="90"/>
      </w:pPr>
      <w:r>
        <w:rPr>
          <w:sz w:val="21"/>
          <w:szCs w:val="21"/>
        </w:rPr>
        <w:t xml:space="preserve">Potential reduction in aggregate transportation and event-logistics-related expenditure for end users through consolidated, transparent, itemized fare presentation (Section 9.7) and coupled festival-linked discount offers (Section 9.9).</w:t>
      </w:r>
    </w:p>
    <w:p>
      <w:pPr>
        <w:pStyle w:val="Heading2"/>
        <w:spacing w:after="140" w:before="280"/>
      </w:pPr>
      <w:r>
        <w:rPr>
          <w:b/>
          <w:bCs/>
          <w:color w:val="13294B"/>
          <w:sz w:val="26"/>
          <w:szCs w:val="26"/>
        </w:rPr>
        <w:t xml:space="preserve">Security Improvements</w:t>
      </w:r>
    </w:p>
    <w:p>
      <w:pPr>
        <w:pStyle w:val="ListParagraph"/>
        <w:numPr>
          <w:ilvl w:val="0"/>
          <w:numId w:val="1"/>
        </w:numPr>
        <w:spacing w:after="90"/>
      </w:pPr>
      <w:r>
        <w:rPr>
          <w:sz w:val="21"/>
          <w:szCs w:val="21"/>
        </w:rPr>
        <w:t xml:space="preserve">Integration of a women's-safety configuration linking driver preference to an emergency-alert dispatch pathway, addressing a specifically documented safety concern in the Indian ride-hailing context (Section 5.2).</w:t>
      </w:r>
    </w:p>
    <w:p>
      <w:pPr>
        <w:pStyle w:val="Heading2"/>
        <w:spacing w:after="140" w:before="280"/>
      </w:pPr>
      <w:r>
        <w:rPr>
          <w:b/>
          <w:bCs/>
          <w:color w:val="13294B"/>
          <w:sz w:val="26"/>
          <w:szCs w:val="26"/>
        </w:rPr>
        <w:t xml:space="preserve">Efficiency, Reliability, and Scalability</w:t>
      </w:r>
    </w:p>
    <w:p>
      <w:pPr>
        <w:pStyle w:val="ListParagraph"/>
        <w:numPr>
          <w:ilvl w:val="0"/>
          <w:numId w:val="1"/>
        </w:numPr>
        <w:spacing w:after="90"/>
      </w:pPr>
      <w:r>
        <w:rPr>
          <w:sz w:val="21"/>
          <w:szCs w:val="21"/>
        </w:rPr>
        <w:t xml:space="preserve">Constant/linear-time fare-computation and geofence-validation algorithms (Section 16.3) that do not become a scaling bottleneck independent of network and backend-dispatch latency.</w:t>
      </w:r>
    </w:p>
    <w:p>
      <w:pPr>
        <w:pStyle w:val="ListParagraph"/>
        <w:numPr>
          <w:ilvl w:val="0"/>
          <w:numId w:val="1"/>
        </w:numPr>
        <w:spacing w:after="90"/>
      </w:pPr>
      <w:r>
        <w:rPr>
          <w:sz w:val="21"/>
          <w:szCs w:val="21"/>
        </w:rPr>
        <w:t xml:space="preserve">Explicit degraded-network operating modes (Section 9.13) that maintain application usability under reduced connectivity rather than failing silently.</w:t>
      </w:r>
    </w:p>
    <w:p>
      <w:pPr>
        <w:pStyle w:val="Heading2"/>
        <w:spacing w:after="140" w:before="280"/>
      </w:pPr>
      <w:r>
        <w:rPr>
          <w:b/>
          <w:bCs/>
          <w:color w:val="13294B"/>
          <w:sz w:val="26"/>
          <w:szCs w:val="26"/>
        </w:rPr>
        <w:t xml:space="preserve">User Experience</w:t>
      </w:r>
    </w:p>
    <w:p>
      <w:pPr>
        <w:pStyle w:val="ListParagraph"/>
        <w:numPr>
          <w:ilvl w:val="0"/>
          <w:numId w:val="1"/>
        </w:numPr>
        <w:spacing w:after="90"/>
      </w:pPr>
      <w:r>
        <w:rPr>
          <w:sz w:val="21"/>
          <w:szCs w:val="21"/>
        </w:rPr>
        <w:t xml:space="preserve">Presentation of a fully itemized fare breakdown prior to booking confirmation, addressing a fare-transparency preference documented in the prior art (Section 5.2, Kushwaha et al.).</w:t>
      </w:r>
    </w:p>
    <w:p>
      <w:pPr>
        <w:pStyle w:val="ListParagraph"/>
        <w:numPr>
          <w:ilvl w:val="0"/>
          <w:numId w:val="1"/>
        </w:numPr>
        <w:spacing w:after="90"/>
      </w:pPr>
      <w:r>
        <w:rPr>
          <w:sz w:val="21"/>
          <w:szCs w:val="21"/>
        </w:rPr>
        <w:t xml:space="preserve">Support for interaction in a user's preferred regional language, including low-resource dialects not generally supported by existing platforms.</w:t>
      </w:r>
    </w:p>
    <w:p>
      <w:pPr>
        <w:pStyle w:val="Heading1"/>
        <w:pageBreakBefore/>
        <w:pBdr>
          <w:bottom w:val="single" w:color="8B1E2F" w:sz="12" w:space="4"/>
        </w:pBdr>
        <w:spacing w:after="200" w:before="200"/>
      </w:pPr>
      <w:r>
        <w:rPr>
          <w:b/>
          <w:bCs/>
          <w:color w:val="13294B"/>
          <w:sz w:val="32"/>
          <w:szCs w:val="32"/>
        </w:rPr>
        <w:t xml:space="preserve">13. Industrial Applicability</w:t>
      </w:r>
    </w:p>
    <w:p>
      <w:pPr>
        <w:pStyle w:val="Heading2"/>
        <w:spacing w:after="140" w:before="280"/>
      </w:pPr>
      <w:r>
        <w:rPr>
          <w:b/>
          <w:bCs/>
          <w:color w:val="13294B"/>
          <w:sz w:val="26"/>
          <w:szCs w:val="26"/>
        </w:rPr>
        <w:t xml:space="preserve">Applicable Industries</w:t>
      </w:r>
    </w:p>
    <w:p>
      <w:pPr>
        <w:pStyle w:val="ListParagraph"/>
        <w:numPr>
          <w:ilvl w:val="0"/>
          <w:numId w:val="1"/>
        </w:numPr>
        <w:spacing w:after="90"/>
      </w:pPr>
      <w:r>
        <w:rPr>
          <w:sz w:val="21"/>
          <w:szCs w:val="21"/>
        </w:rPr>
        <w:t xml:space="preserve">Passenger transportation and ride-hailing services</w:t>
      </w:r>
    </w:p>
    <w:p>
      <w:pPr>
        <w:pStyle w:val="ListParagraph"/>
        <w:numPr>
          <w:ilvl w:val="0"/>
          <w:numId w:val="1"/>
        </w:numPr>
        <w:spacing w:after="90"/>
      </w:pPr>
      <w:r>
        <w:rPr>
          <w:sz w:val="21"/>
          <w:szCs w:val="21"/>
        </w:rPr>
        <w:t xml:space="preserve">Goods and cargo logistics services</w:t>
      </w:r>
    </w:p>
    <w:p>
      <w:pPr>
        <w:pStyle w:val="ListParagraph"/>
        <w:numPr>
          <w:ilvl w:val="0"/>
          <w:numId w:val="1"/>
        </w:numPr>
        <w:spacing w:after="90"/>
      </w:pPr>
      <w:r>
        <w:rPr>
          <w:sz w:val="21"/>
          <w:szCs w:val="21"/>
        </w:rPr>
        <w:t xml:space="preserve">Tourism, pilgrimage, and outstation travel services</w:t>
      </w:r>
    </w:p>
    <w:p>
      <w:pPr>
        <w:pStyle w:val="ListParagraph"/>
        <w:numPr>
          <w:ilvl w:val="0"/>
          <w:numId w:val="1"/>
        </w:numPr>
        <w:spacing w:after="90"/>
      </w:pPr>
      <w:r>
        <w:rPr>
          <w:sz w:val="21"/>
          <w:szCs w:val="21"/>
        </w:rPr>
        <w:t xml:space="preserve">Wedding and event-management services</w:t>
      </w:r>
    </w:p>
    <w:p>
      <w:pPr>
        <w:pStyle w:val="ListParagraph"/>
        <w:numPr>
          <w:ilvl w:val="0"/>
          <w:numId w:val="1"/>
        </w:numPr>
        <w:spacing w:after="90"/>
      </w:pPr>
      <w:r>
        <w:rPr>
          <w:sz w:val="21"/>
          <w:szCs w:val="21"/>
        </w:rPr>
        <w:t xml:space="preserve">Software licensing and technology-platform services</w:t>
      </w:r>
    </w:p>
    <w:p>
      <w:pPr>
        <w:pStyle w:val="Heading2"/>
        <w:spacing w:after="140" w:before="280"/>
      </w:pPr>
      <w:r>
        <w:rPr>
          <w:b/>
          <w:bCs/>
          <w:color w:val="13294B"/>
          <w:sz w:val="26"/>
          <w:szCs w:val="26"/>
        </w:rPr>
        <w:t xml:space="preserve">Deployment Scenarios</w:t>
      </w:r>
    </w:p>
    <w:p>
      <w:pPr>
        <w:spacing w:after="160" w:line="300"/>
        <w:jc w:val="both"/>
      </w:pPr>
      <w:r>
        <w:rPr>
          <w:b w:val="false"/>
          <w:bCs w:val="false"/>
          <w:i w:val="false"/>
          <w:iCs w:val="false"/>
          <w:color w:val="1A1A1A"/>
          <w:sz w:val="21"/>
          <w:szCs w:val="21"/>
        </w:rPr>
        <w:t xml:space="preserve">The invention is applicable to deployment by a regional transportation operator as a consumer-facing mobile/web application; to licensing of the underlying architecture (particularly the mapping abstraction module and the festival-context orchestration module) to third-party transportation or logistics operators; and to deployment as a white-label event-logistics module by wedding- and event-services businesses.</w:t>
      </w:r>
    </w:p>
    <w:p>
      <w:pPr>
        <w:pStyle w:val="Heading2"/>
        <w:spacing w:after="140" w:before="280"/>
      </w:pPr>
      <w:r>
        <w:rPr>
          <w:b/>
          <w:bCs/>
          <w:color w:val="13294B"/>
          <w:sz w:val="26"/>
          <w:szCs w:val="26"/>
        </w:rPr>
        <w:t xml:space="preserve">Commercial Use and Manufacturing Feasibility</w:t>
      </w:r>
    </w:p>
    <w:p>
      <w:pPr>
        <w:spacing w:after="160" w:line="300"/>
        <w:jc w:val="both"/>
      </w:pPr>
      <w:r>
        <w:rPr>
          <w:b w:val="false"/>
          <w:bCs w:val="false"/>
          <w:i w:val="false"/>
          <w:iCs w:val="false"/>
          <w:color w:val="1A1A1A"/>
          <w:sz w:val="21"/>
          <w:szCs w:val="21"/>
        </w:rPr>
        <w:t xml:space="preserve">As a software-implemented invention, the system does not require physical manufacturing; its industrial applicability lies in its capacity for repeated, reliable, computer-implemented execution to produce a defined technical result (an itemized fare, a validated geofence determination, a coupled festival/language state, and a synchronized event record), consistent with the requirement of Section 2(1)(ac) of the Patents Act, 1970 that a patentable invention be capable of industrial application.</w:t>
      </w:r>
    </w:p>
    <w:p>
      <w:pPr>
        <w:pStyle w:val="Heading2"/>
        <w:spacing w:after="140" w:before="280"/>
      </w:pPr>
      <w:r>
        <w:rPr>
          <w:b/>
          <w:bCs/>
          <w:color w:val="13294B"/>
          <w:sz w:val="26"/>
          <w:szCs w:val="26"/>
        </w:rPr>
        <w:t xml:space="preserve">Scalability and Market Potential</w:t>
      </w:r>
    </w:p>
    <w:p>
      <w:pPr>
        <w:spacing w:after="160" w:line="300"/>
        <w:jc w:val="both"/>
      </w:pPr>
      <w:r>
        <w:rPr>
          <w:b w:val="false"/>
          <w:bCs w:val="false"/>
          <w:i w:val="false"/>
          <w:iCs w:val="false"/>
          <w:color w:val="1A1A1A"/>
          <w:sz w:val="21"/>
          <w:szCs w:val="21"/>
        </w:rPr>
        <w:t xml:space="preserve">[To be completed by the Inventor with market-sizing data, if available, for inclusion in the Commercialization Strategy (Section 23) and for use in investor/incubator-facing materials.]</w:t>
      </w:r>
    </w:p>
    <w:p>
      <w:pPr>
        <w:pStyle w:val="Heading1"/>
        <w:pageBreakBefore/>
        <w:pBdr>
          <w:bottom w:val="single" w:color="8B1E2F" w:sz="12" w:space="4"/>
        </w:pBdr>
        <w:spacing w:after="200" w:before="200"/>
      </w:pPr>
      <w:r>
        <w:rPr>
          <w:b/>
          <w:bCs/>
          <w:color w:val="13294B"/>
          <w:sz w:val="32"/>
          <w:szCs w:val="32"/>
        </w:rPr>
        <w:t xml:space="preserve">14. Best Mode of Performing the Invention</w:t>
      </w:r>
    </w:p>
    <w:p>
      <w:pPr>
        <w:spacing w:after="160" w:line="300"/>
        <w:jc w:val="both"/>
      </w:pPr>
      <w:r>
        <w:rPr>
          <w:b w:val="false"/>
          <w:bCs w:val="false"/>
          <w:i w:val="false"/>
          <w:iCs w:val="false"/>
          <w:color w:val="1A1A1A"/>
          <w:sz w:val="21"/>
          <w:szCs w:val="21"/>
        </w:rPr>
        <w:t xml:space="preserve">The presently preferred implementation is Embodiment 1 (Section 10) — the keyless-baseline configuration of the mapping abstraction module (140) — combined with the festival-context orchestration module (180) configured with the full set of presently defined regional festival states, and the multi-locale language module (190) configured with all four presently implemented languages (English, Hindi, Maithili, Bhojpuri), on the basis that this configuration (a) requires no ongoing commercial mapping-API expenditure, (b) provides the broadest presently implemented linguistic accessibility, and (c) has been verified, through source-code inspection and walkthrough review, to correctly execute the shared booking pipeline (Fig. 2) across all four booking types described in Section 9. The Applicant reserves the right to identify Embodiment 3 (production/backend-integrated) as the best mode for commercial-scale deployment once that embodiment is reduced to practice; this specification should be updated accordingly prior to filing a complete specification if that occurs before the twelve-month deadline referenced in Section 21.</w:t>
      </w:r>
    </w:p>
    <w:p>
      <w:pPr>
        <w:pStyle w:val="Heading1"/>
        <w:pageBreakBefore/>
        <w:pBdr>
          <w:bottom w:val="single" w:color="8B1E2F" w:sz="12" w:space="4"/>
        </w:pBdr>
        <w:spacing w:after="200" w:before="200"/>
      </w:pPr>
      <w:r>
        <w:rPr>
          <w:b/>
          <w:bCs/>
          <w:color w:val="13294B"/>
          <w:sz w:val="32"/>
          <w:szCs w:val="32"/>
        </w:rPr>
        <w:t xml:space="preserve">15. Flowcharts</w:t>
      </w:r>
    </w:p>
    <w:p>
      <w:pPr>
        <w:spacing w:after="160" w:line="300"/>
        <w:jc w:val="both"/>
      </w:pPr>
      <w:r>
        <w:rPr>
          <w:b w:val="false"/>
          <w:bCs w:val="false"/>
          <w:i w:val="false"/>
          <w:iCs w:val="false"/>
          <w:color w:val="1A1A1A"/>
          <w:sz w:val="21"/>
          <w:szCs w:val="21"/>
        </w:rPr>
        <w:t xml:space="preserve">The overall system flow is depicted in Fig. 2 (Section 8). Additional process flows, expressed below in flow-description (Mermaid-compatible) notation for the Patent Agent's draughtsperson to render as formal figures, are provided for the authentication, decision, data, and exception-handling flows referenced in Section 9.</w:t>
      </w:r>
    </w:p>
    <w:p>
      <w:pPr>
        <w:pStyle w:val="Heading2"/>
        <w:spacing w:after="140" w:before="280"/>
      </w:pPr>
      <w:r>
        <w:rPr>
          <w:b/>
          <w:bCs/>
          <w:color w:val="13294B"/>
          <w:sz w:val="26"/>
          <w:szCs w:val="26"/>
        </w:rPr>
        <w:t xml:space="preserve">15.1 Authentication Flow</w:t>
      </w:r>
    </w:p>
    <w:tbl>
      <w:tblPr>
        <w:tblW w:type="dxa" w:w="87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dxa" w:w="8700"/>
            <w:shd w:fill="F7F7F7" w:val="clear"/>
            <w:tcMar>
              <w:top w:type="dxa" w:w="120"/>
              <w:left w:type="dxa" w:w="150"/>
              <w:bottom w:type="dxa" w:w="120"/>
              <w:right w:type="dxa" w:w="150"/>
            </w:tcMar>
          </w:tcPr>
          <w:p>
            <w:pPr>
              <w:spacing w:after="30"/>
            </w:pPr>
            <w:r>
              <w:rPr>
                <w:rFonts w:ascii="Courier New" w:cs="Courier New" w:eastAsia="Courier New" w:hAnsi="Courier New"/>
                <w:sz w:val="17"/>
                <w:szCs w:val="17"/>
              </w:rPr>
              <w:t xml:space="preserve">flowchart TD</w:t>
            </w:r>
          </w:p>
          <w:p>
            <w:pPr>
              <w:spacing w:after="30"/>
            </w:pPr>
            <w:r>
              <w:rPr>
                <w:rFonts w:ascii="Courier New" w:cs="Courier New" w:eastAsia="Courier New" w:hAnsi="Courier New"/>
                <w:sz w:val="17"/>
                <w:szCs w:val="17"/>
              </w:rPr>
              <w:t xml:space="preserve">  A[Splash Screen] --&gt; B[Language / Onboarding]</w:t>
            </w:r>
          </w:p>
          <w:p>
            <w:pPr>
              <w:spacing w:after="30"/>
            </w:pPr>
            <w:r>
              <w:rPr>
                <w:rFonts w:ascii="Courier New" w:cs="Courier New" w:eastAsia="Courier New" w:hAnsi="Courier New"/>
                <w:sz w:val="17"/>
                <w:szCs w:val="17"/>
              </w:rPr>
              <w:t xml:space="preserve">  B --&gt; C[Phone Number Entry]</w:t>
            </w:r>
          </w:p>
          <w:p>
            <w:pPr>
              <w:spacing w:after="30"/>
            </w:pPr>
            <w:r>
              <w:rPr>
                <w:rFonts w:ascii="Courier New" w:cs="Courier New" w:eastAsia="Courier New" w:hAnsi="Courier New"/>
                <w:sz w:val="17"/>
                <w:szCs w:val="17"/>
              </w:rPr>
              <w:t xml:space="preserve">  C --&gt; D[OTP Verification]</w:t>
            </w:r>
          </w:p>
          <w:p>
            <w:pPr>
              <w:spacing w:after="30"/>
            </w:pPr>
            <w:r>
              <w:rPr>
                <w:rFonts w:ascii="Courier New" w:cs="Courier New" w:eastAsia="Courier New" w:hAnsi="Courier New"/>
                <w:sz w:val="17"/>
                <w:szCs w:val="17"/>
              </w:rPr>
              <w:t xml:space="preserve">  D --&gt;|Valid OTP| E[Profile Registration]</w:t>
            </w:r>
          </w:p>
          <w:p>
            <w:pPr>
              <w:spacing w:after="30"/>
            </w:pPr>
            <w:r>
              <w:rPr>
                <w:rFonts w:ascii="Courier New" w:cs="Courier New" w:eastAsia="Courier New" w:hAnsi="Courier New"/>
                <w:sz w:val="17"/>
                <w:szCs w:val="17"/>
              </w:rPr>
              <w:t xml:space="preserve">  D --&gt;|Invalid OTP| C</w:t>
            </w:r>
          </w:p>
          <w:p>
            <w:pPr>
              <w:spacing w:after="30"/>
            </w:pPr>
            <w:r>
              <w:rPr>
                <w:rFonts w:ascii="Courier New" w:cs="Courier New" w:eastAsia="Courier New" w:hAnsi="Courier New"/>
                <w:sz w:val="17"/>
                <w:szCs w:val="17"/>
              </w:rPr>
              <w:t xml:space="preserve">  E --&gt; F[Permissions Onboarding]</w:t>
            </w:r>
          </w:p>
          <w:p>
            <w:pPr>
              <w:spacing w:after="30"/>
            </w:pPr>
            <w:r>
              <w:rPr>
                <w:rFonts w:ascii="Courier New" w:cs="Courier New" w:eastAsia="Courier New" w:hAnsi="Courier New"/>
                <w:sz w:val="17"/>
                <w:szCs w:val="17"/>
              </w:rPr>
              <w:t xml:space="preserve">  F --&gt; G[Home Dashboard]</w:t>
            </w:r>
          </w:p>
        </w:tc>
      </w:tr>
    </w:tbl>
    <w:p>
      <w:pPr>
        <w:pStyle w:val="Heading2"/>
        <w:spacing w:after="140" w:before="280"/>
      </w:pPr>
      <w:r>
        <w:rPr>
          <w:b/>
          <w:bCs/>
          <w:color w:val="13294B"/>
          <w:sz w:val="26"/>
          <w:szCs w:val="26"/>
        </w:rPr>
        <w:t xml:space="preserve">15.2 Fare Decision Flow</w:t>
      </w:r>
    </w:p>
    <w:tbl>
      <w:tblPr>
        <w:tblW w:type="dxa" w:w="87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dxa" w:w="8700"/>
            <w:shd w:fill="F7F7F7" w:val="clear"/>
            <w:tcMar>
              <w:top w:type="dxa" w:w="120"/>
              <w:left w:type="dxa" w:w="150"/>
              <w:bottom w:type="dxa" w:w="120"/>
              <w:right w:type="dxa" w:w="150"/>
            </w:tcMar>
          </w:tcPr>
          <w:p>
            <w:pPr>
              <w:spacing w:after="30"/>
            </w:pPr>
            <w:r>
              <w:rPr>
                <w:rFonts w:ascii="Courier New" w:cs="Courier New" w:eastAsia="Courier New" w:hAnsi="Courier New"/>
                <w:sz w:val="17"/>
                <w:szCs w:val="17"/>
              </w:rPr>
              <w:t xml:space="preserve">flowchart TD</w:t>
            </w:r>
          </w:p>
          <w:p>
            <w:pPr>
              <w:spacing w:after="30"/>
            </w:pPr>
            <w:r>
              <w:rPr>
                <w:rFonts w:ascii="Courier New" w:cs="Courier New" w:eastAsia="Courier New" w:hAnsi="Courier New"/>
                <w:sz w:val="17"/>
                <w:szCs w:val="17"/>
              </w:rPr>
              <w:t xml:space="preserve">  A[Vehicle Class Selected] --&gt; B{Route Distance &gt; Surge Threshold</w:t>
            </w:r>
          </w:p>
          <w:p>
            <w:pPr>
              <w:spacing w:after="30"/>
            </w:pPr>
            <w:r>
              <w:rPr>
                <w:rFonts w:ascii="Courier New" w:cs="Courier New" w:eastAsia="Courier New" w:hAnsi="Courier New"/>
                <w:sz w:val="17"/>
                <w:szCs w:val="17"/>
              </w:rPr>
              <w:t xml:space="preserve">       AND Booking Type = Ride?}</w:t>
            </w:r>
          </w:p>
          <w:p>
            <w:pPr>
              <w:spacing w:after="30"/>
            </w:pPr>
            <w:r>
              <w:rPr>
                <w:rFonts w:ascii="Courier New" w:cs="Courier New" w:eastAsia="Courier New" w:hAnsi="Courier New"/>
                <w:sz w:val="17"/>
                <w:szCs w:val="17"/>
              </w:rPr>
              <w:t xml:space="preserve">  B --&gt;|Yes| C[Apply Surge Multiplier]</w:t>
            </w:r>
          </w:p>
          <w:p>
            <w:pPr>
              <w:spacing w:after="30"/>
            </w:pPr>
            <w:r>
              <w:rPr>
                <w:rFonts w:ascii="Courier New" w:cs="Courier New" w:eastAsia="Courier New" w:hAnsi="Courier New"/>
                <w:sz w:val="17"/>
                <w:szCs w:val="17"/>
              </w:rPr>
              <w:t xml:space="preserve">  B --&gt;|No| D[Surge Multiplier = 1]</w:t>
            </w:r>
          </w:p>
          <w:p>
            <w:pPr>
              <w:spacing w:after="30"/>
            </w:pPr>
            <w:r>
              <w:rPr>
                <w:rFonts w:ascii="Courier New" w:cs="Courier New" w:eastAsia="Courier New" w:hAnsi="Courier New"/>
                <w:sz w:val="17"/>
                <w:szCs w:val="17"/>
              </w:rPr>
              <w:t xml:space="preserve">  C --&gt; E{Protection Fee Selected?}</w:t>
            </w:r>
          </w:p>
          <w:p>
            <w:pPr>
              <w:spacing w:after="30"/>
            </w:pPr>
            <w:r>
              <w:rPr>
                <w:rFonts w:ascii="Courier New" w:cs="Courier New" w:eastAsia="Courier New" w:hAnsi="Courier New"/>
                <w:sz w:val="17"/>
                <w:szCs w:val="17"/>
              </w:rPr>
              <w:t xml:space="preserve">  D --&gt; E</w:t>
            </w:r>
          </w:p>
          <w:p>
            <w:pPr>
              <w:spacing w:after="30"/>
            </w:pPr>
            <w:r>
              <w:rPr>
                <w:rFonts w:ascii="Courier New" w:cs="Courier New" w:eastAsia="Courier New" w:hAnsi="Courier New"/>
                <w:sz w:val="17"/>
                <w:szCs w:val="17"/>
              </w:rPr>
              <w:t xml:space="preserve">  E --&gt;|Yes| F[Add Protection Fee]</w:t>
            </w:r>
          </w:p>
          <w:p>
            <w:pPr>
              <w:spacing w:after="30"/>
            </w:pPr>
            <w:r>
              <w:rPr>
                <w:rFonts w:ascii="Courier New" w:cs="Courier New" w:eastAsia="Courier New" w:hAnsi="Courier New"/>
                <w:sz w:val="17"/>
                <w:szCs w:val="17"/>
              </w:rPr>
              <w:t xml:space="preserve">  E --&gt;|No| G[Skip Protection Fee]</w:t>
            </w:r>
          </w:p>
          <w:p>
            <w:pPr>
              <w:spacing w:after="30"/>
            </w:pPr>
            <w:r>
              <w:rPr>
                <w:rFonts w:ascii="Courier New" w:cs="Courier New" w:eastAsia="Courier New" w:hAnsi="Courier New"/>
                <w:sz w:val="17"/>
                <w:szCs w:val="17"/>
              </w:rPr>
              <w:t xml:space="preserve">  F --&gt; H[Apply Tax Rate]</w:t>
            </w:r>
          </w:p>
          <w:p>
            <w:pPr>
              <w:spacing w:after="30"/>
            </w:pPr>
            <w:r>
              <w:rPr>
                <w:rFonts w:ascii="Courier New" w:cs="Courier New" w:eastAsia="Courier New" w:hAnsi="Courier New"/>
                <w:sz w:val="17"/>
                <w:szCs w:val="17"/>
              </w:rPr>
              <w:t xml:space="preserve">  G --&gt; H</w:t>
            </w:r>
          </w:p>
          <w:p>
            <w:pPr>
              <w:spacing w:after="30"/>
            </w:pPr>
            <w:r>
              <w:rPr>
                <w:rFonts w:ascii="Courier New" w:cs="Courier New" w:eastAsia="Courier New" w:hAnsi="Courier New"/>
                <w:sz w:val="17"/>
                <w:szCs w:val="17"/>
              </w:rPr>
              <w:t xml:space="preserve">  H --&gt; I[Render Itemized Fare Breakdown]</w:t>
            </w:r>
          </w:p>
        </w:tc>
      </w:tr>
    </w:tbl>
    <w:p>
      <w:pPr>
        <w:pStyle w:val="Heading2"/>
        <w:spacing w:after="140" w:before="280"/>
      </w:pPr>
      <w:r>
        <w:rPr>
          <w:b/>
          <w:bCs/>
          <w:color w:val="13294B"/>
          <w:sz w:val="26"/>
          <w:szCs w:val="26"/>
        </w:rPr>
        <w:t xml:space="preserve">15.3 Shared Application-State Data Flow</w:t>
      </w:r>
    </w:p>
    <w:tbl>
      <w:tblPr>
        <w:tblW w:type="dxa" w:w="87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dxa" w:w="8700"/>
            <w:shd w:fill="F7F7F7" w:val="clear"/>
            <w:tcMar>
              <w:top w:type="dxa" w:w="120"/>
              <w:left w:type="dxa" w:w="150"/>
              <w:bottom w:type="dxa" w:w="120"/>
              <w:right w:type="dxa" w:w="150"/>
            </w:tcMar>
          </w:tcPr>
          <w:p>
            <w:pPr>
              <w:spacing w:after="30"/>
            </w:pPr>
            <w:r>
              <w:rPr>
                <w:rFonts w:ascii="Courier New" w:cs="Courier New" w:eastAsia="Courier New" w:hAnsi="Courier New"/>
                <w:sz w:val="17"/>
                <w:szCs w:val="17"/>
              </w:rPr>
              <w:t xml:space="preserve">flowchart LR</w:t>
            </w:r>
          </w:p>
          <w:p>
            <w:pPr>
              <w:spacing w:after="30"/>
            </w:pPr>
            <w:r>
              <w:rPr>
                <w:rFonts w:ascii="Courier New" w:cs="Courier New" w:eastAsia="Courier New" w:hAnsi="Courier New"/>
                <w:sz w:val="17"/>
                <w:szCs w:val="17"/>
              </w:rPr>
              <w:t xml:space="preserve">  M1[Location Resolution] --&gt; S[(Shared Application State)]</w:t>
            </w:r>
          </w:p>
          <w:p>
            <w:pPr>
              <w:spacing w:after="30"/>
            </w:pPr>
            <w:r>
              <w:rPr>
                <w:rFonts w:ascii="Courier New" w:cs="Courier New" w:eastAsia="Courier New" w:hAnsi="Courier New"/>
                <w:sz w:val="17"/>
                <w:szCs w:val="17"/>
              </w:rPr>
              <w:t xml:space="preserve">  M2[Mapping Abstraction] --&gt; S</w:t>
            </w:r>
          </w:p>
          <w:p>
            <w:pPr>
              <w:spacing w:after="30"/>
            </w:pPr>
            <w:r>
              <w:rPr>
                <w:rFonts w:ascii="Courier New" w:cs="Courier New" w:eastAsia="Courier New" w:hAnsi="Courier New"/>
                <w:sz w:val="17"/>
                <w:szCs w:val="17"/>
              </w:rPr>
              <w:t xml:space="preserve">  M3[Geofencing] --&gt; S</w:t>
            </w:r>
          </w:p>
          <w:p>
            <w:pPr>
              <w:spacing w:after="30"/>
            </w:pPr>
            <w:r>
              <w:rPr>
                <w:rFonts w:ascii="Courier New" w:cs="Courier New" w:eastAsia="Courier New" w:hAnsi="Courier New"/>
                <w:sz w:val="17"/>
                <w:szCs w:val="17"/>
              </w:rPr>
              <w:t xml:space="preserve">  M4[Fare Computation] --&gt; S</w:t>
            </w:r>
          </w:p>
          <w:p>
            <w:pPr>
              <w:spacing w:after="30"/>
            </w:pPr>
            <w:r>
              <w:rPr>
                <w:rFonts w:ascii="Courier New" w:cs="Courier New" w:eastAsia="Courier New" w:hAnsi="Courier New"/>
                <w:sz w:val="17"/>
                <w:szCs w:val="17"/>
              </w:rPr>
              <w:t xml:space="preserve">  M5[Dispatch/Tracking] --&gt; S</w:t>
            </w:r>
          </w:p>
          <w:p>
            <w:pPr>
              <w:spacing w:after="30"/>
            </w:pPr>
            <w:r>
              <w:rPr>
                <w:rFonts w:ascii="Courier New" w:cs="Courier New" w:eastAsia="Courier New" w:hAnsi="Courier New"/>
                <w:sz w:val="17"/>
                <w:szCs w:val="17"/>
              </w:rPr>
              <w:t xml:space="preserve">  S --&gt; M1</w:t>
            </w:r>
          </w:p>
          <w:p>
            <w:pPr>
              <w:spacing w:after="30"/>
            </w:pPr>
            <w:r>
              <w:rPr>
                <w:rFonts w:ascii="Courier New" w:cs="Courier New" w:eastAsia="Courier New" w:hAnsi="Courier New"/>
                <w:sz w:val="17"/>
                <w:szCs w:val="17"/>
              </w:rPr>
              <w:t xml:space="preserve">  S --&gt; M2</w:t>
            </w:r>
          </w:p>
          <w:p>
            <w:pPr>
              <w:spacing w:after="30"/>
            </w:pPr>
            <w:r>
              <w:rPr>
                <w:rFonts w:ascii="Courier New" w:cs="Courier New" w:eastAsia="Courier New" w:hAnsi="Courier New"/>
                <w:sz w:val="17"/>
                <w:szCs w:val="17"/>
              </w:rPr>
              <w:t xml:space="preserve">  S --&gt; M3</w:t>
            </w:r>
          </w:p>
          <w:p>
            <w:pPr>
              <w:spacing w:after="30"/>
            </w:pPr>
            <w:r>
              <w:rPr>
                <w:rFonts w:ascii="Courier New" w:cs="Courier New" w:eastAsia="Courier New" w:hAnsi="Courier New"/>
                <w:sz w:val="17"/>
                <w:szCs w:val="17"/>
              </w:rPr>
              <w:t xml:space="preserve">  S --&gt; M4</w:t>
            </w:r>
          </w:p>
          <w:p>
            <w:pPr>
              <w:spacing w:after="30"/>
            </w:pPr>
            <w:r>
              <w:rPr>
                <w:rFonts w:ascii="Courier New" w:cs="Courier New" w:eastAsia="Courier New" w:hAnsi="Courier New"/>
                <w:sz w:val="17"/>
                <w:szCs w:val="17"/>
              </w:rPr>
              <w:t xml:space="preserve">  S --&gt; M5</w:t>
            </w:r>
          </w:p>
          <w:p>
            <w:pPr>
              <w:spacing w:after="30"/>
            </w:pPr>
            <w:r>
              <w:rPr>
                <w:rFonts w:ascii="Courier New" w:cs="Courier New" w:eastAsia="Courier New" w:hAnsi="Courier New"/>
                <w:sz w:val="17"/>
                <w:szCs w:val="17"/>
              </w:rPr>
              <w:t xml:space="preserve">  F[Festival Orchestration] --&gt; S</w:t>
            </w:r>
          </w:p>
          <w:p>
            <w:pPr>
              <w:spacing w:after="30"/>
            </w:pPr>
            <w:r>
              <w:rPr>
                <w:rFonts w:ascii="Courier New" w:cs="Courier New" w:eastAsia="Courier New" w:hAnsi="Courier New"/>
                <w:sz w:val="17"/>
                <w:szCs w:val="17"/>
              </w:rPr>
              <w:t xml:space="preserve">  L[Language Module] --&gt; S</w:t>
            </w:r>
          </w:p>
        </w:tc>
      </w:tr>
    </w:tbl>
    <w:p>
      <w:pPr>
        <w:pStyle w:val="Heading2"/>
        <w:spacing w:after="140" w:before="280"/>
      </w:pPr>
      <w:r>
        <w:rPr>
          <w:b/>
          <w:bCs/>
          <w:color w:val="13294B"/>
          <w:sz w:val="26"/>
          <w:szCs w:val="26"/>
        </w:rPr>
        <w:t xml:space="preserve">15.4 Exception-Handling Flow</w:t>
      </w:r>
    </w:p>
    <w:tbl>
      <w:tblPr>
        <w:tblW w:type="dxa" w:w="87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dxa" w:w="8700"/>
            <w:shd w:fill="F7F7F7" w:val="clear"/>
            <w:tcMar>
              <w:top w:type="dxa" w:w="120"/>
              <w:left w:type="dxa" w:w="150"/>
              <w:bottom w:type="dxa" w:w="120"/>
              <w:right w:type="dxa" w:w="150"/>
            </w:tcMar>
          </w:tcPr>
          <w:p>
            <w:pPr>
              <w:spacing w:after="30"/>
            </w:pPr>
            <w:r>
              <w:rPr>
                <w:rFonts w:ascii="Courier New" w:cs="Courier New" w:eastAsia="Courier New" w:hAnsi="Courier New"/>
                <w:sz w:val="17"/>
                <w:szCs w:val="17"/>
              </w:rPr>
              <w:t xml:space="preserve">flowchart TD</w:t>
            </w:r>
          </w:p>
          <w:p>
            <w:pPr>
              <w:spacing w:after="30"/>
            </w:pPr>
            <w:r>
              <w:rPr>
                <w:rFonts w:ascii="Courier New" w:cs="Courier New" w:eastAsia="Courier New" w:hAnsi="Courier New"/>
                <w:sz w:val="17"/>
                <w:szCs w:val="17"/>
              </w:rPr>
              <w:t xml:space="preserve">  A[Module Operation Executes] --&gt; B{Error Raised?}</w:t>
            </w:r>
          </w:p>
          <w:p>
            <w:pPr>
              <w:spacing w:after="30"/>
            </w:pPr>
            <w:r>
              <w:rPr>
                <w:rFonts w:ascii="Courier New" w:cs="Courier New" w:eastAsia="Courier New" w:hAnsi="Courier New"/>
                <w:sz w:val="17"/>
                <w:szCs w:val="17"/>
              </w:rPr>
              <w:t xml:space="preserve">  B --&gt;|No| C[Continue Normal Flow]</w:t>
            </w:r>
          </w:p>
          <w:p>
            <w:pPr>
              <w:spacing w:after="30"/>
            </w:pPr>
            <w:r>
              <w:rPr>
                <w:rFonts w:ascii="Courier New" w:cs="Courier New" w:eastAsia="Courier New" w:hAnsi="Courier New"/>
                <w:sz w:val="17"/>
                <w:szCs w:val="17"/>
              </w:rPr>
              <w:t xml:space="preserve">  B --&gt;|Yes| D{Error Type}</w:t>
            </w:r>
          </w:p>
          <w:p>
            <w:pPr>
              <w:spacing w:after="30"/>
            </w:pPr>
            <w:r>
              <w:rPr>
                <w:rFonts w:ascii="Courier New" w:cs="Courier New" w:eastAsia="Courier New" w:hAnsi="Courier New"/>
                <w:sz w:val="17"/>
                <w:szCs w:val="17"/>
              </w:rPr>
              <w:t xml:space="preserve">  D --&gt;|Network / Mapping Provider| E[Activate Route-Distance</w:t>
            </w:r>
          </w:p>
          <w:p>
            <w:pPr>
              <w:spacing w:after="30"/>
            </w:pPr>
            <w:r>
              <w:rPr>
                <w:rFonts w:ascii="Courier New" w:cs="Courier New" w:eastAsia="Courier New" w:hAnsi="Courier New"/>
                <w:sz w:val="17"/>
                <w:szCs w:val="17"/>
              </w:rPr>
              <w:t xml:space="preserve">        Fallback (Haversine)]</w:t>
            </w:r>
          </w:p>
          <w:p>
            <w:pPr>
              <w:spacing w:after="30"/>
            </w:pPr>
            <w:r>
              <w:rPr>
                <w:rFonts w:ascii="Courier New" w:cs="Courier New" w:eastAsia="Courier New" w:hAnsi="Courier New"/>
                <w:sz w:val="17"/>
                <w:szCs w:val="17"/>
              </w:rPr>
              <w:t xml:space="preserve">  D --&gt;|GPS / Location| F[Prompt Manual Location Entry]</w:t>
            </w:r>
          </w:p>
          <w:p>
            <w:pPr>
              <w:spacing w:after="30"/>
            </w:pPr>
            <w:r>
              <w:rPr>
                <w:rFonts w:ascii="Courier New" w:cs="Courier New" w:eastAsia="Courier New" w:hAnsi="Courier New"/>
                <w:sz w:val="17"/>
                <w:szCs w:val="17"/>
              </w:rPr>
              <w:t xml:space="preserve">  D --&gt;|Uncaught Application Error| G[Global Error Boundary:</w:t>
            </w:r>
          </w:p>
          <w:p>
            <w:pPr>
              <w:spacing w:after="30"/>
            </w:pPr>
            <w:r>
              <w:rPr>
                <w:rFonts w:ascii="Courier New" w:cs="Courier New" w:eastAsia="Courier New" w:hAnsi="Courier New"/>
                <w:sz w:val="17"/>
                <w:szCs w:val="17"/>
              </w:rPr>
              <w:t xml:space="preserve">        Render Recoverable Overlay]</w:t>
            </w:r>
          </w:p>
          <w:p>
            <w:pPr>
              <w:spacing w:after="30"/>
            </w:pPr>
            <w:r>
              <w:rPr>
                <w:rFonts w:ascii="Courier New" w:cs="Courier New" w:eastAsia="Courier New" w:hAnsi="Courier New"/>
                <w:sz w:val="17"/>
                <w:szCs w:val="17"/>
              </w:rPr>
              <w:t xml:space="preserve">  E --&gt; C</w:t>
            </w:r>
          </w:p>
          <w:p>
            <w:pPr>
              <w:spacing w:after="30"/>
            </w:pPr>
            <w:r>
              <w:rPr>
                <w:rFonts w:ascii="Courier New" w:cs="Courier New" w:eastAsia="Courier New" w:hAnsi="Courier New"/>
                <w:sz w:val="17"/>
                <w:szCs w:val="17"/>
              </w:rPr>
              <w:t xml:space="preserve">  F --&gt; C</w:t>
            </w:r>
          </w:p>
          <w:p>
            <w:pPr>
              <w:spacing w:after="30"/>
            </w:pPr>
            <w:r>
              <w:rPr>
                <w:rFonts w:ascii="Courier New" w:cs="Courier New" w:eastAsia="Courier New" w:hAnsi="Courier New"/>
                <w:sz w:val="17"/>
                <w:szCs w:val="17"/>
              </w:rPr>
              <w:t xml:space="preserve">  G --&gt; H[User Retry / Navigate Home]</w:t>
            </w:r>
          </w:p>
        </w:tc>
      </w:tr>
    </w:tbl>
    <w:p>
      <w:pPr>
        <w:pStyle w:val="Heading1"/>
        <w:pageBreakBefore/>
        <w:pBdr>
          <w:bottom w:val="single" w:color="8B1E2F" w:sz="12" w:space="4"/>
        </w:pBdr>
        <w:spacing w:after="200" w:before="200"/>
      </w:pPr>
      <w:r>
        <w:rPr>
          <w:b/>
          <w:bCs/>
          <w:color w:val="13294B"/>
          <w:sz w:val="32"/>
          <w:szCs w:val="32"/>
        </w:rPr>
        <w:t xml:space="preserve">16. Algorithms</w:t>
      </w:r>
    </w:p>
    <w:p>
      <w:pPr>
        <w:pStyle w:val="Heading2"/>
        <w:spacing w:after="140" w:before="280"/>
      </w:pPr>
      <w:r>
        <w:rPr>
          <w:b/>
          <w:bCs/>
          <w:color w:val="13294B"/>
          <w:sz w:val="26"/>
          <w:szCs w:val="26"/>
        </w:rPr>
        <w:t xml:space="preserve">16.1 Algorithm 1 — Itemized Fare Computation</w:t>
      </w:r>
    </w:p>
    <w:p>
      <w:pPr>
        <w:spacing w:after="160" w:line="300"/>
        <w:jc w:val="both"/>
      </w:pPr>
      <w:r>
        <w:rPr>
          <w:b w:val="false"/>
          <w:bCs w:val="false"/>
          <w:i w:val="false"/>
          <w:iCs w:val="false"/>
          <w:color w:val="1A1A1A"/>
          <w:sz w:val="21"/>
          <w:szCs w:val="21"/>
        </w:rPr>
        <w:t xml:space="preserve">Common to all four booking types; base-fare and rate constants are parameterized by vehicle class and booking type.</w:t>
      </w:r>
    </w:p>
    <w:tbl>
      <w:tblPr>
        <w:tblW w:type="dxa" w:w="87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dxa" w:w="8700"/>
            <w:shd w:fill="F7F7F7" w:val="clear"/>
            <w:tcMar>
              <w:top w:type="dxa" w:w="120"/>
              <w:left w:type="dxa" w:w="150"/>
              <w:bottom w:type="dxa" w:w="120"/>
              <w:right w:type="dxa" w:w="150"/>
            </w:tcMar>
          </w:tcPr>
          <w:p>
            <w:pPr>
              <w:spacing w:after="30"/>
            </w:pPr>
            <w:r>
              <w:rPr>
                <w:rFonts w:ascii="Courier New" w:cs="Courier New" w:eastAsia="Courier New" w:hAnsi="Courier New"/>
                <w:sz w:val="17"/>
                <w:szCs w:val="17"/>
              </w:rPr>
              <w:t xml:space="preserve">Algorithm 1: ComputeItemizedFare</w:t>
            </w:r>
          </w:p>
          <w:p>
            <w:pPr>
              <w:spacing w:after="30"/>
            </w:pPr>
            <w:r>
              <w:rPr>
                <w:rFonts w:ascii="Courier New" w:cs="Courier New" w:eastAsia="Courier New" w:hAnsi="Courier New"/>
                <w:sz w:val="17"/>
                <w:szCs w:val="17"/>
              </w:rPr>
              <w:t xml:space="preserve">Input: vehicleClass, distanceKm, durationMin,</w:t>
            </w:r>
          </w:p>
          <w:p>
            <w:pPr>
              <w:spacing w:after="30"/>
            </w:pPr>
            <w:r>
              <w:rPr>
                <w:rFonts w:ascii="Courier New" w:cs="Courier New" w:eastAsia="Courier New" w:hAnsi="Courier New"/>
                <w:sz w:val="17"/>
                <w:szCs w:val="17"/>
              </w:rPr>
              <w:t xml:space="preserve">       protectionSelected (boolean)</w:t>
            </w:r>
          </w:p>
          <w:p>
            <w:pPr>
              <w:spacing w:after="30"/>
            </w:pPr>
            <w:r>
              <w:rPr>
                <w:rFonts w:ascii="Courier New" w:cs="Courier New" w:eastAsia="Courier New" w:hAnsi="Courier New"/>
                <w:sz w:val="17"/>
                <w:szCs w:val="17"/>
              </w:rPr>
              <w:t xml:space="preserve">Output: fareBreakdown</w:t>
            </w:r>
          </w:p>
          <w:p>
            <w:pPr>
              <w:spacing w:after="30"/>
            </w:pPr>
            <w:r>
              <w:rPr>
                <w:rFonts w:ascii="Courier New" w:cs="Courier New" w:eastAsia="Courier New" w:hAnsi="Courier New"/>
                <w:sz w:val="17"/>
                <w:szCs w:val="17"/>
              </w:rPr>
              <w:t xml:space="preserve"/>
            </w:r>
          </w:p>
          <w:p>
            <w:pPr>
              <w:spacing w:after="30"/>
            </w:pPr>
            <w:r>
              <w:rPr>
                <w:rFonts w:ascii="Courier New" w:cs="Courier New" w:eastAsia="Courier New" w:hAnsi="Courier New"/>
                <w:sz w:val="17"/>
                <w:szCs w:val="17"/>
              </w:rPr>
              <w:t xml:space="preserve">1  base &lt;- BaseFare[vehicleClass]</w:t>
            </w:r>
          </w:p>
          <w:p>
            <w:pPr>
              <w:spacing w:after="30"/>
            </w:pPr>
            <w:r>
              <w:rPr>
                <w:rFonts w:ascii="Courier New" w:cs="Courier New" w:eastAsia="Courier New" w:hAnsi="Courier New"/>
                <w:sz w:val="17"/>
                <w:szCs w:val="17"/>
              </w:rPr>
              <w:t xml:space="preserve">2  distCharge &lt;- distanceKm * PerKmRate[vehicleClass]</w:t>
            </w:r>
          </w:p>
          <w:p>
            <w:pPr>
              <w:spacing w:after="30"/>
            </w:pPr>
            <w:r>
              <w:rPr>
                <w:rFonts w:ascii="Courier New" w:cs="Courier New" w:eastAsia="Courier New" w:hAnsi="Courier New"/>
                <w:sz w:val="17"/>
                <w:szCs w:val="17"/>
              </w:rPr>
              <w:t xml:space="preserve">3  timeCharge &lt;- durationMin * PerMinRate[vehicleClass]</w:t>
            </w:r>
          </w:p>
          <w:p>
            <w:pPr>
              <w:spacing w:after="30"/>
            </w:pPr>
            <w:r>
              <w:rPr>
                <w:rFonts w:ascii="Courier New" w:cs="Courier New" w:eastAsia="Courier New" w:hAnsi="Courier New"/>
                <w:sz w:val="17"/>
                <w:szCs w:val="17"/>
              </w:rPr>
              <w:t xml:space="preserve">4  subtotal &lt;- base + distCharge + timeCharge</w:t>
            </w:r>
          </w:p>
          <w:p>
            <w:pPr>
              <w:spacing w:after="30"/>
            </w:pPr>
            <w:r>
              <w:rPr>
                <w:rFonts w:ascii="Courier New" w:cs="Courier New" w:eastAsia="Courier New" w:hAnsi="Courier New"/>
                <w:sz w:val="17"/>
                <w:szCs w:val="17"/>
              </w:rPr>
              <w:t xml:space="preserve">5  if bookingType = RIDE and distanceKm &gt; SurgeThresh then</w:t>
            </w:r>
          </w:p>
          <w:p>
            <w:pPr>
              <w:spacing w:after="30"/>
            </w:pPr>
            <w:r>
              <w:rPr>
                <w:rFonts w:ascii="Courier New" w:cs="Courier New" w:eastAsia="Courier New" w:hAnsi="Courier New"/>
                <w:sz w:val="17"/>
                <w:szCs w:val="17"/>
              </w:rPr>
              <w:t xml:space="preserve">6      surgeMult &lt;- CurrentSurgeMultiplier()</w:t>
            </w:r>
          </w:p>
          <w:p>
            <w:pPr>
              <w:spacing w:after="30"/>
            </w:pPr>
            <w:r>
              <w:rPr>
                <w:rFonts w:ascii="Courier New" w:cs="Courier New" w:eastAsia="Courier New" w:hAnsi="Courier New"/>
                <w:sz w:val="17"/>
                <w:szCs w:val="17"/>
              </w:rPr>
              <w:t xml:space="preserve">7      subtotal &lt;- subtotal * surgeMult</w:t>
            </w:r>
          </w:p>
          <w:p>
            <w:pPr>
              <w:spacing w:after="30"/>
            </w:pPr>
            <w:r>
              <w:rPr>
                <w:rFonts w:ascii="Courier New" w:cs="Courier New" w:eastAsia="Courier New" w:hAnsi="Courier New"/>
                <w:sz w:val="17"/>
                <w:szCs w:val="17"/>
              </w:rPr>
              <w:t xml:space="preserve">8  else</w:t>
            </w:r>
          </w:p>
          <w:p>
            <w:pPr>
              <w:spacing w:after="30"/>
            </w:pPr>
            <w:r>
              <w:rPr>
                <w:rFonts w:ascii="Courier New" w:cs="Courier New" w:eastAsia="Courier New" w:hAnsi="Courier New"/>
                <w:sz w:val="17"/>
                <w:szCs w:val="17"/>
              </w:rPr>
              <w:t xml:space="preserve">9      surgeMult &lt;- 1.0</w:t>
            </w:r>
          </w:p>
          <w:p>
            <w:pPr>
              <w:spacing w:after="30"/>
            </w:pPr>
            <w:r>
              <w:rPr>
                <w:rFonts w:ascii="Courier New" w:cs="Courier New" w:eastAsia="Courier New" w:hAnsi="Courier New"/>
                <w:sz w:val="17"/>
                <w:szCs w:val="17"/>
              </w:rPr>
              <w:t xml:space="preserve">10 protectionFee &lt;- protectionSelected ? ProtFee : 0</w:t>
            </w:r>
          </w:p>
          <w:p>
            <w:pPr>
              <w:spacing w:after="30"/>
            </w:pPr>
            <w:r>
              <w:rPr>
                <w:rFonts w:ascii="Courier New" w:cs="Courier New" w:eastAsia="Courier New" w:hAnsi="Courier New"/>
                <w:sz w:val="17"/>
                <w:szCs w:val="17"/>
              </w:rPr>
              <w:t xml:space="preserve">11 taxable &lt;- subtotal + protectionFee</w:t>
            </w:r>
          </w:p>
          <w:p>
            <w:pPr>
              <w:spacing w:after="30"/>
            </w:pPr>
            <w:r>
              <w:rPr>
                <w:rFonts w:ascii="Courier New" w:cs="Courier New" w:eastAsia="Courier New" w:hAnsi="Courier New"/>
                <w:sz w:val="17"/>
                <w:szCs w:val="17"/>
              </w:rPr>
              <w:t xml:space="preserve">12 tax &lt;- taxable * GST_RATE</w:t>
            </w:r>
          </w:p>
          <w:p>
            <w:pPr>
              <w:spacing w:after="30"/>
            </w:pPr>
            <w:r>
              <w:rPr>
                <w:rFonts w:ascii="Courier New" w:cs="Courier New" w:eastAsia="Courier New" w:hAnsi="Courier New"/>
                <w:sz w:val="17"/>
                <w:szCs w:val="17"/>
              </w:rPr>
              <w:t xml:space="preserve">13 total &lt;- taxable + tax</w:t>
            </w:r>
          </w:p>
          <w:p>
            <w:pPr>
              <w:spacing w:after="30"/>
            </w:pPr>
            <w:r>
              <w:rPr>
                <w:rFonts w:ascii="Courier New" w:cs="Courier New" w:eastAsia="Courier New" w:hAnsi="Courier New"/>
                <w:sz w:val="17"/>
                <w:szCs w:val="17"/>
              </w:rPr>
              <w:t xml:space="preserve">14 return {base, distCharge, timeCharge, surgeMult,</w:t>
            </w:r>
          </w:p>
          <w:p>
            <w:pPr>
              <w:spacing w:after="30"/>
            </w:pPr>
            <w:r>
              <w:rPr>
                <w:rFonts w:ascii="Courier New" w:cs="Courier New" w:eastAsia="Courier New" w:hAnsi="Courier New"/>
                <w:sz w:val="17"/>
                <w:szCs w:val="17"/>
              </w:rPr>
              <w:t xml:space="preserve">           protectionFee, tax, total}</w:t>
            </w:r>
          </w:p>
        </w:tc>
      </w:tr>
    </w:tbl>
    <w:p>
      <w:pPr>
        <w:pStyle w:val="Heading2"/>
        <w:spacing w:after="140" w:before="280"/>
      </w:pPr>
      <w:r>
        <w:rPr>
          <w:b/>
          <w:bCs/>
          <w:color w:val="13294B"/>
          <w:sz w:val="26"/>
          <w:szCs w:val="26"/>
        </w:rPr>
        <w:t xml:space="preserve">16.2 Algorithm 2 — Geofence Validation</w:t>
      </w:r>
    </w:p>
    <w:p>
      <w:pPr>
        <w:spacing w:after="160" w:line="300"/>
        <w:jc w:val="both"/>
      </w:pPr>
      <w:r>
        <w:rPr>
          <w:b w:val="false"/>
          <w:bCs w:val="false"/>
          <w:i w:val="false"/>
          <w:iCs w:val="false"/>
          <w:color w:val="1A1A1A"/>
          <w:sz w:val="21"/>
          <w:szCs w:val="21"/>
        </w:rPr>
        <w:t xml:space="preserve">Applied to the pickup/drop pair, or to every stop in a multi-stop itinerary, prior to fare computation.</w:t>
      </w:r>
    </w:p>
    <w:tbl>
      <w:tblPr>
        <w:tblW w:type="dxa" w:w="87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dxa" w:w="8700"/>
            <w:shd w:fill="F7F7F7" w:val="clear"/>
            <w:tcMar>
              <w:top w:type="dxa" w:w="120"/>
              <w:left w:type="dxa" w:w="150"/>
              <w:bottom w:type="dxa" w:w="120"/>
              <w:right w:type="dxa" w:w="150"/>
            </w:tcMar>
          </w:tcPr>
          <w:p>
            <w:pPr>
              <w:spacing w:after="30"/>
            </w:pPr>
            <w:r>
              <w:rPr>
                <w:rFonts w:ascii="Courier New" w:cs="Courier New" w:eastAsia="Courier New" w:hAnsi="Courier New"/>
                <w:sz w:val="17"/>
                <w:szCs w:val="17"/>
              </w:rPr>
              <w:t xml:space="preserve">Algorithm 2: ValidateGeofence</w:t>
            </w:r>
          </w:p>
          <w:p>
            <w:pPr>
              <w:spacing w:after="30"/>
            </w:pPr>
            <w:r>
              <w:rPr>
                <w:rFonts w:ascii="Courier New" w:cs="Courier New" w:eastAsia="Courier New" w:hAnsi="Courier New"/>
                <w:sz w:val="17"/>
                <w:szCs w:val="17"/>
              </w:rPr>
              <w:t xml:space="preserve">Input: coordList = [(lat_1,lon_1), ..., (lat_n,lon_n)],</w:t>
            </w:r>
          </w:p>
          <w:p>
            <w:pPr>
              <w:spacing w:after="30"/>
            </w:pPr>
            <w:r>
              <w:rPr>
                <w:rFonts w:ascii="Courier New" w:cs="Courier New" w:eastAsia="Courier New" w:hAnsi="Courier New"/>
                <w:sz w:val="17"/>
                <w:szCs w:val="17"/>
              </w:rPr>
              <w:t xml:space="preserve">       boundary = (latMin, latMax, lonMin, lonMax)</w:t>
            </w:r>
          </w:p>
          <w:p>
            <w:pPr>
              <w:spacing w:after="30"/>
            </w:pPr>
            <w:r>
              <w:rPr>
                <w:rFonts w:ascii="Courier New" w:cs="Courier New" w:eastAsia="Courier New" w:hAnsi="Courier New"/>
                <w:sz w:val="17"/>
                <w:szCs w:val="17"/>
              </w:rPr>
              <w:t xml:space="preserve">Output: isValid (boolean), violatingIndex</w:t>
            </w:r>
          </w:p>
          <w:p>
            <w:pPr>
              <w:spacing w:after="30"/>
            </w:pPr>
            <w:r>
              <w:rPr>
                <w:rFonts w:ascii="Courier New" w:cs="Courier New" w:eastAsia="Courier New" w:hAnsi="Courier New"/>
                <w:sz w:val="17"/>
                <w:szCs w:val="17"/>
              </w:rPr>
              <w:t xml:space="preserve"/>
            </w:r>
          </w:p>
          <w:p>
            <w:pPr>
              <w:spacing w:after="30"/>
            </w:pPr>
            <w:r>
              <w:rPr>
                <w:rFonts w:ascii="Courier New" w:cs="Courier New" w:eastAsia="Courier New" w:hAnsi="Courier New"/>
                <w:sz w:val="17"/>
                <w:szCs w:val="17"/>
              </w:rPr>
              <w:t xml:space="preserve">1  for i &lt;- 1 to n do</w:t>
            </w:r>
          </w:p>
          <w:p>
            <w:pPr>
              <w:spacing w:after="30"/>
            </w:pPr>
            <w:r>
              <w:rPr>
                <w:rFonts w:ascii="Courier New" w:cs="Courier New" w:eastAsia="Courier New" w:hAnsi="Courier New"/>
                <w:sz w:val="17"/>
                <w:szCs w:val="17"/>
              </w:rPr>
              <w:t xml:space="preserve">2      (lat, lon) &lt;- coordList[i]</w:t>
            </w:r>
          </w:p>
          <w:p>
            <w:pPr>
              <w:spacing w:after="30"/>
            </w:pPr>
            <w:r>
              <w:rPr>
                <w:rFonts w:ascii="Courier New" w:cs="Courier New" w:eastAsia="Courier New" w:hAnsi="Courier New"/>
                <w:sz w:val="17"/>
                <w:szCs w:val="17"/>
              </w:rPr>
              <w:t xml:space="preserve">3      if lat &lt; boundary.latMin or lat &gt; boundary.latMax</w:t>
            </w:r>
          </w:p>
          <w:p>
            <w:pPr>
              <w:spacing w:after="30"/>
            </w:pPr>
            <w:r>
              <w:rPr>
                <w:rFonts w:ascii="Courier New" w:cs="Courier New" w:eastAsia="Courier New" w:hAnsi="Courier New"/>
                <w:sz w:val="17"/>
                <w:szCs w:val="17"/>
              </w:rPr>
              <w:t xml:space="preserve">4         or lon &lt; boundary.lonMin or lon &gt; boundary.lonMax</w:t>
            </w:r>
          </w:p>
          <w:p>
            <w:pPr>
              <w:spacing w:after="30"/>
            </w:pPr>
            <w:r>
              <w:rPr>
                <w:rFonts w:ascii="Courier New" w:cs="Courier New" w:eastAsia="Courier New" w:hAnsi="Courier New"/>
                <w:sz w:val="17"/>
                <w:szCs w:val="17"/>
              </w:rPr>
              <w:t xml:space="preserve">5      then</w:t>
            </w:r>
          </w:p>
          <w:p>
            <w:pPr>
              <w:spacing w:after="30"/>
            </w:pPr>
            <w:r>
              <w:rPr>
                <w:rFonts w:ascii="Courier New" w:cs="Courier New" w:eastAsia="Courier New" w:hAnsi="Courier New"/>
                <w:sz w:val="17"/>
                <w:szCs w:val="17"/>
              </w:rPr>
              <w:t xml:space="preserve">6          return (false, i)</w:t>
            </w:r>
          </w:p>
          <w:p>
            <w:pPr>
              <w:spacing w:after="30"/>
            </w:pPr>
            <w:r>
              <w:rPr>
                <w:rFonts w:ascii="Courier New" w:cs="Courier New" w:eastAsia="Courier New" w:hAnsi="Courier New"/>
                <w:sz w:val="17"/>
                <w:szCs w:val="17"/>
              </w:rPr>
              <w:t xml:space="preserve">7  return (true, null)</w:t>
            </w:r>
          </w:p>
        </w:tc>
      </w:tr>
    </w:tbl>
    <w:p>
      <w:pPr>
        <w:pStyle w:val="Heading2"/>
        <w:spacing w:after="140" w:before="280"/>
      </w:pPr>
      <w:r>
        <w:rPr>
          <w:b/>
          <w:bCs/>
          <w:color w:val="13294B"/>
          <w:sz w:val="26"/>
          <w:szCs w:val="26"/>
        </w:rPr>
        <w:t xml:space="preserve">16.3 Algorithm 3 — Festival-Context State Transition</w:t>
      </w:r>
    </w:p>
    <w:tbl>
      <w:tblPr>
        <w:tblW w:type="dxa" w:w="87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dxa" w:w="8700"/>
            <w:shd w:fill="F7F7F7" w:val="clear"/>
            <w:tcMar>
              <w:top w:type="dxa" w:w="120"/>
              <w:left w:type="dxa" w:w="150"/>
              <w:bottom w:type="dxa" w:w="120"/>
              <w:right w:type="dxa" w:w="150"/>
            </w:tcMar>
          </w:tcPr>
          <w:p>
            <w:pPr>
              <w:spacing w:after="30"/>
            </w:pPr>
            <w:r>
              <w:rPr>
                <w:rFonts w:ascii="Courier New" w:cs="Courier New" w:eastAsia="Courier New" w:hAnsi="Courier New"/>
                <w:sz w:val="17"/>
                <w:szCs w:val="17"/>
              </w:rPr>
              <w:t xml:space="preserve">Algorithm 3: ApplyFestivalState</w:t>
            </w:r>
          </w:p>
          <w:p>
            <w:pPr>
              <w:spacing w:after="30"/>
            </w:pPr>
            <w:r>
              <w:rPr>
                <w:rFonts w:ascii="Courier New" w:cs="Courier New" w:eastAsia="Courier New" w:hAnsi="Courier New"/>
                <w:sz w:val="17"/>
                <w:szCs w:val="17"/>
              </w:rPr>
              <w:t xml:space="preserve">Input: selectedState, appState</w:t>
            </w:r>
          </w:p>
          <w:p>
            <w:pPr>
              <w:spacing w:after="30"/>
            </w:pPr>
            <w:r>
              <w:rPr>
                <w:rFonts w:ascii="Courier New" w:cs="Courier New" w:eastAsia="Courier New" w:hAnsi="Courier New"/>
                <w:sz w:val="17"/>
                <w:szCs w:val="17"/>
              </w:rPr>
              <w:t xml:space="preserve">Output: updated appState</w:t>
            </w:r>
          </w:p>
          <w:p>
            <w:pPr>
              <w:spacing w:after="30"/>
            </w:pPr>
            <w:r>
              <w:rPr>
                <w:rFonts w:ascii="Courier New" w:cs="Courier New" w:eastAsia="Courier New" w:hAnsi="Courier New"/>
                <w:sz w:val="17"/>
                <w:szCs w:val="17"/>
              </w:rPr>
              <w:t xml:space="preserve"/>
            </w:r>
          </w:p>
          <w:p>
            <w:pPr>
              <w:spacing w:after="30"/>
            </w:pPr>
            <w:r>
              <w:rPr>
                <w:rFonts w:ascii="Courier New" w:cs="Courier New" w:eastAsia="Courier New" w:hAnsi="Courier New"/>
                <w:sz w:val="17"/>
                <w:szCs w:val="17"/>
              </w:rPr>
              <w:t xml:space="preserve">1  config &lt;- FestivalStateConfig[selectedState]</w:t>
            </w:r>
          </w:p>
          <w:p>
            <w:pPr>
              <w:spacing w:after="30"/>
            </w:pPr>
            <w:r>
              <w:rPr>
                <w:rFonts w:ascii="Courier New" w:cs="Courier New" w:eastAsia="Courier New" w:hAnsi="Courier New"/>
                <w:sz w:val="17"/>
                <w:szCs w:val="17"/>
              </w:rPr>
              <w:t xml:space="preserve">2  appState.activeFestival &lt;- selectedState</w:t>
            </w:r>
          </w:p>
          <w:p>
            <w:pPr>
              <w:spacing w:after="30"/>
            </w:pPr>
            <w:r>
              <w:rPr>
                <w:rFonts w:ascii="Courier New" w:cs="Courier New" w:eastAsia="Courier New" w:hAnsi="Courier New"/>
                <w:sz w:val="17"/>
                <w:szCs w:val="17"/>
              </w:rPr>
              <w:t xml:space="preserve">3  appState.banner &lt;- config.bannerContent</w:t>
            </w:r>
          </w:p>
          <w:p>
            <w:pPr>
              <w:spacing w:after="30"/>
            </w:pPr>
            <w:r>
              <w:rPr>
                <w:rFonts w:ascii="Courier New" w:cs="Courier New" w:eastAsia="Courier New" w:hAnsi="Courier New"/>
                <w:sz w:val="17"/>
                <w:szCs w:val="17"/>
              </w:rPr>
              <w:t xml:space="preserve">4  appState.activeOffer &lt;- config.dedicatedOffer</w:t>
            </w:r>
          </w:p>
          <w:p>
            <w:pPr>
              <w:spacing w:after="30"/>
            </w:pPr>
            <w:r>
              <w:rPr>
                <w:rFonts w:ascii="Courier New" w:cs="Courier New" w:eastAsia="Courier New" w:hAnsi="Courier New"/>
                <w:sz w:val="17"/>
                <w:szCs w:val="17"/>
              </w:rPr>
              <w:t xml:space="preserve">5  for each lang in SupportedLanguages do</w:t>
            </w:r>
          </w:p>
          <w:p>
            <w:pPr>
              <w:spacing w:after="30"/>
            </w:pPr>
            <w:r>
              <w:rPr>
                <w:rFonts w:ascii="Courier New" w:cs="Courier New" w:eastAsia="Courier New" w:hAnsi="Courier New"/>
                <w:sz w:val="17"/>
                <w:szCs w:val="17"/>
              </w:rPr>
              <w:t xml:space="preserve">6      appState.text[lang] &lt;- config.text[lang]</w:t>
            </w:r>
          </w:p>
          <w:p>
            <w:pPr>
              <w:spacing w:after="30"/>
            </w:pPr>
            <w:r>
              <w:rPr>
                <w:rFonts w:ascii="Courier New" w:cs="Courier New" w:eastAsia="Courier New" w:hAnsi="Courier New"/>
                <w:sz w:val="17"/>
                <w:szCs w:val="17"/>
              </w:rPr>
              <w:t xml:space="preserve">7  return appState   // single atomic update</w:t>
            </w:r>
          </w:p>
        </w:tc>
      </w:tr>
    </w:tbl>
    <w:p>
      <w:pPr>
        <w:pStyle w:val="Heading2"/>
        <w:spacing w:after="140" w:before="280"/>
      </w:pPr>
      <w:r>
        <w:rPr>
          <w:b/>
          <w:bCs/>
          <w:color w:val="13294B"/>
          <w:sz w:val="26"/>
          <w:szCs w:val="26"/>
        </w:rPr>
        <w:t xml:space="preserve">16.4 Algorithm 4 — Event-Record Vendor-Booking Update</w:t>
      </w:r>
    </w:p>
    <w:tbl>
      <w:tblPr>
        <w:tblW w:type="dxa" w:w="87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dxa" w:w="8700"/>
            <w:shd w:fill="F7F7F7" w:val="clear"/>
            <w:tcMar>
              <w:top w:type="dxa" w:w="120"/>
              <w:left w:type="dxa" w:w="150"/>
              <w:bottom w:type="dxa" w:w="120"/>
              <w:right w:type="dxa" w:w="150"/>
            </w:tcMar>
          </w:tcPr>
          <w:p>
            <w:pPr>
              <w:spacing w:after="30"/>
            </w:pPr>
            <w:r>
              <w:rPr>
                <w:rFonts w:ascii="Courier New" w:cs="Courier New" w:eastAsia="Courier New" w:hAnsi="Courier New"/>
                <w:sz w:val="17"/>
                <w:szCs w:val="17"/>
              </w:rPr>
              <w:t xml:space="preserve">Algorithm 4: BookVendor</w:t>
            </w:r>
          </w:p>
          <w:p>
            <w:pPr>
              <w:spacing w:after="30"/>
            </w:pPr>
            <w:r>
              <w:rPr>
                <w:rFonts w:ascii="Courier New" w:cs="Courier New" w:eastAsia="Courier New" w:hAnsi="Courier New"/>
                <w:sz w:val="17"/>
                <w:szCs w:val="17"/>
              </w:rPr>
              <w:t xml:space="preserve">Input: eventRecord, vendorId, vendorCost</w:t>
            </w:r>
          </w:p>
          <w:p>
            <w:pPr>
              <w:spacing w:after="30"/>
            </w:pPr>
            <w:r>
              <w:rPr>
                <w:rFonts w:ascii="Courier New" w:cs="Courier New" w:eastAsia="Courier New" w:hAnsi="Courier New"/>
                <w:sz w:val="17"/>
                <w:szCs w:val="17"/>
              </w:rPr>
              <w:t xml:space="preserve">Output: updated eventRecord</w:t>
            </w:r>
          </w:p>
          <w:p>
            <w:pPr>
              <w:spacing w:after="30"/>
            </w:pPr>
            <w:r>
              <w:rPr>
                <w:rFonts w:ascii="Courier New" w:cs="Courier New" w:eastAsia="Courier New" w:hAnsi="Courier New"/>
                <w:sz w:val="17"/>
                <w:szCs w:val="17"/>
              </w:rPr>
              <w:t xml:space="preserve"/>
            </w:r>
          </w:p>
          <w:p>
            <w:pPr>
              <w:spacing w:after="30"/>
            </w:pPr>
            <w:r>
              <w:rPr>
                <w:rFonts w:ascii="Courier New" w:cs="Courier New" w:eastAsia="Courier New" w:hAnsi="Courier New"/>
                <w:sz w:val="17"/>
                <w:szCs w:val="17"/>
              </w:rPr>
              <w:t xml:space="preserve">1  eventRecord.vendorBookings.append(vendorId)</w:t>
            </w:r>
          </w:p>
          <w:p>
            <w:pPr>
              <w:spacing w:after="30"/>
            </w:pPr>
            <w:r>
              <w:rPr>
                <w:rFonts w:ascii="Courier New" w:cs="Courier New" w:eastAsia="Courier New" w:hAnsi="Courier New"/>
                <w:sz w:val="17"/>
                <w:szCs w:val="17"/>
              </w:rPr>
              <w:t xml:space="preserve">2  eventRecord.spend &lt;- eventRecord.spend + vendorCost</w:t>
            </w:r>
          </w:p>
          <w:p>
            <w:pPr>
              <w:spacing w:after="30"/>
            </w:pPr>
            <w:r>
              <w:rPr>
                <w:rFonts w:ascii="Courier New" w:cs="Courier New" w:eastAsia="Courier New" w:hAnsi="Courier New"/>
                <w:sz w:val="17"/>
                <w:szCs w:val="17"/>
              </w:rPr>
              <w:t xml:space="preserve">3  eventRecord.remaining &lt;- eventRecord.budget</w:t>
            </w:r>
          </w:p>
          <w:p>
            <w:pPr>
              <w:spacing w:after="30"/>
            </w:pPr>
            <w:r>
              <w:rPr>
                <w:rFonts w:ascii="Courier New" w:cs="Courier New" w:eastAsia="Courier New" w:hAnsi="Courier New"/>
                <w:sz w:val="17"/>
                <w:szCs w:val="17"/>
              </w:rPr>
              <w:t xml:space="preserve">                             - eventRecord.spend</w:t>
            </w:r>
          </w:p>
          <w:p>
            <w:pPr>
              <w:spacing w:after="30"/>
            </w:pPr>
            <w:r>
              <w:rPr>
                <w:rFonts w:ascii="Courier New" w:cs="Courier New" w:eastAsia="Courier New" w:hAnsi="Courier New"/>
                <w:sz w:val="17"/>
                <w:szCs w:val="17"/>
              </w:rPr>
              <w:t xml:space="preserve">4  return eventRecord   // single event record updated</w:t>
            </w:r>
          </w:p>
        </w:tc>
      </w:tr>
    </w:tbl>
    <w:p>
      <w:pPr>
        <w:pStyle w:val="Heading2"/>
        <w:spacing w:after="140" w:before="280"/>
      </w:pPr>
      <w:r>
        <w:rPr>
          <w:b/>
          <w:bCs/>
          <w:color w:val="13294B"/>
          <w:sz w:val="26"/>
          <w:szCs w:val="26"/>
        </w:rPr>
        <w:t xml:space="preserve">16.5 Time and Space Complexity</w:t>
      </w:r>
    </w:p>
    <w:p>
      <w:pPr>
        <w:spacing w:after="160" w:line="300"/>
        <w:jc w:val="both"/>
      </w:pPr>
      <w:r>
        <w:rPr>
          <w:b w:val="false"/>
          <w:bCs w:val="false"/>
          <w:i w:val="false"/>
          <w:iCs w:val="false"/>
          <w:color w:val="1A1A1A"/>
          <w:sz w:val="21"/>
          <w:szCs w:val="21"/>
        </w:rPr>
        <w:t xml:space="preserve">Algorithm 1 executes in O(1) time and space. Algorithm 2 executes in O(n) time and O(1) additional space, where n is the number of coordinates validated (n = 2 for standard bookings; n equal to the number of stops for event-convoy bookings, typically 3–5). Algorithm 3 executes in O(k) time, where k is the number of supported languages (presently k = 4). Algorithm 4 executes in O(1) time and space.</w:t>
      </w:r>
    </w:p>
    <w:p>
      <w:pPr>
        <w:pStyle w:val="Heading2"/>
        <w:spacing w:after="140" w:before="280"/>
      </w:pPr>
      <w:r>
        <w:rPr>
          <w:b/>
          <w:bCs/>
          <w:color w:val="13294B"/>
          <w:sz w:val="26"/>
          <w:szCs w:val="26"/>
        </w:rPr>
        <w:t xml:space="preserve">16.6 Optimization Discussion</w:t>
      </w:r>
    </w:p>
    <w:p>
      <w:pPr>
        <w:spacing w:after="160" w:line="300"/>
        <w:jc w:val="both"/>
      </w:pPr>
      <w:r>
        <w:rPr>
          <w:b w:val="false"/>
          <w:bCs w:val="false"/>
          <w:i w:val="false"/>
          <w:iCs w:val="false"/>
          <w:color w:val="1A1A1A"/>
          <w:sz w:val="21"/>
          <w:szCs w:val="21"/>
        </w:rPr>
        <w:t xml:space="preserve">Because Algorithms 1, 3, and 4 are constant-time and Algorithm 2 is linear in a small n, the dominant latency contribution in the present embodiment is network round-trip time to the active mapping-abstraction provider (Section 9.5). Response caching for frequently requested origin-destination pairs, and pre-computed distance/duration values for fixed pilgrimage packages, are identified as optimization targets for the backend-integrated embodiment (Embodiment 3, Section 10) rather than as modifications to Algorithms 1–4 themselves.</w:t>
      </w:r>
    </w:p>
    <w:p>
      <w:pPr>
        <w:pStyle w:val="Heading1"/>
        <w:pageBreakBefore/>
        <w:pBdr>
          <w:bottom w:val="single" w:color="8B1E2F" w:sz="12" w:space="4"/>
        </w:pBdr>
        <w:spacing w:after="200" w:before="200"/>
      </w:pPr>
      <w:r>
        <w:rPr>
          <w:b/>
          <w:bCs/>
          <w:color w:val="13294B"/>
          <w:sz w:val="32"/>
          <w:szCs w:val="32"/>
        </w:rPr>
        <w:t xml:space="preserve">17. Claims</w:t>
      </w:r>
    </w:p>
    <w:p>
      <w:pPr>
        <w:pBdr>
          <w:left w:val="single" w:color="B08D2B" w:sz="18" w:space="8"/>
        </w:pBdr>
        <w:shd w:fill="FFF7E0" w:val="clear"/>
        <w:spacing w:after="160" w:before="80"/>
        <w:ind w:left="200"/>
      </w:pPr>
      <w:r>
        <w:rPr>
          <w:i/>
          <w:iCs/>
          <w:color w:val="5A4400"/>
          <w:sz w:val="20"/>
          <w:szCs w:val="20"/>
        </w:rPr>
        <w:t xml:space="preserve">NOTE: DRAFT CLAIMS — ILLUSTRATIVE ONLY. These claims have not been reviewed by a Registered Patent Agent and MUST be revised before filing. Claim dependency, antecedent-basis consistency, and scope (breadth vs. validity risk) require professional legal judgment informed by a formal prior-art search. Do not file these claims as written.</w:t>
      </w:r>
    </w:p>
    <w:p>
      <w:pPr>
        <w:spacing w:after="160" w:line="300"/>
        <w:jc w:val="both"/>
      </w:pPr>
      <w:r>
        <w:rPr>
          <w:b/>
          <w:bCs/>
          <w:i w:val="false"/>
          <w:iCs w:val="false"/>
          <w:color w:val="1A1A1A"/>
          <w:sz w:val="21"/>
          <w:szCs w:val="21"/>
        </w:rPr>
        <w:t xml:space="preserve">What is claimed is:</w:t>
      </w:r>
    </w:p>
    <w:p>
      <w:pPr>
        <w:pStyle w:val="Heading2"/>
        <w:spacing w:after="140" w:before="280"/>
      </w:pPr>
      <w:r>
        <w:rPr>
          <w:b/>
          <w:bCs/>
          <w:color w:val="13294B"/>
          <w:sz w:val="26"/>
          <w:szCs w:val="26"/>
        </w:rPr>
        <w:t xml:space="preserve">Independent System Claim</w:t>
      </w:r>
    </w:p>
    <w:p>
      <w:pPr>
        <w:spacing w:after="160" w:line="300"/>
        <w:jc w:val="both"/>
      </w:pPr>
      <w:r>
        <w:rPr>
          <w:b w:val="false"/>
          <w:bCs w:val="false"/>
          <w:i w:val="false"/>
          <w:iCs w:val="false"/>
          <w:color w:val="1A1A1A"/>
          <w:sz w:val="21"/>
          <w:szCs w:val="21"/>
        </w:rPr>
        <w:t xml:space="preserve">1. A computer-implemented transport and event-logistics dispatch system comprising: a location-resolution module configured to receive a pickup location and one or more further locations selected from a drop location or a multi-point itinerary; a mapping abstraction module configured to operate, by default, using a keyless map-rendering and route-geometry service, and to detect a supplied commercial mapping-service credential and, upon detection, to render subsequent map and route-geometry output using a corresponding commercial mapping service, without altering the data structures consumed by a geofencing module or a fare-computation module; the geofencing module configured to validate each location received by the location-resolution module against a configured service-area boundary irrespective of which mapping service produced the corresponding coordinates; the fare-computation module configured to compute, for a vehicle class selected from a plurality of vehicle classes associated with a currently active booking type, an itemized fare comprising at least a base component, a distance-based component, a conditionally applied surge component, and a tax component; and a dispatch module configured to perform or simulate matching of a validated booking to a service provider and to render a tracking interface therefor; wherein the location-resolution module, the mapping abstraction module, the geofencing module, and the fare-computation module are each reused, without modification of their core logic, across at least two booking types selected from the group consisting of: passenger ride booking, cargo/goods transport booking, fixed-route package booking, and multi-stop event-convoy booking, each booking type differing only in an associated vehicle-and-rate data table and, for the multi-stop event-convoy booking type, a substituted multi-point itinerary data structure.</w:t>
      </w:r>
    </w:p>
    <w:p>
      <w:pPr>
        <w:pStyle w:val="Heading2"/>
        <w:spacing w:after="140" w:before="280"/>
      </w:pPr>
      <w:r>
        <w:rPr>
          <w:b/>
          <w:bCs/>
          <w:color w:val="13294B"/>
          <w:sz w:val="26"/>
          <w:szCs w:val="26"/>
        </w:rPr>
        <w:t xml:space="preserve">Dependent Claims (System)</w:t>
      </w:r>
    </w:p>
    <w:p>
      <w:pPr>
        <w:pStyle w:val="ListParagraph"/>
        <w:numPr>
          <w:ilvl w:val="0"/>
          <w:numId w:val="1"/>
        </w:numPr>
        <w:spacing w:after="90"/>
      </w:pPr>
      <w:r>
        <w:rPr>
          <w:sz w:val="21"/>
          <w:szCs w:val="21"/>
        </w:rPr>
        <w:t xml:space="preserve">2. The system of claim 1, wherein the mapping abstraction module further comprises a route-distance fallback computation configured to compute an approximate route distance using a great-circle distance formula when no network route-geometry service is reachable.</w:t>
      </w:r>
    </w:p>
    <w:p>
      <w:pPr>
        <w:pStyle w:val="ListParagraph"/>
        <w:numPr>
          <w:ilvl w:val="0"/>
          <w:numId w:val="1"/>
        </w:numPr>
        <w:spacing w:after="90"/>
      </w:pPr>
      <w:r>
        <w:rPr>
          <w:sz w:val="21"/>
          <w:szCs w:val="21"/>
        </w:rPr>
        <w:t xml:space="preserve">3. The system of claim 1, further comprising a festival-context orchestration module configured to maintain a plurality of predefined context states, each associated with a promotional content configuration, a designated dedicated service offer, and a plurality of parallel localized text values in a corresponding plurality of languages, and configured to update the promotional content configuration, the designated offer, and the localized text values together responsive to a single state-transition event.</w:t>
      </w:r>
    </w:p>
    <w:p>
      <w:pPr>
        <w:pStyle w:val="ListParagraph"/>
        <w:numPr>
          <w:ilvl w:val="0"/>
          <w:numId w:val="1"/>
        </w:numPr>
        <w:spacing w:after="90"/>
      </w:pPr>
      <w:r>
        <w:rPr>
          <w:sz w:val="21"/>
          <w:szCs w:val="21"/>
        </w:rPr>
        <w:t xml:space="preserve">4. The system of claim 3, wherein the plurality of languages comprises at least one national official language, at least one international language, and at least one regional dialect language.</w:t>
      </w:r>
    </w:p>
    <w:p>
      <w:pPr>
        <w:pStyle w:val="ListParagraph"/>
        <w:numPr>
          <w:ilvl w:val="0"/>
          <w:numId w:val="1"/>
        </w:numPr>
        <w:spacing w:after="90"/>
      </w:pPr>
      <w:r>
        <w:rPr>
          <w:sz w:val="21"/>
          <w:szCs w:val="21"/>
        </w:rPr>
        <w:t xml:space="preserve">5. The system of claim 1, further comprising an event-logistics module configured to create an event record comprising a multi-stop transport itinerary, a user-defined budget value, a guest-list data structure, and a task-checklist data structure, and to present a vendor-marketplace interface associated with the event record, wherein a vendor-booking action received via the vendor-marketplace interface updates both a vendor-booking list and a cumulative-spend value within the same event record.</w:t>
      </w:r>
    </w:p>
    <w:p>
      <w:pPr>
        <w:pStyle w:val="ListParagraph"/>
        <w:numPr>
          <w:ilvl w:val="0"/>
          <w:numId w:val="1"/>
        </w:numPr>
        <w:spacing w:after="90"/>
      </w:pPr>
      <w:r>
        <w:rPr>
          <w:sz w:val="21"/>
          <w:szCs w:val="21"/>
        </w:rPr>
        <w:t xml:space="preserve">6. The system of claim 1, further comprising a women's-safety configuration module linking a driver-preference constraint to an emergency-alert dispatch pathway.</w:t>
      </w:r>
    </w:p>
    <w:p>
      <w:pPr>
        <w:pStyle w:val="ListParagraph"/>
        <w:numPr>
          <w:ilvl w:val="0"/>
          <w:numId w:val="1"/>
        </w:numPr>
        <w:spacing w:after="90"/>
      </w:pPr>
      <w:r>
        <w:rPr>
          <w:sz w:val="21"/>
          <w:szCs w:val="21"/>
        </w:rPr>
        <w:t xml:space="preserve">7. The system of claim 1, further comprising a fare-splitting module configured to generate a shareable network-accessible link associated with a specific booking for contribution toward the itemized fare by a third party.</w:t>
      </w:r>
    </w:p>
    <w:p>
      <w:pPr>
        <w:pStyle w:val="ListParagraph"/>
        <w:numPr>
          <w:ilvl w:val="0"/>
          <w:numId w:val="1"/>
        </w:numPr>
        <w:spacing w:after="90"/>
      </w:pPr>
      <w:r>
        <w:rPr>
          <w:sz w:val="21"/>
          <w:szCs w:val="21"/>
        </w:rPr>
        <w:t xml:space="preserve">8. The system of claim 1, further comprising a reduced-bandwidth operating mode configured to reduce rendered map-graphic complexity, and a global error-handling module configured to render a recoverable in-application notification responsive to an otherwise-uncaught application error.</w:t>
      </w:r>
    </w:p>
    <w:p>
      <w:pPr>
        <w:pStyle w:val="ListParagraph"/>
        <w:numPr>
          <w:ilvl w:val="0"/>
          <w:numId w:val="1"/>
        </w:numPr>
        <w:spacing w:after="90"/>
      </w:pPr>
      <w:r>
        <w:rPr>
          <w:sz w:val="21"/>
          <w:szCs w:val="21"/>
        </w:rPr>
        <w:t xml:space="preserve">9. The system of claim 1, wherein the itemized fare further comprises an optionally selected flat protection-fee component, and wherein the fare-computation module is configured to recompute and re-render the itemized fare responsive to a change in the selected vehicle class or the protection-fee selection.</w:t>
      </w:r>
    </w:p>
    <w:p>
      <w:pPr>
        <w:pStyle w:val="Heading2"/>
        <w:spacing w:after="140" w:before="280"/>
      </w:pPr>
      <w:r>
        <w:rPr>
          <w:b/>
          <w:bCs/>
          <w:color w:val="13294B"/>
          <w:sz w:val="26"/>
          <w:szCs w:val="26"/>
        </w:rPr>
        <w:t xml:space="preserve">Independent Method Claim</w:t>
      </w:r>
    </w:p>
    <w:p>
      <w:pPr>
        <w:spacing w:after="160" w:line="300"/>
        <w:jc w:val="both"/>
      </w:pPr>
      <w:r>
        <w:rPr>
          <w:b w:val="false"/>
          <w:bCs w:val="false"/>
          <w:i w:val="false"/>
          <w:iCs w:val="false"/>
          <w:color w:val="1A1A1A"/>
          <w:sz w:val="21"/>
          <w:szCs w:val="21"/>
        </w:rPr>
        <w:t xml:space="preserve">10. A computer-implemented method for dispatching transport and event-logistics requests, the method comprising: receiving a selection of a booking type from a plurality of predefined booking types; resolving, via a location-resolution module, a pickup location and one or more further locations associated with the selected booking type; validating each resolved location against a configured service-area boundary; obtaining, via a mapping abstraction module operating in a first mode using a keyless map-rendering and route-geometry service or, upon detection of a supplied commercial mapping-service credential, in a second mode using a commercial mapping service, a route distance value and a route duration value for the resolved locations; computing an itemized fare from the route distance value, the route duration value, and a vehicle-and-rate data table associated with the selected booking type; and dispatching, or simulating dispatch of, the validated, priced booking to a service provider; wherein the validating, obtaining, and computing steps are performed identically irrespective of the selected booking type, save for substitution of the vehicle-and-rate data table and, for a multi-stop event-convoy booking type, substitution of a multi-point itinerary structure for the one or more further locations.</w:t>
      </w:r>
    </w:p>
    <w:p>
      <w:pPr>
        <w:pStyle w:val="Heading2"/>
        <w:spacing w:after="140" w:before="280"/>
      </w:pPr>
      <w:r>
        <w:rPr>
          <w:b/>
          <w:bCs/>
          <w:color w:val="13294B"/>
          <w:sz w:val="26"/>
          <w:szCs w:val="26"/>
        </w:rPr>
        <w:t xml:space="preserve">Dependent Claims (Method)</w:t>
      </w:r>
    </w:p>
    <w:p>
      <w:pPr>
        <w:pStyle w:val="ListParagraph"/>
        <w:numPr>
          <w:ilvl w:val="0"/>
          <w:numId w:val="1"/>
        </w:numPr>
        <w:spacing w:after="90"/>
      </w:pPr>
      <w:r>
        <w:rPr>
          <w:sz w:val="21"/>
          <w:szCs w:val="21"/>
        </w:rPr>
        <w:t xml:space="preserve">11. The method of claim 10, further comprising: maintaining a plurality of predefined festival-context states; receiving a selection or automatic determination of an active festival-context state; and responsive thereto, updating, within a single state transition, a promotional content configuration, an available booking offer, and interface text rendered in each of a plurality of languages.</w:t>
      </w:r>
    </w:p>
    <w:p>
      <w:pPr>
        <w:pStyle w:val="ListParagraph"/>
        <w:numPr>
          <w:ilvl w:val="0"/>
          <w:numId w:val="1"/>
        </w:numPr>
        <w:spacing w:after="90"/>
      </w:pPr>
      <w:r>
        <w:rPr>
          <w:sz w:val="21"/>
          <w:szCs w:val="21"/>
        </w:rPr>
        <w:t xml:space="preserve">12. The method of claim 10, further comprising: creating an event record associated with a user account, the event record comprising a multi-stop transport itinerary, a user-defined budget value, a guest-list data structure, and a task-checklist data structure; receiving a vendor-booking action via a vendor-marketplace interface associated with the event record; and updating, responsive to the vendor-booking action, both a vendor-booking list and a cumulative-spend value within the event record.</w:t>
      </w:r>
    </w:p>
    <w:p>
      <w:pPr>
        <w:pStyle w:val="ListParagraph"/>
        <w:numPr>
          <w:ilvl w:val="0"/>
          <w:numId w:val="1"/>
        </w:numPr>
        <w:spacing w:after="90"/>
      </w:pPr>
      <w:r>
        <w:rPr>
          <w:sz w:val="21"/>
          <w:szCs w:val="21"/>
        </w:rPr>
        <w:t xml:space="preserve">13. The method of claim 10, further comprising computing an approximate route distance using a great-circle distance formula responsive to determining that no network route-geometry service is reachable.</w:t>
      </w:r>
    </w:p>
    <w:p>
      <w:pPr>
        <w:pStyle w:val="ListParagraph"/>
        <w:numPr>
          <w:ilvl w:val="0"/>
          <w:numId w:val="1"/>
        </w:numPr>
        <w:spacing w:after="90"/>
      </w:pPr>
      <w:r>
        <w:rPr>
          <w:sz w:val="21"/>
          <w:szCs w:val="21"/>
        </w:rPr>
        <w:t xml:space="preserve">14. The method of claim 10, wherein computing the itemized fare comprises applying a conditional surge multiplier responsive to determining that the route distance value exceeds a configured threshold and that the selected booking type is a passenger ride booking type.</w:t>
      </w:r>
    </w:p>
    <w:p>
      <w:pPr>
        <w:pStyle w:val="ListParagraph"/>
        <w:numPr>
          <w:ilvl w:val="0"/>
          <w:numId w:val="1"/>
        </w:numPr>
        <w:spacing w:after="90"/>
      </w:pPr>
      <w:r>
        <w:rPr>
          <w:sz w:val="21"/>
          <w:szCs w:val="21"/>
        </w:rPr>
        <w:t xml:space="preserve">15. The method of claim 10, further comprising generating a shareable network-accessible link associated with the dispatched booking for contribution toward the itemized fare by a third party.</w:t>
      </w:r>
    </w:p>
    <w:p>
      <w:pPr>
        <w:pStyle w:val="Heading2"/>
        <w:spacing w:after="140" w:before="280"/>
      </w:pPr>
      <w:r>
        <w:rPr>
          <w:b/>
          <w:bCs/>
          <w:color w:val="13294B"/>
          <w:sz w:val="26"/>
          <w:szCs w:val="26"/>
        </w:rPr>
        <w:t xml:space="preserve">Independent Computer-Readable Medium Claim</w:t>
      </w:r>
    </w:p>
    <w:p>
      <w:pPr>
        <w:spacing w:after="160" w:line="300"/>
        <w:jc w:val="both"/>
      </w:pPr>
      <w:r>
        <w:rPr>
          <w:b w:val="false"/>
          <w:bCs w:val="false"/>
          <w:i w:val="false"/>
          <w:iCs w:val="false"/>
          <w:color w:val="1A1A1A"/>
          <w:sz w:val="21"/>
          <w:szCs w:val="21"/>
        </w:rPr>
        <w:t xml:space="preserve">16. A non-transitory computer-readable storage medium storing instructions which, when executed by one or more processors, cause the one or more processors to perform the method of claim 10.</w:t>
      </w:r>
    </w:p>
    <w:p>
      <w:pPr>
        <w:pStyle w:val="ListParagraph"/>
        <w:numPr>
          <w:ilvl w:val="0"/>
          <w:numId w:val="1"/>
        </w:numPr>
        <w:spacing w:after="90"/>
      </w:pPr>
      <w:r>
        <w:rPr>
          <w:sz w:val="21"/>
          <w:szCs w:val="21"/>
        </w:rPr>
        <w:t xml:space="preserve">17. The non-transitory computer-readable storage medium of claim 16, wherein the instructions further cause the one or more processors to perform the festival-context state-transition steps of claim 11.</w:t>
      </w:r>
    </w:p>
    <w:p>
      <w:pPr>
        <w:pStyle w:val="ListParagraph"/>
        <w:numPr>
          <w:ilvl w:val="0"/>
          <w:numId w:val="1"/>
        </w:numPr>
        <w:spacing w:after="90"/>
      </w:pPr>
      <w:r>
        <w:rPr>
          <w:sz w:val="21"/>
          <w:szCs w:val="21"/>
        </w:rPr>
        <w:t xml:space="preserve">18. The non-transitory computer-readable storage medium of claim 16, wherein the instructions further cause the one or more processors to perform the event-record creation and vendor-booking update steps of claim 12.</w:t>
      </w:r>
    </w:p>
    <w:p>
      <w:pPr>
        <w:pStyle w:val="Heading2"/>
        <w:spacing w:after="140" w:before="280"/>
      </w:pPr>
      <w:r>
        <w:rPr>
          <w:b/>
          <w:bCs/>
          <w:color w:val="13294B"/>
          <w:sz w:val="26"/>
          <w:szCs w:val="26"/>
        </w:rPr>
        <w:t xml:space="preserve">Independent Device/System Claim — Festival-Context Orchestration</w:t>
      </w:r>
    </w:p>
    <w:p>
      <w:pPr>
        <w:spacing w:after="160" w:line="300"/>
        <w:jc w:val="both"/>
      </w:pPr>
      <w:r>
        <w:rPr>
          <w:b w:val="false"/>
          <w:bCs w:val="false"/>
          <w:i w:val="false"/>
          <w:iCs w:val="false"/>
          <w:color w:val="1A1A1A"/>
          <w:sz w:val="21"/>
          <w:szCs w:val="21"/>
        </w:rPr>
        <w:t xml:space="preserve">19. A computer-implemented method for dynamically reconfiguring a transport-service application, comprising: maintaining a plurality of predefined festival/seasonal context states each associated with (a) a promotional content set, (b) a designated dedicated service or offer, and (c) a plurality of parallel localized text variants in a corresponding plurality of languages including at least one regional dialect language; receiving a selection or an automatic determination of an active festival/seasonal context state; and responsive thereto, atomically updating, within a single application-state transition, a displayed promotional banner, an available booking offer exposed on a service-selection interface, and rendered interface text across the plurality of languages.</w:t>
      </w:r>
    </w:p>
    <w:p>
      <w:pPr>
        <w:pStyle w:val="ListParagraph"/>
        <w:numPr>
          <w:ilvl w:val="0"/>
          <w:numId w:val="1"/>
        </w:numPr>
        <w:spacing w:after="90"/>
      </w:pPr>
      <w:r>
        <w:rPr>
          <w:sz w:val="21"/>
          <w:szCs w:val="21"/>
        </w:rPr>
        <w:t xml:space="preserve">20. The method of claim 19, wherein the designated dedicated service or offer comprises a transport service not exposed on the service-selection interface when no festival/seasonal context state is active.</w:t>
      </w:r>
    </w:p>
    <w:p>
      <w:pPr>
        <w:pStyle w:val="Heading1"/>
        <w:pageBreakBefore/>
        <w:pBdr>
          <w:bottom w:val="single" w:color="8B1E2F" w:sz="12" w:space="4"/>
        </w:pBdr>
        <w:spacing w:after="200" w:before="200"/>
      </w:pPr>
      <w:r>
        <w:rPr>
          <w:b/>
          <w:bCs/>
          <w:color w:val="13294B"/>
          <w:sz w:val="32"/>
          <w:szCs w:val="32"/>
        </w:rPr>
        <w:t xml:space="preserve">18. Abstract</w:t>
      </w:r>
    </w:p>
    <w:p>
      <w:pPr>
        <w:spacing w:after="160" w:line="300"/>
        <w:jc w:val="both"/>
      </w:pPr>
      <w:r>
        <w:rPr>
          <w:b w:val="false"/>
          <w:bCs w:val="false"/>
          <w:i w:val="false"/>
          <w:iCs w:val="false"/>
          <w:color w:val="1A1A1A"/>
          <w:sz w:val="21"/>
          <w:szCs w:val="21"/>
        </w:rPr>
        <w:t xml:space="preserve">A computer-implemented transport and event-logistics dispatch system is disclosed. A shared location-resolution, geofencing, and fare-computation pipeline is reused across passenger ride, cargo/goods, fixed-route package, and multi-stop event-convoy booking types, differing only by a substituted vehicle-and-rate table and itinerary structure. A mapping abstraction module operates by default using a keyless, open-data mapping and routing service and transparently substitutes a commercial mapping service upon detection of a supplied credential, without altering downstream fare or geofencing logic. A festival-context orchestration module atomically couples promotional content, an active service offer, and multi-language interface text — including a regional dialect language — to a configurable festival calendar. An event-logistics module associates a multi-stop event-transport itinerary with a vendor marketplace, a budget tracker, a guest manager, and a task checklist within a single event record, such that a vendor-booking action updates both a vendor-booking list and cumulative spend against a user-defined budget. The invention addresses application fragmentation, mapping-provider dependency, and limited regional-language support in existing transport-dispatch systems.</w:t>
      </w:r>
    </w:p>
    <w:p>
      <w:pPr>
        <w:pBdr>
          <w:left w:val="single" w:color="B08D2B" w:sz="18" w:space="8"/>
        </w:pBdr>
        <w:shd w:fill="FFF7E0" w:val="clear"/>
        <w:spacing w:after="160" w:before="80"/>
        <w:ind w:left="200"/>
      </w:pPr>
      <w:r>
        <w:rPr>
          <w:i/>
          <w:iCs/>
          <w:color w:val="5A4400"/>
          <w:sz w:val="20"/>
          <w:szCs w:val="20"/>
        </w:rPr>
        <w:t xml:space="preserve">NOTE: Word count target ≤150 words per Patent Rules, 2003; the Patent Agent should trim the above to comply exactly.</w:t>
      </w:r>
    </w:p>
    <w:p>
      <w:pPr>
        <w:pStyle w:val="Heading1"/>
        <w:pageBreakBefore/>
        <w:pBdr>
          <w:bottom w:val="single" w:color="8B1E2F" w:sz="12" w:space="4"/>
        </w:pBdr>
        <w:spacing w:after="200" w:before="200"/>
      </w:pPr>
      <w:r>
        <w:rPr>
          <w:b/>
          <w:bCs/>
          <w:color w:val="13294B"/>
          <w:sz w:val="32"/>
          <w:szCs w:val="32"/>
        </w:rPr>
        <w:t xml:space="preserve">19. Keywords</w:t>
      </w:r>
    </w:p>
    <w:p>
      <w:pPr>
        <w:spacing w:after="160" w:line="300"/>
        <w:jc w:val="both"/>
      </w:pPr>
      <w:r>
        <w:rPr>
          <w:b w:val="false"/>
          <w:bCs w:val="false"/>
          <w:i w:val="false"/>
          <w:iCs w:val="false"/>
          <w:color w:val="1A1A1A"/>
          <w:sz w:val="21"/>
          <w:szCs w:val="21"/>
        </w:rPr>
        <w:t xml:space="preserve">Geofenced dispatch system; multi-modal transport booking; provider-agnostic mapping; keyless route computation; dynamic fare computation; festival-context orchestration; multi-locale software architecture; regional dialect user interface; event-logistics data record; vendor-marketplace integration; shared application state; transport-and-event booking pipeline.</w:t>
      </w:r>
    </w:p>
    <w:p>
      <w:pPr>
        <w:pStyle w:val="Heading1"/>
        <w:pageBreakBefore/>
        <w:pBdr>
          <w:bottom w:val="single" w:color="8B1E2F" w:sz="12" w:space="4"/>
        </w:pBdr>
        <w:spacing w:after="200" w:before="200"/>
      </w:pPr>
      <w:r>
        <w:rPr>
          <w:b/>
          <w:bCs/>
          <w:color w:val="13294B"/>
          <w:sz w:val="32"/>
          <w:szCs w:val="32"/>
        </w:rPr>
        <w:t xml:space="preserve">20. Inventor Information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5900"/>
      </w:tblGrid>
      <w:tr>
        <w:trPr>
          <w:tblHeader/>
        </w:trPr>
        <w:tc>
          <w:tcPr>
            <w:tcW w:type="dxa" w:w="3400"/>
            <w:shd w:fill="13294B" w:val="clear"/>
            <w:tcMar>
              <w:top w:type="dxa" w:w="80"/>
              <w:left w:type="dxa" w:w="100"/>
              <w:bottom w:type="dxa" w:w="80"/>
              <w:right w:type="dxa" w:w="100"/>
            </w:tcMar>
            <w:vAlign w:val="center"/>
          </w:tcPr>
          <w:p>
            <w:r>
              <w:rPr>
                <w:b/>
                <w:bCs/>
                <w:color w:val="FFFFFF"/>
                <w:sz w:val="19"/>
                <w:szCs w:val="19"/>
              </w:rPr>
              <w:t xml:space="preserve">Field</w:t>
            </w:r>
          </w:p>
        </w:tc>
        <w:tc>
          <w:tcPr>
            <w:tcW w:type="dxa" w:w="5900"/>
            <w:shd w:fill="13294B" w:val="clear"/>
            <w:tcMar>
              <w:top w:type="dxa" w:w="80"/>
              <w:left w:type="dxa" w:w="100"/>
              <w:bottom w:type="dxa" w:w="80"/>
              <w:right w:type="dxa" w:w="100"/>
            </w:tcMar>
            <w:vAlign w:val="center"/>
          </w:tcPr>
          <w:p>
            <w:r>
              <w:rPr>
                <w:b/>
                <w:bCs/>
                <w:color w:val="FFFFFF"/>
                <w:sz w:val="19"/>
                <w:szCs w:val="19"/>
              </w:rPr>
              <w:t xml:space="preserve">Details</w:t>
            </w:r>
          </w:p>
        </w:tc>
      </w:tr>
      <w:tr>
        <w:tc>
          <w:tcPr>
            <w:tcW w:type="dxa" w:w="3400"/>
            <w:tcMar>
              <w:top w:type="dxa" w:w="80"/>
              <w:left w:type="dxa" w:w="100"/>
              <w:bottom w:type="dxa" w:w="80"/>
              <w:right w:type="dxa" w:w="100"/>
            </w:tcMar>
            <w:vAlign w:val="center"/>
          </w:tcPr>
          <w:p>
            <w:r>
              <w:rPr>
                <w:b w:val="false"/>
                <w:bCs w:val="false"/>
                <w:color w:val="1A1A1A"/>
                <w:sz w:val="19"/>
                <w:szCs w:val="19"/>
              </w:rPr>
              <w:t xml:space="preserve">Inventor Name</w:t>
            </w:r>
          </w:p>
        </w:tc>
        <w:tc>
          <w:tcPr>
            <w:tcW w:type="dxa" w:w="5900"/>
            <w:tcMar>
              <w:top w:type="dxa" w:w="80"/>
              <w:left w:type="dxa" w:w="100"/>
              <w:bottom w:type="dxa" w:w="80"/>
              <w:right w:type="dxa" w:w="100"/>
            </w:tcMar>
            <w:vAlign w:val="center"/>
          </w:tcPr>
          <w:p>
            <w:r>
              <w:rPr>
                <w:b w:val="false"/>
                <w:bCs w:val="false"/>
                <w:color w:val="1A1A1A"/>
                <w:sz w:val="19"/>
                <w:szCs w:val="19"/>
              </w:rPr>
              <w:t xml:space="preserve">Sudhanshu Kumar [To be confirmed]</w:t>
            </w:r>
          </w:p>
        </w:tc>
      </w:tr>
      <w:tr>
        <w:tc>
          <w:tcPr>
            <w:tcW w:type="dxa" w:w="3400"/>
            <w:shd w:fill="F2F2F2" w:val="clear"/>
            <w:tcMar>
              <w:top w:type="dxa" w:w="80"/>
              <w:left w:type="dxa" w:w="100"/>
              <w:bottom w:type="dxa" w:w="80"/>
              <w:right w:type="dxa" w:w="100"/>
            </w:tcMar>
            <w:vAlign w:val="center"/>
          </w:tcPr>
          <w:p>
            <w:r>
              <w:rPr>
                <w:b w:val="false"/>
                <w:bCs w:val="false"/>
                <w:color w:val="1A1A1A"/>
                <w:sz w:val="19"/>
                <w:szCs w:val="19"/>
              </w:rPr>
              <w:t xml:space="preserve">Inventor Address</w:t>
            </w:r>
          </w:p>
        </w:tc>
        <w:tc>
          <w:tcPr>
            <w:tcW w:type="dxa" w:w="5900"/>
            <w:shd w:fill="F2F2F2" w:val="clear"/>
            <w:tcMar>
              <w:top w:type="dxa" w:w="80"/>
              <w:left w:type="dxa" w:w="100"/>
              <w:bottom w:type="dxa" w:w="80"/>
              <w:right w:type="dxa" w:w="100"/>
            </w:tcMar>
            <w:vAlign w:val="center"/>
          </w:tcPr>
          <w:p>
            <w:r>
              <w:rPr>
                <w:b w:val="false"/>
                <w:bCs w:val="false"/>
                <w:color w:val="1A1A1A"/>
                <w:sz w:val="19"/>
                <w:szCs w:val="19"/>
              </w:rPr>
              <w:t xml:space="preserve">[To be completed by the Inventor]</w:t>
            </w:r>
          </w:p>
        </w:tc>
      </w:tr>
      <w:tr>
        <w:tc>
          <w:tcPr>
            <w:tcW w:type="dxa" w:w="3400"/>
            <w:tcMar>
              <w:top w:type="dxa" w:w="80"/>
              <w:left w:type="dxa" w:w="100"/>
              <w:bottom w:type="dxa" w:w="80"/>
              <w:right w:type="dxa" w:w="100"/>
            </w:tcMar>
            <w:vAlign w:val="center"/>
          </w:tcPr>
          <w:p>
            <w:r>
              <w:rPr>
                <w:b w:val="false"/>
                <w:bCs w:val="false"/>
                <w:color w:val="1A1A1A"/>
                <w:sz w:val="19"/>
                <w:szCs w:val="19"/>
              </w:rPr>
              <w:t xml:space="preserve">Inventor Nationality</w:t>
            </w:r>
          </w:p>
        </w:tc>
        <w:tc>
          <w:tcPr>
            <w:tcW w:type="dxa" w:w="5900"/>
            <w:tcMar>
              <w:top w:type="dxa" w:w="80"/>
              <w:left w:type="dxa" w:w="100"/>
              <w:bottom w:type="dxa" w:w="80"/>
              <w:right w:type="dxa" w:w="100"/>
            </w:tcMar>
            <w:vAlign w:val="center"/>
          </w:tcPr>
          <w:p>
            <w:r>
              <w:rPr>
                <w:b w:val="false"/>
                <w:bCs w:val="false"/>
                <w:color w:val="1A1A1A"/>
                <w:sz w:val="19"/>
                <w:szCs w:val="19"/>
              </w:rPr>
              <w:t xml:space="preserve">[To be completed by the Inventor]</w:t>
            </w:r>
          </w:p>
        </w:tc>
      </w:tr>
      <w:tr>
        <w:tc>
          <w:tcPr>
            <w:tcW w:type="dxa" w:w="3400"/>
            <w:shd w:fill="F2F2F2" w:val="clear"/>
            <w:tcMar>
              <w:top w:type="dxa" w:w="80"/>
              <w:left w:type="dxa" w:w="100"/>
              <w:bottom w:type="dxa" w:w="80"/>
              <w:right w:type="dxa" w:w="100"/>
            </w:tcMar>
            <w:vAlign w:val="center"/>
          </w:tcPr>
          <w:p>
            <w:r>
              <w:rPr>
                <w:b w:val="false"/>
                <w:bCs w:val="false"/>
                <w:color w:val="1A1A1A"/>
                <w:sz w:val="19"/>
                <w:szCs w:val="19"/>
              </w:rPr>
              <w:t xml:space="preserve">Inventor Contact (Email/Phone)</w:t>
            </w:r>
          </w:p>
        </w:tc>
        <w:tc>
          <w:tcPr>
            <w:tcW w:type="dxa" w:w="5900"/>
            <w:shd w:fill="F2F2F2" w:val="clear"/>
            <w:tcMar>
              <w:top w:type="dxa" w:w="80"/>
              <w:left w:type="dxa" w:w="100"/>
              <w:bottom w:type="dxa" w:w="80"/>
              <w:right w:type="dxa" w:w="100"/>
            </w:tcMar>
            <w:vAlign w:val="center"/>
          </w:tcPr>
          <w:p>
            <w:r>
              <w:rPr>
                <w:b w:val="false"/>
                <w:bCs w:val="false"/>
                <w:color w:val="1A1A1A"/>
                <w:sz w:val="19"/>
                <w:szCs w:val="19"/>
              </w:rPr>
              <w:t xml:space="preserve">[To be completed by the Inventor]</w:t>
            </w:r>
          </w:p>
        </w:tc>
      </w:tr>
      <w:tr>
        <w:tc>
          <w:tcPr>
            <w:tcW w:type="dxa" w:w="3400"/>
            <w:tcMar>
              <w:top w:type="dxa" w:w="80"/>
              <w:left w:type="dxa" w:w="100"/>
              <w:bottom w:type="dxa" w:w="80"/>
              <w:right w:type="dxa" w:w="100"/>
            </w:tcMar>
            <w:vAlign w:val="center"/>
          </w:tcPr>
          <w:p>
            <w:r>
              <w:rPr>
                <w:b w:val="false"/>
                <w:bCs w:val="false"/>
                <w:color w:val="1A1A1A"/>
                <w:sz w:val="19"/>
                <w:szCs w:val="19"/>
              </w:rPr>
              <w:t xml:space="preserve">Applicant Name (if different from Inventor)</w:t>
            </w:r>
          </w:p>
        </w:tc>
        <w:tc>
          <w:tcPr>
            <w:tcW w:type="dxa" w:w="5900"/>
            <w:tcMar>
              <w:top w:type="dxa" w:w="80"/>
              <w:left w:type="dxa" w:w="100"/>
              <w:bottom w:type="dxa" w:w="80"/>
              <w:right w:type="dxa" w:w="100"/>
            </w:tcMar>
            <w:vAlign w:val="center"/>
          </w:tcPr>
          <w:p>
            <w:r>
              <w:rPr>
                <w:b w:val="false"/>
                <w:bCs w:val="false"/>
                <w:color w:val="1A1A1A"/>
                <w:sz w:val="19"/>
                <w:szCs w:val="19"/>
              </w:rPr>
              <w:t xml:space="preserve">[To be completed by the Inventor]</w:t>
            </w:r>
          </w:p>
        </w:tc>
      </w:tr>
      <w:tr>
        <w:tc>
          <w:tcPr>
            <w:tcW w:type="dxa" w:w="3400"/>
            <w:shd w:fill="F2F2F2" w:val="clear"/>
            <w:tcMar>
              <w:top w:type="dxa" w:w="80"/>
              <w:left w:type="dxa" w:w="100"/>
              <w:bottom w:type="dxa" w:w="80"/>
              <w:right w:type="dxa" w:w="100"/>
            </w:tcMar>
            <w:vAlign w:val="center"/>
          </w:tcPr>
          <w:p>
            <w:r>
              <w:rPr>
                <w:b w:val="false"/>
                <w:bCs w:val="false"/>
                <w:color w:val="1A1A1A"/>
                <w:sz w:val="19"/>
                <w:szCs w:val="19"/>
              </w:rPr>
              <w:t xml:space="preserve">Applicant Category</w:t>
            </w:r>
          </w:p>
        </w:tc>
        <w:tc>
          <w:tcPr>
            <w:tcW w:type="dxa" w:w="5900"/>
            <w:shd w:fill="F2F2F2" w:val="clear"/>
            <w:tcMar>
              <w:top w:type="dxa" w:w="80"/>
              <w:left w:type="dxa" w:w="100"/>
              <w:bottom w:type="dxa" w:w="80"/>
              <w:right w:type="dxa" w:w="100"/>
            </w:tcMar>
            <w:vAlign w:val="center"/>
          </w:tcPr>
          <w:p>
            <w:r>
              <w:rPr>
                <w:b w:val="false"/>
                <w:bCs w:val="false"/>
                <w:color w:val="1A1A1A"/>
                <w:sz w:val="19"/>
                <w:szCs w:val="19"/>
              </w:rPr>
              <w:t xml:space="preserve">[Natural Person / Startup / Small Entity / Large Entity — To be confirmed; affects fee schedule under the First Schedule, Patent Rules, 2003]</w:t>
            </w:r>
          </w:p>
        </w:tc>
      </w:tr>
      <w:tr>
        <w:tc>
          <w:tcPr>
            <w:tcW w:type="dxa" w:w="3400"/>
            <w:tcMar>
              <w:top w:type="dxa" w:w="80"/>
              <w:left w:type="dxa" w:w="100"/>
              <w:bottom w:type="dxa" w:w="80"/>
              <w:right w:type="dxa" w:w="100"/>
            </w:tcMar>
            <w:vAlign w:val="center"/>
          </w:tcPr>
          <w:p>
            <w:r>
              <w:rPr>
                <w:b w:val="false"/>
                <w:bCs w:val="false"/>
                <w:color w:val="1A1A1A"/>
                <w:sz w:val="19"/>
                <w:szCs w:val="19"/>
              </w:rPr>
              <w:t xml:space="preserve">Applicant Address</w:t>
            </w:r>
          </w:p>
        </w:tc>
        <w:tc>
          <w:tcPr>
            <w:tcW w:type="dxa" w:w="5900"/>
            <w:tcMar>
              <w:top w:type="dxa" w:w="80"/>
              <w:left w:type="dxa" w:w="100"/>
              <w:bottom w:type="dxa" w:w="80"/>
              <w:right w:type="dxa" w:w="100"/>
            </w:tcMar>
            <w:vAlign w:val="center"/>
          </w:tcPr>
          <w:p>
            <w:r>
              <w:rPr>
                <w:b w:val="false"/>
                <w:bCs w:val="false"/>
                <w:color w:val="1A1A1A"/>
                <w:sz w:val="19"/>
                <w:szCs w:val="19"/>
              </w:rPr>
              <w:t xml:space="preserve">[To be completed by the Inventor]</w:t>
            </w:r>
          </w:p>
        </w:tc>
      </w:tr>
    </w:tbl>
    <w:p>
      <w:pPr>
        <w:pBdr>
          <w:left w:val="single" w:color="B08D2B" w:sz="18" w:space="8"/>
        </w:pBdr>
        <w:shd w:fill="FFF7E0" w:val="clear"/>
        <w:spacing w:after="160" w:before="80"/>
        <w:ind w:left="200"/>
      </w:pPr>
      <w:r>
        <w:rPr>
          <w:i/>
          <w:iCs/>
          <w:color w:val="5A4400"/>
          <w:sz w:val="20"/>
          <w:szCs w:val="20"/>
        </w:rPr>
        <w:t xml:space="preserve">NOTE: If the Applicant qualifies as a "startup" or "small entity" under the Patents Rules, reduced fee categories apply; eligibility should be confirmed with the Patent Agent and supported with the relevant registration certificate (e.g., DPIIT startup recognition) at filing.</w:t>
      </w:r>
    </w:p>
    <w:p>
      <w:pPr>
        <w:pStyle w:val="Heading1"/>
        <w:pageBreakBefore/>
        <w:pBdr>
          <w:bottom w:val="single" w:color="8B1E2F" w:sz="12" w:space="4"/>
        </w:pBdr>
        <w:spacing w:after="200" w:before="200"/>
      </w:pPr>
      <w:r>
        <w:rPr>
          <w:b/>
          <w:bCs/>
          <w:color w:val="13294B"/>
          <w:sz w:val="32"/>
          <w:szCs w:val="32"/>
        </w:rPr>
        <w:t xml:space="preserve">21. Patent Forms Checklist</w:t>
      </w:r>
    </w:p>
    <w:p>
      <w:pPr>
        <w:spacing w:after="160" w:line="300"/>
        <w:jc w:val="both"/>
      </w:pPr>
      <w:r>
        <w:rPr>
          <w:b w:val="false"/>
          <w:bCs w:val="false"/>
          <w:i w:val="false"/>
          <w:iCs w:val="false"/>
          <w:color w:val="1A1A1A"/>
          <w:sz w:val="21"/>
          <w:szCs w:val="21"/>
        </w:rPr>
        <w:t xml:space="preserve">The following forms are prescribed under the Patents Rules, 2003 and are indicative; exact requirements should be confirmed with the Patent Agent, as rules are periodically amended.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3600"/>
        <w:gridCol w:w="2100"/>
      </w:tblGrid>
      <w:tr>
        <w:trPr>
          <w:tblHeader/>
        </w:trPr>
        <w:tc>
          <w:tcPr>
            <w:tcW w:type="dxa" w:w="1000"/>
            <w:shd w:fill="13294B" w:val="clear"/>
            <w:tcMar>
              <w:top w:type="dxa" w:w="80"/>
              <w:left w:type="dxa" w:w="100"/>
              <w:bottom w:type="dxa" w:w="80"/>
              <w:right w:type="dxa" w:w="100"/>
            </w:tcMar>
            <w:vAlign w:val="center"/>
          </w:tcPr>
          <w:p>
            <w:r>
              <w:rPr>
                <w:b/>
                <w:bCs/>
                <w:color w:val="FFFFFF"/>
                <w:sz w:val="19"/>
                <w:szCs w:val="19"/>
              </w:rPr>
              <w:t xml:space="preserve">Form</w:t>
            </w:r>
          </w:p>
        </w:tc>
        <w:tc>
          <w:tcPr>
            <w:tcW w:type="dxa" w:w="2600"/>
            <w:shd w:fill="13294B" w:val="clear"/>
            <w:tcMar>
              <w:top w:type="dxa" w:w="80"/>
              <w:left w:type="dxa" w:w="100"/>
              <w:bottom w:type="dxa" w:w="80"/>
              <w:right w:type="dxa" w:w="100"/>
            </w:tcMar>
            <w:vAlign w:val="center"/>
          </w:tcPr>
          <w:p>
            <w:r>
              <w:rPr>
                <w:b/>
                <w:bCs/>
                <w:color w:val="FFFFFF"/>
                <w:sz w:val="19"/>
                <w:szCs w:val="19"/>
              </w:rPr>
              <w:t xml:space="preserve">Title</w:t>
            </w:r>
          </w:p>
        </w:tc>
        <w:tc>
          <w:tcPr>
            <w:tcW w:type="dxa" w:w="3600"/>
            <w:shd w:fill="13294B" w:val="clear"/>
            <w:tcMar>
              <w:top w:type="dxa" w:w="80"/>
              <w:left w:type="dxa" w:w="100"/>
              <w:bottom w:type="dxa" w:w="80"/>
              <w:right w:type="dxa" w:w="100"/>
            </w:tcMar>
            <w:vAlign w:val="center"/>
          </w:tcPr>
          <w:p>
            <w:r>
              <w:rPr>
                <w:b/>
                <w:bCs/>
                <w:color w:val="FFFFFF"/>
                <w:sz w:val="19"/>
                <w:szCs w:val="19"/>
              </w:rPr>
              <w:t xml:space="preserve">When Used</w:t>
            </w:r>
          </w:p>
        </w:tc>
        <w:tc>
          <w:tcPr>
            <w:tcW w:type="dxa" w:w="2100"/>
            <w:shd w:fill="13294B" w:val="clear"/>
            <w:tcMar>
              <w:top w:type="dxa" w:w="80"/>
              <w:left w:type="dxa" w:w="100"/>
              <w:bottom w:type="dxa" w:w="80"/>
              <w:right w:type="dxa" w:w="100"/>
            </w:tcMar>
            <w:vAlign w:val="center"/>
          </w:tcPr>
          <w:p>
            <w:r>
              <w:rPr>
                <w:b/>
                <w:bCs/>
                <w:color w:val="FFFFFF"/>
                <w:sz w:val="19"/>
                <w:szCs w:val="19"/>
              </w:rPr>
              <w:t xml:space="preserve">Status</w:t>
            </w:r>
          </w:p>
        </w:tc>
      </w:tr>
      <w:tr>
        <w:tc>
          <w:tcPr>
            <w:tcW w:type="dxa" w:w="1000"/>
            <w:tcMar>
              <w:top w:type="dxa" w:w="80"/>
              <w:left w:type="dxa" w:w="100"/>
              <w:bottom w:type="dxa" w:w="80"/>
              <w:right w:type="dxa" w:w="100"/>
            </w:tcMar>
            <w:vAlign w:val="center"/>
          </w:tcPr>
          <w:p>
            <w:r>
              <w:rPr>
                <w:b w:val="false"/>
                <w:bCs w:val="false"/>
                <w:color w:val="1A1A1A"/>
                <w:sz w:val="19"/>
                <w:szCs w:val="19"/>
              </w:rPr>
              <w:t xml:space="preserve">Form 1</w:t>
            </w:r>
          </w:p>
        </w:tc>
        <w:tc>
          <w:tcPr>
            <w:tcW w:type="dxa" w:w="2600"/>
            <w:tcMar>
              <w:top w:type="dxa" w:w="80"/>
              <w:left w:type="dxa" w:w="100"/>
              <w:bottom w:type="dxa" w:w="80"/>
              <w:right w:type="dxa" w:w="100"/>
            </w:tcMar>
            <w:vAlign w:val="center"/>
          </w:tcPr>
          <w:p>
            <w:r>
              <w:rPr>
                <w:b w:val="false"/>
                <w:bCs w:val="false"/>
                <w:color w:val="1A1A1A"/>
                <w:sz w:val="19"/>
                <w:szCs w:val="19"/>
              </w:rPr>
              <w:t xml:space="preserve">Application for Grant of Patent</w:t>
            </w:r>
          </w:p>
        </w:tc>
        <w:tc>
          <w:tcPr>
            <w:tcW w:type="dxa" w:w="3600"/>
            <w:tcMar>
              <w:top w:type="dxa" w:w="80"/>
              <w:left w:type="dxa" w:w="100"/>
              <w:bottom w:type="dxa" w:w="80"/>
              <w:right w:type="dxa" w:w="100"/>
            </w:tcMar>
            <w:vAlign w:val="center"/>
          </w:tcPr>
          <w:p>
            <w:r>
              <w:rPr>
                <w:b w:val="false"/>
                <w:bCs w:val="false"/>
                <w:color w:val="1A1A1A"/>
                <w:sz w:val="19"/>
                <w:szCs w:val="19"/>
              </w:rPr>
              <w:t xml:space="preserve">Filed at the time of every patent application (provisional or complete)</w:t>
            </w:r>
          </w:p>
        </w:tc>
        <w:tc>
          <w:tcPr>
            <w:tcW w:type="dxa" w:w="2100"/>
            <w:tcMar>
              <w:top w:type="dxa" w:w="80"/>
              <w:left w:type="dxa" w:w="100"/>
              <w:bottom w:type="dxa" w:w="80"/>
              <w:right w:type="dxa" w:w="100"/>
            </w:tcMar>
            <w:vAlign w:val="center"/>
          </w:tcPr>
          <w:p>
            <w:r>
              <w:rPr>
                <w:b w:val="false"/>
                <w:bCs w:val="false"/>
                <w:color w:val="1A1A1A"/>
                <w:sz w:val="19"/>
                <w:szCs w:val="19"/>
              </w:rPr>
              <w:t xml:space="preserve">[ ] Not yet prepared</w:t>
            </w:r>
          </w:p>
        </w:tc>
      </w:tr>
      <w:tr>
        <w:tc>
          <w:tcPr>
            <w:tcW w:type="dxa" w:w="1000"/>
            <w:shd w:fill="F2F2F2" w:val="clear"/>
            <w:tcMar>
              <w:top w:type="dxa" w:w="80"/>
              <w:left w:type="dxa" w:w="100"/>
              <w:bottom w:type="dxa" w:w="80"/>
              <w:right w:type="dxa" w:w="100"/>
            </w:tcMar>
            <w:vAlign w:val="center"/>
          </w:tcPr>
          <w:p>
            <w:r>
              <w:rPr>
                <w:b w:val="false"/>
                <w:bCs w:val="false"/>
                <w:color w:val="1A1A1A"/>
                <w:sz w:val="19"/>
                <w:szCs w:val="19"/>
              </w:rPr>
              <w:t xml:space="preserve">Form 2</w:t>
            </w:r>
          </w:p>
        </w:tc>
        <w:tc>
          <w:tcPr>
            <w:tcW w:type="dxa" w:w="2600"/>
            <w:shd w:fill="F2F2F2" w:val="clear"/>
            <w:tcMar>
              <w:top w:type="dxa" w:w="80"/>
              <w:left w:type="dxa" w:w="100"/>
              <w:bottom w:type="dxa" w:w="80"/>
              <w:right w:type="dxa" w:w="100"/>
            </w:tcMar>
            <w:vAlign w:val="center"/>
          </w:tcPr>
          <w:p>
            <w:r>
              <w:rPr>
                <w:b w:val="false"/>
                <w:bCs w:val="false"/>
                <w:color w:val="1A1A1A"/>
                <w:sz w:val="19"/>
                <w:szCs w:val="19"/>
              </w:rPr>
              <w:t xml:space="preserve">Provisional / Complete Specification</w:t>
            </w:r>
          </w:p>
        </w:tc>
        <w:tc>
          <w:tcPr>
            <w:tcW w:type="dxa" w:w="3600"/>
            <w:shd w:fill="F2F2F2" w:val="clear"/>
            <w:tcMar>
              <w:top w:type="dxa" w:w="80"/>
              <w:left w:type="dxa" w:w="100"/>
              <w:bottom w:type="dxa" w:w="80"/>
              <w:right w:type="dxa" w:w="100"/>
            </w:tcMar>
            <w:vAlign w:val="center"/>
          </w:tcPr>
          <w:p>
            <w:r>
              <w:rPr>
                <w:b w:val="false"/>
                <w:bCs w:val="false"/>
                <w:color w:val="1A1A1A"/>
                <w:sz w:val="19"/>
                <w:szCs w:val="19"/>
              </w:rPr>
              <w:t xml:space="preserve">Filed with Form 1; provisional secures a priority date, to be followed by a complete specification within 12 months (Section 9, Patents Act, 1970)</w:t>
            </w:r>
          </w:p>
        </w:tc>
        <w:tc>
          <w:tcPr>
            <w:tcW w:type="dxa" w:w="2100"/>
            <w:shd w:fill="F2F2F2" w:val="clear"/>
            <w:tcMar>
              <w:top w:type="dxa" w:w="80"/>
              <w:left w:type="dxa" w:w="100"/>
              <w:bottom w:type="dxa" w:w="80"/>
              <w:right w:type="dxa" w:w="100"/>
            </w:tcMar>
            <w:vAlign w:val="center"/>
          </w:tcPr>
          <w:p>
            <w:r>
              <w:rPr>
                <w:b w:val="false"/>
                <w:bCs w:val="false"/>
                <w:color w:val="1A1A1A"/>
                <w:sz w:val="19"/>
                <w:szCs w:val="19"/>
              </w:rPr>
              <w:t xml:space="preserve">[ ] Draft in this document — pending Patent Agent review</w:t>
            </w:r>
          </w:p>
        </w:tc>
      </w:tr>
      <w:tr>
        <w:tc>
          <w:tcPr>
            <w:tcW w:type="dxa" w:w="1000"/>
            <w:tcMar>
              <w:top w:type="dxa" w:w="80"/>
              <w:left w:type="dxa" w:w="100"/>
              <w:bottom w:type="dxa" w:w="80"/>
              <w:right w:type="dxa" w:w="100"/>
            </w:tcMar>
            <w:vAlign w:val="center"/>
          </w:tcPr>
          <w:p>
            <w:r>
              <w:rPr>
                <w:b w:val="false"/>
                <w:bCs w:val="false"/>
                <w:color w:val="1A1A1A"/>
                <w:sz w:val="19"/>
                <w:szCs w:val="19"/>
              </w:rPr>
              <w:t xml:space="preserve">Form 3</w:t>
            </w:r>
          </w:p>
        </w:tc>
        <w:tc>
          <w:tcPr>
            <w:tcW w:type="dxa" w:w="2600"/>
            <w:tcMar>
              <w:top w:type="dxa" w:w="80"/>
              <w:left w:type="dxa" w:w="100"/>
              <w:bottom w:type="dxa" w:w="80"/>
              <w:right w:type="dxa" w:w="100"/>
            </w:tcMar>
            <w:vAlign w:val="center"/>
          </w:tcPr>
          <w:p>
            <w:r>
              <w:rPr>
                <w:b w:val="false"/>
                <w:bCs w:val="false"/>
                <w:color w:val="1A1A1A"/>
                <w:sz w:val="19"/>
                <w:szCs w:val="19"/>
              </w:rPr>
              <w:t xml:space="preserve">Statement and Undertaking under Section 8</w:t>
            </w:r>
          </w:p>
        </w:tc>
        <w:tc>
          <w:tcPr>
            <w:tcW w:type="dxa" w:w="3600"/>
            <w:tcMar>
              <w:top w:type="dxa" w:w="80"/>
              <w:left w:type="dxa" w:w="100"/>
              <w:bottom w:type="dxa" w:w="80"/>
              <w:right w:type="dxa" w:w="100"/>
            </w:tcMar>
            <w:vAlign w:val="center"/>
          </w:tcPr>
          <w:p>
            <w:r>
              <w:rPr>
                <w:b w:val="false"/>
                <w:bCs w:val="false"/>
                <w:color w:val="1A1A1A"/>
                <w:sz w:val="19"/>
                <w:szCs w:val="19"/>
              </w:rPr>
              <w:t xml:space="preserve">Required where corresponding applications have been or will be filed in other countries</w:t>
            </w:r>
          </w:p>
        </w:tc>
        <w:tc>
          <w:tcPr>
            <w:tcW w:type="dxa" w:w="2100"/>
            <w:tcMar>
              <w:top w:type="dxa" w:w="80"/>
              <w:left w:type="dxa" w:w="100"/>
              <w:bottom w:type="dxa" w:w="80"/>
              <w:right w:type="dxa" w:w="100"/>
            </w:tcMar>
            <w:vAlign w:val="center"/>
          </w:tcPr>
          <w:p>
            <w:r>
              <w:rPr>
                <w:b w:val="false"/>
                <w:bCs w:val="false"/>
                <w:color w:val="1A1A1A"/>
                <w:sz w:val="19"/>
                <w:szCs w:val="19"/>
              </w:rPr>
              <w:t xml:space="preserve">[ ] To be completed — confirm foreign-filing intent with Applicant</w:t>
            </w:r>
          </w:p>
        </w:tc>
      </w:tr>
      <w:tr>
        <w:tc>
          <w:tcPr>
            <w:tcW w:type="dxa" w:w="1000"/>
            <w:shd w:fill="F2F2F2" w:val="clear"/>
            <w:tcMar>
              <w:top w:type="dxa" w:w="80"/>
              <w:left w:type="dxa" w:w="100"/>
              <w:bottom w:type="dxa" w:w="80"/>
              <w:right w:type="dxa" w:w="100"/>
            </w:tcMar>
            <w:vAlign w:val="center"/>
          </w:tcPr>
          <w:p>
            <w:r>
              <w:rPr>
                <w:b w:val="false"/>
                <w:bCs w:val="false"/>
                <w:color w:val="1A1A1A"/>
                <w:sz w:val="19"/>
                <w:szCs w:val="19"/>
              </w:rPr>
              <w:t xml:space="preserve">Form 5</w:t>
            </w:r>
          </w:p>
        </w:tc>
        <w:tc>
          <w:tcPr>
            <w:tcW w:type="dxa" w:w="2600"/>
            <w:shd w:fill="F2F2F2" w:val="clear"/>
            <w:tcMar>
              <w:top w:type="dxa" w:w="80"/>
              <w:left w:type="dxa" w:w="100"/>
              <w:bottom w:type="dxa" w:w="80"/>
              <w:right w:type="dxa" w:w="100"/>
            </w:tcMar>
            <w:vAlign w:val="center"/>
          </w:tcPr>
          <w:p>
            <w:r>
              <w:rPr>
                <w:b w:val="false"/>
                <w:bCs w:val="false"/>
                <w:color w:val="1A1A1A"/>
                <w:sz w:val="19"/>
                <w:szCs w:val="19"/>
              </w:rPr>
              <w:t xml:space="preserve">Declaration as to Inventorship</w:t>
            </w:r>
          </w:p>
        </w:tc>
        <w:tc>
          <w:tcPr>
            <w:tcW w:type="dxa" w:w="3600"/>
            <w:shd w:fill="F2F2F2" w:val="clear"/>
            <w:tcMar>
              <w:top w:type="dxa" w:w="80"/>
              <w:left w:type="dxa" w:w="100"/>
              <w:bottom w:type="dxa" w:w="80"/>
              <w:right w:type="dxa" w:w="100"/>
            </w:tcMar>
            <w:vAlign w:val="center"/>
          </w:tcPr>
          <w:p>
            <w:r>
              <w:rPr>
                <w:b w:val="false"/>
                <w:bCs w:val="false"/>
                <w:color w:val="1A1A1A"/>
                <w:sz w:val="19"/>
                <w:szCs w:val="19"/>
              </w:rPr>
              <w:t xml:space="preserve">Required with a complete specification (or may accompany a provisional)</w:t>
            </w:r>
          </w:p>
        </w:tc>
        <w:tc>
          <w:tcPr>
            <w:tcW w:type="dxa" w:w="2100"/>
            <w:shd w:fill="F2F2F2" w:val="clear"/>
            <w:tcMar>
              <w:top w:type="dxa" w:w="80"/>
              <w:left w:type="dxa" w:w="100"/>
              <w:bottom w:type="dxa" w:w="80"/>
              <w:right w:type="dxa" w:w="100"/>
            </w:tcMar>
            <w:vAlign w:val="center"/>
          </w:tcPr>
          <w:p>
            <w:r>
              <w:rPr>
                <w:b w:val="false"/>
                <w:bCs w:val="false"/>
                <w:color w:val="1A1A1A"/>
                <w:sz w:val="19"/>
                <w:szCs w:val="19"/>
              </w:rPr>
              <w:t xml:space="preserve">[ ] To be completed — requires inventor's signature</w:t>
            </w:r>
          </w:p>
        </w:tc>
      </w:tr>
      <w:tr>
        <w:tc>
          <w:tcPr>
            <w:tcW w:type="dxa" w:w="1000"/>
            <w:tcMar>
              <w:top w:type="dxa" w:w="80"/>
              <w:left w:type="dxa" w:w="100"/>
              <w:bottom w:type="dxa" w:w="80"/>
              <w:right w:type="dxa" w:w="100"/>
            </w:tcMar>
            <w:vAlign w:val="center"/>
          </w:tcPr>
          <w:p>
            <w:r>
              <w:rPr>
                <w:b w:val="false"/>
                <w:bCs w:val="false"/>
                <w:color w:val="1A1A1A"/>
                <w:sz w:val="19"/>
                <w:szCs w:val="19"/>
              </w:rPr>
              <w:t xml:space="preserve">Form 18</w:t>
            </w:r>
          </w:p>
        </w:tc>
        <w:tc>
          <w:tcPr>
            <w:tcW w:type="dxa" w:w="2600"/>
            <w:tcMar>
              <w:top w:type="dxa" w:w="80"/>
              <w:left w:type="dxa" w:w="100"/>
              <w:bottom w:type="dxa" w:w="80"/>
              <w:right w:type="dxa" w:w="100"/>
            </w:tcMar>
            <w:vAlign w:val="center"/>
          </w:tcPr>
          <w:p>
            <w:r>
              <w:rPr>
                <w:b w:val="false"/>
                <w:bCs w:val="false"/>
                <w:color w:val="1A1A1A"/>
                <w:sz w:val="19"/>
                <w:szCs w:val="19"/>
              </w:rPr>
              <w:t xml:space="preserve">Request for Examination</w:t>
            </w:r>
          </w:p>
        </w:tc>
        <w:tc>
          <w:tcPr>
            <w:tcW w:type="dxa" w:w="3600"/>
            <w:tcMar>
              <w:top w:type="dxa" w:w="80"/>
              <w:left w:type="dxa" w:w="100"/>
              <w:bottom w:type="dxa" w:w="80"/>
              <w:right w:type="dxa" w:w="100"/>
            </w:tcMar>
            <w:vAlign w:val="center"/>
          </w:tcPr>
          <w:p>
            <w:r>
              <w:rPr>
                <w:b w:val="false"/>
                <w:bCs w:val="false"/>
                <w:color w:val="1A1A1A"/>
                <w:sz w:val="19"/>
                <w:szCs w:val="19"/>
              </w:rPr>
              <w:t xml:space="preserve">Filed to request substantive examination; must be filed within 48 months of the priority/filing date</w:t>
            </w:r>
          </w:p>
        </w:tc>
        <w:tc>
          <w:tcPr>
            <w:tcW w:type="dxa" w:w="2100"/>
            <w:tcMar>
              <w:top w:type="dxa" w:w="80"/>
              <w:left w:type="dxa" w:w="100"/>
              <w:bottom w:type="dxa" w:w="80"/>
              <w:right w:type="dxa" w:w="100"/>
            </w:tcMar>
            <w:vAlign w:val="center"/>
          </w:tcPr>
          <w:p>
            <w:r>
              <w:rPr>
                <w:b w:val="false"/>
                <w:bCs w:val="false"/>
                <w:color w:val="1A1A1A"/>
                <w:sz w:val="19"/>
                <w:szCs w:val="19"/>
              </w:rPr>
              <w:t xml:space="preserve">[ ] Not yet due</w:t>
            </w:r>
          </w:p>
        </w:tc>
      </w:tr>
      <w:tr>
        <w:tc>
          <w:tcPr>
            <w:tcW w:type="dxa" w:w="1000"/>
            <w:shd w:fill="F2F2F2" w:val="clear"/>
            <w:tcMar>
              <w:top w:type="dxa" w:w="80"/>
              <w:left w:type="dxa" w:w="100"/>
              <w:bottom w:type="dxa" w:w="80"/>
              <w:right w:type="dxa" w:w="100"/>
            </w:tcMar>
            <w:vAlign w:val="center"/>
          </w:tcPr>
          <w:p>
            <w:r>
              <w:rPr>
                <w:b w:val="false"/>
                <w:bCs w:val="false"/>
                <w:color w:val="1A1A1A"/>
                <w:sz w:val="19"/>
                <w:szCs w:val="19"/>
              </w:rPr>
              <w:t xml:space="preserve">Form 18A</w:t>
            </w:r>
          </w:p>
        </w:tc>
        <w:tc>
          <w:tcPr>
            <w:tcW w:type="dxa" w:w="2600"/>
            <w:shd w:fill="F2F2F2" w:val="clear"/>
            <w:tcMar>
              <w:top w:type="dxa" w:w="80"/>
              <w:left w:type="dxa" w:w="100"/>
              <w:bottom w:type="dxa" w:w="80"/>
              <w:right w:type="dxa" w:w="100"/>
            </w:tcMar>
            <w:vAlign w:val="center"/>
          </w:tcPr>
          <w:p>
            <w:r>
              <w:rPr>
                <w:b w:val="false"/>
                <w:bCs w:val="false"/>
                <w:color w:val="1A1A1A"/>
                <w:sz w:val="19"/>
                <w:szCs w:val="19"/>
              </w:rPr>
              <w:t xml:space="preserve">Request for Expedited Examination</w:t>
            </w:r>
          </w:p>
        </w:tc>
        <w:tc>
          <w:tcPr>
            <w:tcW w:type="dxa" w:w="3600"/>
            <w:shd w:fill="F2F2F2" w:val="clear"/>
            <w:tcMar>
              <w:top w:type="dxa" w:w="80"/>
              <w:left w:type="dxa" w:w="100"/>
              <w:bottom w:type="dxa" w:w="80"/>
              <w:right w:type="dxa" w:w="100"/>
            </w:tcMar>
            <w:vAlign w:val="center"/>
          </w:tcPr>
          <w:p>
            <w:r>
              <w:rPr>
                <w:b w:val="false"/>
                <w:bCs w:val="false"/>
                <w:color w:val="1A1A1A"/>
                <w:sz w:val="19"/>
                <w:szCs w:val="19"/>
              </w:rPr>
              <w:t xml:space="preserve">Available to eligible applicants (e.g., startups, small entities, certain other categories) in place of Form 18</w:t>
            </w:r>
          </w:p>
        </w:tc>
        <w:tc>
          <w:tcPr>
            <w:tcW w:type="dxa" w:w="2100"/>
            <w:shd w:fill="F2F2F2" w:val="clear"/>
            <w:tcMar>
              <w:top w:type="dxa" w:w="80"/>
              <w:left w:type="dxa" w:w="100"/>
              <w:bottom w:type="dxa" w:w="80"/>
              <w:right w:type="dxa" w:w="100"/>
            </w:tcMar>
            <w:vAlign w:val="center"/>
          </w:tcPr>
          <w:p>
            <w:r>
              <w:rPr>
                <w:b w:val="false"/>
                <w:bCs w:val="false"/>
                <w:color w:val="1A1A1A"/>
                <w:sz w:val="19"/>
                <w:szCs w:val="19"/>
              </w:rPr>
              <w:t xml:space="preserve">[ ] Eligibility to be confirmed with Patent Agent</w:t>
            </w:r>
          </w:p>
        </w:tc>
      </w:tr>
      <w:tr>
        <w:tc>
          <w:tcPr>
            <w:tcW w:type="dxa" w:w="1000"/>
            <w:tcMar>
              <w:top w:type="dxa" w:w="80"/>
              <w:left w:type="dxa" w:w="100"/>
              <w:bottom w:type="dxa" w:w="80"/>
              <w:right w:type="dxa" w:w="100"/>
            </w:tcMar>
            <w:vAlign w:val="center"/>
          </w:tcPr>
          <w:p>
            <w:r>
              <w:rPr>
                <w:b w:val="false"/>
                <w:bCs w:val="false"/>
                <w:color w:val="1A1A1A"/>
                <w:sz w:val="19"/>
                <w:szCs w:val="19"/>
              </w:rPr>
              <w:t xml:space="preserve">Form 26</w:t>
            </w:r>
          </w:p>
        </w:tc>
        <w:tc>
          <w:tcPr>
            <w:tcW w:type="dxa" w:w="2600"/>
            <w:tcMar>
              <w:top w:type="dxa" w:w="80"/>
              <w:left w:type="dxa" w:w="100"/>
              <w:bottom w:type="dxa" w:w="80"/>
              <w:right w:type="dxa" w:w="100"/>
            </w:tcMar>
            <w:vAlign w:val="center"/>
          </w:tcPr>
          <w:p>
            <w:r>
              <w:rPr>
                <w:b w:val="false"/>
                <w:bCs w:val="false"/>
                <w:color w:val="1A1A1A"/>
                <w:sz w:val="19"/>
                <w:szCs w:val="19"/>
              </w:rPr>
              <w:t xml:space="preserve">Power of Authority</w:t>
            </w:r>
          </w:p>
        </w:tc>
        <w:tc>
          <w:tcPr>
            <w:tcW w:type="dxa" w:w="3600"/>
            <w:tcMar>
              <w:top w:type="dxa" w:w="80"/>
              <w:left w:type="dxa" w:w="100"/>
              <w:bottom w:type="dxa" w:w="80"/>
              <w:right w:type="dxa" w:w="100"/>
            </w:tcMar>
            <w:vAlign w:val="center"/>
          </w:tcPr>
          <w:p>
            <w:r>
              <w:rPr>
                <w:b w:val="false"/>
                <w:bCs w:val="false"/>
                <w:color w:val="1A1A1A"/>
                <w:sz w:val="19"/>
                <w:szCs w:val="19"/>
              </w:rPr>
              <w:t xml:space="preserve">Required if filing through a Patent Agent rather than the Applicant directly</w:t>
            </w:r>
          </w:p>
        </w:tc>
        <w:tc>
          <w:tcPr>
            <w:tcW w:type="dxa" w:w="2100"/>
            <w:tcMar>
              <w:top w:type="dxa" w:w="80"/>
              <w:left w:type="dxa" w:w="100"/>
              <w:bottom w:type="dxa" w:w="80"/>
              <w:right w:type="dxa" w:w="100"/>
            </w:tcMar>
            <w:vAlign w:val="center"/>
          </w:tcPr>
          <w:p>
            <w:r>
              <w:rPr>
                <w:b w:val="false"/>
                <w:bCs w:val="false"/>
                <w:color w:val="1A1A1A"/>
                <w:sz w:val="19"/>
                <w:szCs w:val="19"/>
              </w:rPr>
              <w:t xml:space="preserve">[ ] To be executed upon engagement of Patent Agent</w:t>
            </w:r>
          </w:p>
        </w:tc>
      </w:tr>
      <w:tr>
        <w:tc>
          <w:tcPr>
            <w:tcW w:type="dxa" w:w="1000"/>
            <w:shd w:fill="F2F2F2" w:val="clear"/>
            <w:tcMar>
              <w:top w:type="dxa" w:w="80"/>
              <w:left w:type="dxa" w:w="100"/>
              <w:bottom w:type="dxa" w:w="80"/>
              <w:right w:type="dxa" w:w="100"/>
            </w:tcMar>
            <w:vAlign w:val="center"/>
          </w:tcPr>
          <w:p>
            <w:r>
              <w:rPr>
                <w:b w:val="false"/>
                <w:bCs w:val="false"/>
                <w:color w:val="1A1A1A"/>
                <w:sz w:val="19"/>
                <w:szCs w:val="19"/>
              </w:rPr>
              <w:t xml:space="preserve">Form 9</w:t>
            </w:r>
          </w:p>
        </w:tc>
        <w:tc>
          <w:tcPr>
            <w:tcW w:type="dxa" w:w="2600"/>
            <w:shd w:fill="F2F2F2" w:val="clear"/>
            <w:tcMar>
              <w:top w:type="dxa" w:w="80"/>
              <w:left w:type="dxa" w:w="100"/>
              <w:bottom w:type="dxa" w:w="80"/>
              <w:right w:type="dxa" w:w="100"/>
            </w:tcMar>
            <w:vAlign w:val="center"/>
          </w:tcPr>
          <w:p>
            <w:r>
              <w:rPr>
                <w:b w:val="false"/>
                <w:bCs w:val="false"/>
                <w:color w:val="1A1A1A"/>
                <w:sz w:val="19"/>
                <w:szCs w:val="19"/>
              </w:rPr>
              <w:t xml:space="preserve">Request for Early Publication</w:t>
            </w:r>
          </w:p>
        </w:tc>
        <w:tc>
          <w:tcPr>
            <w:tcW w:type="dxa" w:w="3600"/>
            <w:shd w:fill="F2F2F2" w:val="clear"/>
            <w:tcMar>
              <w:top w:type="dxa" w:w="80"/>
              <w:left w:type="dxa" w:w="100"/>
              <w:bottom w:type="dxa" w:w="80"/>
              <w:right w:type="dxa" w:w="100"/>
            </w:tcMar>
            <w:vAlign w:val="center"/>
          </w:tcPr>
          <w:p>
            <w:r>
              <w:rPr>
                <w:b w:val="false"/>
                <w:bCs w:val="false"/>
                <w:color w:val="1A1A1A"/>
                <w:sz w:val="19"/>
                <w:szCs w:val="19"/>
              </w:rPr>
              <w:t xml:space="preserve">Optional; accelerates publication of the application from the standard 18-month period</w:t>
            </w:r>
          </w:p>
        </w:tc>
        <w:tc>
          <w:tcPr>
            <w:tcW w:type="dxa" w:w="2100"/>
            <w:shd w:fill="F2F2F2" w:val="clear"/>
            <w:tcMar>
              <w:top w:type="dxa" w:w="80"/>
              <w:left w:type="dxa" w:w="100"/>
              <w:bottom w:type="dxa" w:w="80"/>
              <w:right w:type="dxa" w:w="100"/>
            </w:tcMar>
            <w:vAlign w:val="center"/>
          </w:tcPr>
          <w:p>
            <w:r>
              <w:rPr>
                <w:b w:val="false"/>
                <w:bCs w:val="false"/>
                <w:color w:val="1A1A1A"/>
                <w:sz w:val="19"/>
                <w:szCs w:val="19"/>
              </w:rPr>
              <w:t xml:space="preserve">[ ] Optional — decide with Patent Agent based on strategy</w:t>
            </w:r>
          </w:p>
        </w:tc>
      </w:tr>
    </w:tbl>
    <w:p>
      <w:pPr>
        <w:pStyle w:val="Heading2"/>
        <w:spacing w:after="140" w:before="280"/>
      </w:pPr>
      <w:r>
        <w:rPr>
          <w:b/>
          <w:bCs/>
          <w:color w:val="13294B"/>
          <w:sz w:val="26"/>
          <w:szCs w:val="26"/>
        </w:rPr>
        <w:t xml:space="preserve">Filing Channel</w:t>
      </w:r>
    </w:p>
    <w:p>
      <w:pPr>
        <w:spacing w:after="160" w:line="300"/>
        <w:jc w:val="both"/>
      </w:pPr>
      <w:r>
        <w:rPr>
          <w:b w:val="false"/>
          <w:bCs w:val="false"/>
          <w:i w:val="false"/>
          <w:iCs w:val="false"/>
          <w:color w:val="1A1A1A"/>
          <w:sz w:val="21"/>
          <w:szCs w:val="21"/>
        </w:rPr>
        <w:t xml:space="preserve">Forms are filed electronically via the IP India e-filing portal (ipindiaonline.gov.in/epatentfiling/), typically through the Patent Agent's registered e-filing credentials. The Applicant should confirm the applicable fee category (natural person / startup / small entity / large entity) with the Patent Agent, as fee schedules under the First Schedule to the Patents Rules differ materially between categories.</w:t>
      </w:r>
    </w:p>
    <w:p>
      <w:pPr>
        <w:pStyle w:val="Heading1"/>
        <w:pageBreakBefore/>
        <w:pBdr>
          <w:bottom w:val="single" w:color="8B1E2F" w:sz="12" w:space="4"/>
        </w:pBdr>
        <w:spacing w:after="200" w:before="200"/>
      </w:pPr>
      <w:r>
        <w:rPr>
          <w:b/>
          <w:bCs/>
          <w:color w:val="13294B"/>
          <w:sz w:val="32"/>
          <w:szCs w:val="32"/>
        </w:rPr>
        <w:t xml:space="preserve">22. Patentability Analysis</w:t>
      </w:r>
    </w:p>
    <w:p>
      <w:pPr>
        <w:pBdr>
          <w:left w:val="single" w:color="B08D2B" w:sz="18" w:space="8"/>
        </w:pBdr>
        <w:shd w:fill="FFF7E0" w:val="clear"/>
        <w:spacing w:after="160" w:before="80"/>
        <w:ind w:left="200"/>
      </w:pPr>
      <w:r>
        <w:rPr>
          <w:i/>
          <w:iCs/>
          <w:color w:val="5A4400"/>
          <w:sz w:val="20"/>
          <w:szCs w:val="20"/>
        </w:rPr>
        <w:t xml:space="preserve">NOTE: This analysis is informational and preliminary. It is not a legal opinion and does not substitute for a formal patentability opinion from a Registered Patent Agent or Patent Attorney.</w:t>
      </w:r>
    </w:p>
    <w:p>
      <w:pPr>
        <w:pStyle w:val="Heading2"/>
        <w:spacing w:after="140" w:before="280"/>
      </w:pPr>
      <w:r>
        <w:rPr>
          <w:b/>
          <w:bCs/>
          <w:color w:val="13294B"/>
          <w:sz w:val="26"/>
          <w:szCs w:val="26"/>
        </w:rPr>
        <w:t xml:space="preserve">22.1 Novelty (Section 2(1)(l), Patents Act, 1970)</w:t>
      </w:r>
    </w:p>
    <w:p>
      <w:pPr>
        <w:spacing w:after="160" w:line="300"/>
        <w:jc w:val="both"/>
      </w:pPr>
      <w:r>
        <w:rPr>
          <w:b w:val="false"/>
          <w:bCs w:val="false"/>
          <w:i w:val="false"/>
          <w:iCs w:val="false"/>
          <w:color w:val="1A1A1A"/>
          <w:sz w:val="21"/>
          <w:szCs w:val="21"/>
        </w:rPr>
        <w:t xml:space="preserve">Based on the prior-art references identified in Section 5, no single reference discloses the specific combination of (a) a shared, parameterized dispatch pipeline spanning passenger, cargo, pilgrimage-package, and event-convoy booking types; (b) a mapping abstraction module defaulting to a keyless provider with transparent commercial-provider substitution; (c) a festival-context orchestration module atomically coupling promotional, offer, and multi-locale (including regional-dialect) state; and (d) an event-logistics module unifying transport itinerary, vendor marketplace, budget tracker, guest manager, and task checklist within one event record. On this preliminary basis, the combination claimed in Section 17 appears novel relative to the identified prior art. This conclusion should be confirmed by a formal, comprehensive prior-art search, as additional relevant references (including references in jurisdictions or languages not covered by the present search, and unpublished pending applications not yet published at the time of this search) may exist.</w:t>
      </w:r>
    </w:p>
    <w:p>
      <w:pPr>
        <w:pStyle w:val="Heading2"/>
        <w:spacing w:after="140" w:before="280"/>
      </w:pPr>
      <w:r>
        <w:rPr>
          <w:b/>
          <w:bCs/>
          <w:color w:val="13294B"/>
          <w:sz w:val="26"/>
          <w:szCs w:val="26"/>
        </w:rPr>
        <w:t xml:space="preserve">22.2 Inventive Step (Section 2(1)(ja), Patents Act, 1970)</w:t>
      </w:r>
    </w:p>
    <w:p>
      <w:pPr>
        <w:spacing w:after="160" w:line="300"/>
        <w:jc w:val="both"/>
      </w:pPr>
      <w:r>
        <w:rPr>
          <w:b w:val="false"/>
          <w:bCs w:val="false"/>
          <w:i w:val="false"/>
          <w:iCs w:val="false"/>
          <w:color w:val="1A1A1A"/>
          <w:sz w:val="21"/>
          <w:szCs w:val="21"/>
        </w:rPr>
        <w:t xml:space="preserve">Section 2(1)(ja) defines inventive step as a feature involving technical advance as compared to existing knowledge, or having economic significance, or both, and that makes the invention not obvious to a person skilled in the art. The individual elements identified in Section 5 (multi-modal trip planning, cargo dispatch, provider pool management, event-vendor matching, geofencing, and open-data routing) are each independently known. The inventive-step argument for the present invention rests on the specific, non-obvious architectural combination and coupling of these elements — in particular, (i) the substitution-based mapping abstraction that permits geofencing and fare-computation logic to remain unmodified across mapping providers, (ii) the single-transition coupling of festival, offer, and multi-locale state, and (iii) the cross-module event-record update triggered by a single vendor-booking action — none of which is suggested, individually or in combination, by the identified prior art. A person skilled in the art starting from any single identified reference would not, without inventive contribution, arrive at this specific combination.</w:t>
      </w:r>
    </w:p>
    <w:p>
      <w:pPr>
        <w:pStyle w:val="Heading2"/>
        <w:spacing w:after="140" w:before="280"/>
      </w:pPr>
      <w:r>
        <w:rPr>
          <w:b/>
          <w:bCs/>
          <w:color w:val="13294B"/>
          <w:sz w:val="26"/>
          <w:szCs w:val="26"/>
        </w:rPr>
        <w:t xml:space="preserve">22.3 Industrial Applicability (Section 2(1)(ac), Patents Act, 1970)</w:t>
      </w:r>
    </w:p>
    <w:p>
      <w:pPr>
        <w:spacing w:after="160" w:line="300"/>
        <w:jc w:val="both"/>
      </w:pPr>
      <w:r>
        <w:rPr>
          <w:b w:val="false"/>
          <w:bCs w:val="false"/>
          <w:i w:val="false"/>
          <w:iCs w:val="false"/>
          <w:color w:val="1A1A1A"/>
          <w:sz w:val="21"/>
          <w:szCs w:val="21"/>
        </w:rPr>
        <w:t xml:space="preserve">The invention is capable of being made or used in an industry — specifically, the transportation, logistics, and event-services industries — as detailed in Section 13, and satisfies the industrial-applicability requirement.</w:t>
      </w:r>
    </w:p>
    <w:p>
      <w:pPr>
        <w:pStyle w:val="Heading2"/>
        <w:spacing w:after="140" w:before="280"/>
      </w:pPr>
      <w:r>
        <w:rPr>
          <w:b/>
          <w:bCs/>
          <w:color w:val="13294B"/>
          <w:sz w:val="26"/>
          <w:szCs w:val="26"/>
        </w:rPr>
        <w:t xml:space="preserve">22.4 Patentable Subject Matter — Section 3(k) Considerations</w:t>
      </w:r>
    </w:p>
    <w:p>
      <w:pPr>
        <w:spacing w:after="160" w:line="300"/>
        <w:jc w:val="both"/>
      </w:pPr>
      <w:r>
        <w:rPr>
          <w:b w:val="false"/>
          <w:bCs w:val="false"/>
          <w:i w:val="false"/>
          <w:iCs w:val="false"/>
          <w:color w:val="1A1A1A"/>
          <w:sz w:val="21"/>
          <w:szCs w:val="21"/>
        </w:rPr>
        <w:t xml:space="preserve">Section 3(k) of the Patents Act excludes from patentability "a mathematical or business method or a computer programme per se or algorithms." Indian Patent Office examination practice, informed by the Revised Guidelines for Examination of Computer-Related Inventions (CRI Guidelines) and relevant case law (including Ferid Allani v. Union of India, Delhi High Court), permits claims to computer-implemented inventions that demonstrate a technical effect or technical contribution beyond the automation of an abstract idea, particularly where the invention solves a technical problem through a specific technical architecture or improves the functioning of a computer/network system.</w:t>
      </w:r>
    </w:p>
    <w:p>
      <w:pPr>
        <w:pStyle w:val="ListParagraph"/>
        <w:numPr>
          <w:ilvl w:val="0"/>
          <w:numId w:val="1"/>
        </w:numPr>
        <w:spacing w:after="90"/>
      </w:pPr>
      <w:r>
        <w:rPr>
          <w:sz w:val="21"/>
          <w:szCs w:val="21"/>
        </w:rPr>
        <w:t xml:space="preserve">The mapping-abstraction substitution mechanism (Claim 1, Claim 2) and the shared-pipeline architecture (Claim 1, Claim 10) present the strongest technical-effect argument, as they address a technical problem — dependency on, and interoperability with, an external commercial service — through a specific technical architecture, rather than through a business rule.</w:t>
      </w:r>
    </w:p>
    <w:p>
      <w:pPr>
        <w:pStyle w:val="ListParagraph"/>
        <w:numPr>
          <w:ilvl w:val="0"/>
          <w:numId w:val="1"/>
        </w:numPr>
        <w:spacing w:after="90"/>
      </w:pPr>
      <w:r>
        <w:rPr>
          <w:sz w:val="21"/>
          <w:szCs w:val="21"/>
        </w:rPr>
        <w:t xml:space="preserve">The festival-context orchestration claims (Claims 3, 11, 19) and the event-logistics claims (Claims 5, 12) present both a technical dimension (atomic multi-surface state synchronization; cross-module data-record update) and a content/business dimension (which offers or vendor categories are exposed); claim language should be reviewed by the Patent Agent to foreground the state-synchronization mechanism rather than the substantive content of the offers or vendor categories, to strengthen the technical-effect position under Section 3(k).</w:t>
      </w:r>
    </w:p>
    <w:p>
      <w:pPr>
        <w:pStyle w:val="ListParagraph"/>
        <w:numPr>
          <w:ilvl w:val="0"/>
          <w:numId w:val="1"/>
        </w:numPr>
        <w:spacing w:after="90"/>
      </w:pPr>
      <w:r>
        <w:rPr>
          <w:sz w:val="21"/>
          <w:szCs w:val="21"/>
        </w:rPr>
        <w:t xml:space="preserve">The Patent Agent should specifically consider whether to frame Claims 3, 11, and 19 additionally, or in the alternative, around a technical improvement in rendering/update latency or state-consistency guarantees (a measurable technical parameter), which is generally viewed more favourably under current CRI Guidelines than a claim framed primarily around the business content being synchronized.</w:t>
      </w:r>
    </w:p>
    <w:p>
      <w:pPr>
        <w:pStyle w:val="Heading2"/>
        <w:spacing w:after="140" w:before="280"/>
      </w:pPr>
      <w:r>
        <w:rPr>
          <w:b/>
          <w:bCs/>
          <w:color w:val="13294B"/>
          <w:sz w:val="26"/>
          <w:szCs w:val="26"/>
        </w:rPr>
        <w:t xml:space="preserve">22.5 Strategies to Overcome Possible Objections</w:t>
      </w:r>
    </w:p>
    <w:p>
      <w:pPr>
        <w:pStyle w:val="ListParagraph"/>
        <w:numPr>
          <w:ilvl w:val="0"/>
          <w:numId w:val="1"/>
        </w:numPr>
        <w:spacing w:after="90"/>
      </w:pPr>
      <w:r>
        <w:rPr>
          <w:sz w:val="21"/>
          <w:szCs w:val="21"/>
        </w:rPr>
        <w:t xml:space="preserve">Prepare, in advance of filing, a written technical-effect statement (distinct from Section 9 of this document) specifically addressing how each independent claim solves a technical problem through technical means, for use in responding to a Section 3(k) objection during examination, should one be raised.</w:t>
      </w:r>
    </w:p>
    <w:p>
      <w:pPr>
        <w:pStyle w:val="ListParagraph"/>
        <w:numPr>
          <w:ilvl w:val="0"/>
          <w:numId w:val="1"/>
        </w:numPr>
        <w:spacing w:after="90"/>
      </w:pPr>
      <w:r>
        <w:rPr>
          <w:sz w:val="21"/>
          <w:szCs w:val="21"/>
        </w:rPr>
        <w:t xml:space="preserve">Consider filing dependent claims directed to specific technical parameters (e.g., constant/linear time complexity of Algorithms 1–2, as set out in Section 16.5) to reinforce the technical-contribution position.</w:t>
      </w:r>
    </w:p>
    <w:p>
      <w:pPr>
        <w:pStyle w:val="ListParagraph"/>
        <w:numPr>
          <w:ilvl w:val="0"/>
          <w:numId w:val="1"/>
        </w:numPr>
        <w:spacing w:after="90"/>
      </w:pPr>
      <w:r>
        <w:rPr>
          <w:sz w:val="21"/>
          <w:szCs w:val="21"/>
        </w:rPr>
        <w:t xml:space="preserve">Consider whether a system/device claim format (Claim 1) may be examined more favourably than a pure method claim (Claim 10) in view of current CGPDTM practice, and prioritize claim amendments accordingly if a first examination report (FER) raises Section 3(k) objections.</w:t>
      </w:r>
    </w:p>
    <w:p>
      <w:pPr>
        <w:pStyle w:val="ListParagraph"/>
        <w:numPr>
          <w:ilvl w:val="0"/>
          <w:numId w:val="1"/>
        </w:numPr>
        <w:spacing w:after="90"/>
      </w:pPr>
      <w:r>
        <w:rPr>
          <w:sz w:val="21"/>
          <w:szCs w:val="21"/>
        </w:rPr>
        <w:t xml:space="preserve">Conduct the formal prior-art search recommended in Section 5.4 before filing the complete specification, to identify and pre-emptively distinguish any closer prior art not located in the present preliminary search.</w:t>
      </w:r>
    </w:p>
    <w:p>
      <w:pPr>
        <w:pStyle w:val="Heading1"/>
        <w:pageBreakBefore/>
        <w:pBdr>
          <w:bottom w:val="single" w:color="8B1E2F" w:sz="12" w:space="4"/>
        </w:pBdr>
        <w:spacing w:after="200" w:before="200"/>
      </w:pPr>
      <w:r>
        <w:rPr>
          <w:b/>
          <w:bCs/>
          <w:color w:val="13294B"/>
          <w:sz w:val="32"/>
          <w:szCs w:val="32"/>
        </w:rPr>
        <w:t xml:space="preserve">23. Commercialization Strategy</w:t>
      </w:r>
    </w:p>
    <w:p>
      <w:pPr>
        <w:pStyle w:val="Heading2"/>
        <w:spacing w:after="140" w:before="280"/>
      </w:pPr>
      <w:r>
        <w:rPr>
          <w:b/>
          <w:bCs/>
          <w:color w:val="13294B"/>
          <w:sz w:val="26"/>
          <w:szCs w:val="26"/>
        </w:rPr>
        <w:t xml:space="preserve">Licensing</w:t>
      </w:r>
    </w:p>
    <w:p>
      <w:pPr>
        <w:spacing w:after="160" w:line="300"/>
        <w:jc w:val="both"/>
      </w:pPr>
      <w:r>
        <w:rPr>
          <w:b w:val="false"/>
          <w:bCs w:val="false"/>
          <w:i w:val="false"/>
          <w:iCs w:val="false"/>
          <w:color w:val="1A1A1A"/>
          <w:sz w:val="21"/>
          <w:szCs w:val="21"/>
        </w:rPr>
        <w:t xml:space="preserve">The mapping-abstraction module (Section 9.5) and the festival-context orchestration module (Section 9.9) are identified as candidates for standalone licensing to third-party transportation or logistics platform operators seeking mapping-cost reduction or region-specific promotional/localization capability, independent of the full multi-category dispatch system.</w:t>
      </w:r>
    </w:p>
    <w:p>
      <w:pPr>
        <w:pStyle w:val="Heading2"/>
        <w:spacing w:after="140" w:before="280"/>
      </w:pPr>
      <w:r>
        <w:rPr>
          <w:b/>
          <w:bCs/>
          <w:color w:val="13294B"/>
          <w:sz w:val="26"/>
          <w:szCs w:val="26"/>
        </w:rPr>
        <w:t xml:space="preserve">Technology Transfer</w:t>
      </w:r>
    </w:p>
    <w:p>
      <w:pPr>
        <w:spacing w:after="160" w:line="300"/>
        <w:jc w:val="both"/>
      </w:pPr>
      <w:r>
        <w:rPr>
          <w:b w:val="false"/>
          <w:bCs w:val="false"/>
          <w:i w:val="false"/>
          <w:iCs w:val="false"/>
          <w:color w:val="1A1A1A"/>
          <w:sz w:val="21"/>
          <w:szCs w:val="21"/>
        </w:rPr>
        <w:t xml:space="preserve">[To be completed by the Inventor — if pursued through a university/institutional Technology Transfer Office, specify the relevant IPR policy, assignment terms, and revenue-sharing arrangement applicable to student/independent inventor work.]</w:t>
      </w:r>
    </w:p>
    <w:p>
      <w:pPr>
        <w:pStyle w:val="Heading2"/>
        <w:spacing w:after="140" w:before="280"/>
      </w:pPr>
      <w:r>
        <w:rPr>
          <w:b/>
          <w:bCs/>
          <w:color w:val="13294B"/>
          <w:sz w:val="26"/>
          <w:szCs w:val="26"/>
        </w:rPr>
        <w:t xml:space="preserve">Startup Formation</w:t>
      </w:r>
    </w:p>
    <w:p>
      <w:pPr>
        <w:spacing w:after="160" w:line="300"/>
        <w:jc w:val="both"/>
      </w:pPr>
      <w:r>
        <w:rPr>
          <w:b w:val="false"/>
          <w:bCs w:val="false"/>
          <w:i w:val="false"/>
          <w:iCs w:val="false"/>
          <w:color w:val="1A1A1A"/>
          <w:sz w:val="21"/>
          <w:szCs w:val="21"/>
        </w:rPr>
        <w:t xml:space="preserve">[To be completed by the Inventor — details of any intended startup entity, its relationship to the Applicant, and DPIIT startup-recognition status, if applicable, relevant to Form 18A eligibility (Section 21) and startup patent-fee concessions.]</w:t>
      </w:r>
    </w:p>
    <w:p>
      <w:pPr>
        <w:pStyle w:val="Heading2"/>
        <w:spacing w:after="140" w:before="280"/>
      </w:pPr>
      <w:r>
        <w:rPr>
          <w:b/>
          <w:bCs/>
          <w:color w:val="13294B"/>
          <w:sz w:val="26"/>
          <w:szCs w:val="26"/>
        </w:rPr>
        <w:t xml:space="preserve">Manufacturing / Deployment</w:t>
      </w:r>
    </w:p>
    <w:p>
      <w:pPr>
        <w:spacing w:after="160" w:line="300"/>
        <w:jc w:val="both"/>
      </w:pPr>
      <w:r>
        <w:rPr>
          <w:b w:val="false"/>
          <w:bCs w:val="false"/>
          <w:i w:val="false"/>
          <w:iCs w:val="false"/>
          <w:color w:val="1A1A1A"/>
          <w:sz w:val="21"/>
          <w:szCs w:val="21"/>
        </w:rPr>
        <w:t xml:space="preserve">As a software-implemented invention, commercialization does not require physical manufacturing; deployment requires backend infrastructure provisioning (Embodiment 3, Section 10), driver/vendor onboarding, and payment-gateway integration, as discussed in Section 9.14 and Section 13.</w:t>
      </w:r>
    </w:p>
    <w:p>
      <w:pPr>
        <w:pStyle w:val="Heading2"/>
        <w:spacing w:after="140" w:before="280"/>
      </w:pPr>
      <w:r>
        <w:rPr>
          <w:b/>
          <w:bCs/>
          <w:color w:val="13294B"/>
          <w:sz w:val="26"/>
          <w:szCs w:val="26"/>
        </w:rPr>
        <w:t xml:space="preserve">Market Entry</w:t>
      </w:r>
    </w:p>
    <w:p>
      <w:pPr>
        <w:spacing w:after="160" w:line="300"/>
        <w:jc w:val="both"/>
      </w:pPr>
      <w:r>
        <w:rPr>
          <w:b w:val="false"/>
          <w:bCs w:val="false"/>
          <w:i w:val="false"/>
          <w:iCs w:val="false"/>
          <w:color w:val="1A1A1A"/>
          <w:sz w:val="21"/>
          <w:szCs w:val="21"/>
        </w:rPr>
        <w:t xml:space="preserve">[To be completed by the Inventor — target launch geography (e.g., Patna and secondary Bihar towns), sequencing across booking types, and go-to-market partnerships, if determined.]</w:t>
      </w:r>
    </w:p>
    <w:p>
      <w:pPr>
        <w:pStyle w:val="Heading2"/>
        <w:spacing w:after="140" w:before="280"/>
      </w:pPr>
      <w:r>
        <w:rPr>
          <w:b/>
          <w:bCs/>
          <w:color w:val="13294B"/>
          <w:sz w:val="26"/>
          <w:szCs w:val="26"/>
        </w:rPr>
        <w:t xml:space="preserve">Revenue Models</w:t>
      </w:r>
    </w:p>
    <w:p>
      <w:pPr>
        <w:pStyle w:val="ListParagraph"/>
        <w:numPr>
          <w:ilvl w:val="0"/>
          <w:numId w:val="1"/>
        </w:numPr>
        <w:spacing w:after="90"/>
      </w:pPr>
      <w:r>
        <w:rPr>
          <w:sz w:val="21"/>
          <w:szCs w:val="21"/>
        </w:rPr>
        <w:t xml:space="preserve">Commission on completed passenger, cargo, and pilgrimage-package bookings.</w:t>
      </w:r>
    </w:p>
    <w:p>
      <w:pPr>
        <w:pStyle w:val="ListParagraph"/>
        <w:numPr>
          <w:ilvl w:val="0"/>
          <w:numId w:val="1"/>
        </w:numPr>
        <w:spacing w:after="90"/>
      </w:pPr>
      <w:r>
        <w:rPr>
          <w:sz w:val="21"/>
          <w:szCs w:val="21"/>
        </w:rPr>
        <w:t xml:space="preserve">Commission or listing fees from vendors booked through the event-logistics vendor marketplace (Section 9.11).</w:t>
      </w:r>
    </w:p>
    <w:p>
      <w:pPr>
        <w:pStyle w:val="ListParagraph"/>
        <w:numPr>
          <w:ilvl w:val="0"/>
          <w:numId w:val="1"/>
        </w:numPr>
        <w:spacing w:after="90"/>
      </w:pPr>
      <w:r>
        <w:rPr>
          <w:sz w:val="21"/>
          <w:szCs w:val="21"/>
        </w:rPr>
        <w:t xml:space="preserve">Subscription or licensing revenue from third-party operators licensing the mapping-abstraction or festival-orchestration modules (see Licensing, above).</w:t>
      </w:r>
    </w:p>
    <w:p>
      <w:pPr>
        <w:pStyle w:val="ListParagraph"/>
        <w:numPr>
          <w:ilvl w:val="0"/>
          <w:numId w:val="1"/>
        </w:numPr>
        <w:spacing w:after="90"/>
      </w:pPr>
      <w:r>
        <w:rPr>
          <w:sz w:val="21"/>
          <w:szCs w:val="21"/>
        </w:rPr>
        <w:t xml:space="preserve">[Additional revenue streams to be completed by the Inventor.]</w:t>
      </w:r>
    </w:p>
    <w:p>
      <w:pPr>
        <w:pStyle w:val="Heading2"/>
        <w:spacing w:after="140" w:before="280"/>
      </w:pPr>
      <w:r>
        <w:rPr>
          <w:b/>
          <w:bCs/>
          <w:color w:val="13294B"/>
          <w:sz w:val="26"/>
          <w:szCs w:val="26"/>
        </w:rPr>
        <w:t xml:space="preserve">Patent Portfolio Expansion</w:t>
      </w:r>
    </w:p>
    <w:p>
      <w:pPr>
        <w:spacing w:after="160" w:line="300"/>
        <w:jc w:val="both"/>
      </w:pPr>
      <w:r>
        <w:rPr>
          <w:b w:val="false"/>
          <w:bCs w:val="false"/>
          <w:i w:val="false"/>
          <w:iCs w:val="false"/>
          <w:color w:val="1A1A1A"/>
          <w:sz w:val="21"/>
          <w:szCs w:val="21"/>
        </w:rPr>
        <w:t xml:space="preserve">Should the present application proceed, the Applicant may consider filing continuation or divisional applications directed separately to (a) the mapping-abstraction/substitution mechanism, (b) the festival-context orchestration mechanism, and (c) the event-logistics/vendor-marketplace integration, as each is independently identified in Section 22.1 as a distinguishing element, to build a portfolio of narrower, more defensible patents alongside the present broader application.</w:t>
      </w:r>
    </w:p>
    <w:p>
      <w:pPr>
        <w:pStyle w:val="Heading2"/>
        <w:spacing w:after="140" w:before="280"/>
      </w:pPr>
      <w:r>
        <w:rPr>
          <w:b/>
          <w:bCs/>
          <w:color w:val="13294B"/>
          <w:sz w:val="26"/>
          <w:szCs w:val="26"/>
        </w:rPr>
        <w:t xml:space="preserve">International Filing Strategy</w:t>
      </w:r>
    </w:p>
    <w:p>
      <w:pPr>
        <w:spacing w:after="160" w:line="300"/>
        <w:jc w:val="both"/>
      </w:pPr>
      <w:r>
        <w:rPr>
          <w:b w:val="false"/>
          <w:bCs w:val="false"/>
          <w:i w:val="false"/>
          <w:iCs w:val="false"/>
          <w:color w:val="1A1A1A"/>
          <w:sz w:val="21"/>
          <w:szCs w:val="21"/>
        </w:rPr>
        <w:t xml:space="preserve">If international protection is desired, the Applicant should discuss with the Patent Agent, within 12 months of the Indian priority date, either (a) direct national filings in target countries, or (b) a Patent Cooperation Treaty (PCT) international application designating India as the receiving office, preserving the option to enter national phase in multiple jurisdictions within 30–31 months of the priority date. [Target jurisdictions to be completed by the Inventor.]</w:t>
      </w:r>
    </w:p>
    <w:p>
      <w:pPr>
        <w:pStyle w:val="Heading1"/>
        <w:pageBreakBefore/>
        <w:pBdr>
          <w:bottom w:val="single" w:color="8B1E2F" w:sz="12" w:space="4"/>
        </w:pBdr>
        <w:spacing w:after="200" w:before="200"/>
      </w:pPr>
      <w:r>
        <w:rPr>
          <w:b/>
          <w:bCs/>
          <w:color w:val="13294B"/>
          <w:sz w:val="32"/>
          <w:szCs w:val="32"/>
        </w:rPr>
        <w:t xml:space="preserve">24. References</w:t>
      </w:r>
    </w:p>
    <w:p>
      <w:pPr>
        <w:pStyle w:val="Heading2"/>
        <w:spacing w:after="140" w:before="280"/>
      </w:pPr>
      <w:r>
        <w:rPr>
          <w:b/>
          <w:bCs/>
          <w:color w:val="13294B"/>
          <w:sz w:val="26"/>
          <w:szCs w:val="26"/>
        </w:rPr>
        <w:t xml:space="preserve">Patents Cited</w:t>
      </w:r>
    </w:p>
    <w:p>
      <w:pPr>
        <w:pStyle w:val="ListParagraph"/>
        <w:numPr>
          <w:ilvl w:val="0"/>
          <w:numId w:val="1"/>
        </w:numPr>
        <w:spacing w:after="90"/>
      </w:pPr>
      <w:r>
        <w:rPr>
          <w:sz w:val="21"/>
          <w:szCs w:val="21"/>
        </w:rPr>
        <w:t xml:space="preserve">AU2020361447B2 — "Multi-modal transportation system."</w:t>
      </w:r>
    </w:p>
    <w:p>
      <w:pPr>
        <w:pStyle w:val="ListParagraph"/>
        <w:numPr>
          <w:ilvl w:val="0"/>
          <w:numId w:val="1"/>
        </w:numPr>
        <w:spacing w:after="90"/>
      </w:pPr>
      <w:r>
        <w:rPr>
          <w:sz w:val="21"/>
          <w:szCs w:val="21"/>
        </w:rPr>
        <w:t xml:space="preserve">US 11,455,578 B2 — "System and method for ride order dispatching and vehicle repositioning" (Sept. 27, 2022).</w:t>
      </w:r>
    </w:p>
    <w:p>
      <w:pPr>
        <w:pStyle w:val="ListParagraph"/>
        <w:numPr>
          <w:ilvl w:val="0"/>
          <w:numId w:val="1"/>
        </w:numPr>
        <w:spacing w:after="90"/>
      </w:pPr>
      <w:r>
        <w:rPr>
          <w:sz w:val="21"/>
          <w:szCs w:val="21"/>
        </w:rPr>
        <w:t xml:space="preserve">US 10,837,786 — "Multi-modal transportation service planning and fulfillment."</w:t>
      </w:r>
    </w:p>
    <w:p>
      <w:pPr>
        <w:pStyle w:val="ListParagraph"/>
        <w:numPr>
          <w:ilvl w:val="0"/>
          <w:numId w:val="1"/>
        </w:numPr>
        <w:spacing w:after="90"/>
      </w:pPr>
      <w:r>
        <w:rPr>
          <w:sz w:val="21"/>
          <w:szCs w:val="21"/>
        </w:rPr>
        <w:t xml:space="preserve">US 11,475,412 B2 — "Systems and methods for facilitating a multi-modal transportation service."</w:t>
      </w:r>
    </w:p>
    <w:p>
      <w:pPr>
        <w:pStyle w:val="ListParagraph"/>
        <w:numPr>
          <w:ilvl w:val="0"/>
          <w:numId w:val="1"/>
        </w:numPr>
        <w:spacing w:after="90"/>
      </w:pPr>
      <w:r>
        <w:rPr>
          <w:sz w:val="21"/>
          <w:szCs w:val="21"/>
        </w:rPr>
        <w:t xml:space="preserve">US 2017/0185087 A1 — "Vehicle dispatching method and system."</w:t>
      </w:r>
    </w:p>
    <w:p>
      <w:pPr>
        <w:pStyle w:val="ListParagraph"/>
        <w:numPr>
          <w:ilvl w:val="0"/>
          <w:numId w:val="1"/>
        </w:numPr>
        <w:spacing w:after="90"/>
      </w:pPr>
      <w:r>
        <w:rPr>
          <w:sz w:val="21"/>
          <w:szCs w:val="21"/>
        </w:rPr>
        <w:t xml:space="preserve">US 2016/0364679 A1 — "Systems and methods for on-demand transportation."</w:t>
      </w:r>
    </w:p>
    <w:p>
      <w:pPr>
        <w:pStyle w:val="ListParagraph"/>
        <w:numPr>
          <w:ilvl w:val="0"/>
          <w:numId w:val="1"/>
        </w:numPr>
        <w:spacing w:after="90"/>
      </w:pPr>
      <w:r>
        <w:rPr>
          <w:sz w:val="21"/>
          <w:szCs w:val="21"/>
        </w:rPr>
        <w:t xml:space="preserve">US 11,748,789 B2 — "Dynamically adjusting transportation provider pool size" (Lyft, Inc.).</w:t>
      </w:r>
    </w:p>
    <w:p>
      <w:pPr>
        <w:pStyle w:val="ListParagraph"/>
        <w:numPr>
          <w:ilvl w:val="0"/>
          <w:numId w:val="1"/>
        </w:numPr>
        <w:spacing w:after="90"/>
      </w:pPr>
      <w:r>
        <w:rPr>
          <w:sz w:val="21"/>
          <w:szCs w:val="21"/>
        </w:rPr>
        <w:t xml:space="preserve">US 2013/0054293 A1 — "System and Database for matching event vendors with event planners in real-time."</w:t>
      </w:r>
    </w:p>
    <w:p>
      <w:pPr>
        <w:pStyle w:val="Heading2"/>
        <w:spacing w:after="140" w:before="280"/>
      </w:pPr>
      <w:r>
        <w:rPr>
          <w:b/>
          <w:bCs/>
          <w:color w:val="13294B"/>
          <w:sz w:val="26"/>
          <w:szCs w:val="26"/>
        </w:rPr>
        <w:t xml:space="preserve">Non-Patent Literature Cited</w:t>
      </w:r>
    </w:p>
    <w:p>
      <w:pPr>
        <w:pStyle w:val="ListParagraph"/>
        <w:numPr>
          <w:ilvl w:val="0"/>
          <w:numId w:val="1"/>
        </w:numPr>
        <w:spacing w:after="90"/>
      </w:pPr>
      <w:r>
        <w:rPr>
          <w:sz w:val="21"/>
          <w:szCs w:val="21"/>
        </w:rPr>
        <w:t xml:space="preserve">Deshmukh et al., "Survey of Geofencing Algorithms," International Journal of Computer Science, Engineering and Technology, vol. 3, no. 2, 2018.</w:t>
      </w:r>
    </w:p>
    <w:p>
      <w:pPr>
        <w:pStyle w:val="ListParagraph"/>
        <w:numPr>
          <w:ilvl w:val="0"/>
          <w:numId w:val="1"/>
        </w:numPr>
        <w:spacing w:after="90"/>
      </w:pPr>
      <w:r>
        <w:rPr>
          <w:sz w:val="21"/>
          <w:szCs w:val="21"/>
        </w:rPr>
        <w:t xml:space="preserve">Luxen and Vetter, "Real-time routing with OpenStreetMap data," Proc. 19th ACM SIGSPATIAL GIS, 2011.</w:t>
      </w:r>
    </w:p>
    <w:p>
      <w:pPr>
        <w:pStyle w:val="ListParagraph"/>
        <w:numPr>
          <w:ilvl w:val="0"/>
          <w:numId w:val="1"/>
        </w:numPr>
        <w:spacing w:after="90"/>
      </w:pPr>
      <w:r>
        <w:rPr>
          <w:sz w:val="21"/>
          <w:szCs w:val="21"/>
        </w:rPr>
        <w:t xml:space="preserve">Mundotiya et al., "Linguistic resources for Bhojpuri, Magahi, and Maithili...," ACM Trans. Asian Low-Resource Lang. Inf. Process., vol. 20, no. 6, 2021.</w:t>
      </w:r>
    </w:p>
    <w:p>
      <w:pPr>
        <w:pStyle w:val="ListParagraph"/>
        <w:numPr>
          <w:ilvl w:val="0"/>
          <w:numId w:val="1"/>
        </w:numPr>
        <w:spacing w:after="90"/>
      </w:pPr>
      <w:r>
        <w:rPr>
          <w:sz w:val="21"/>
          <w:szCs w:val="21"/>
        </w:rPr>
        <w:t xml:space="preserve">Kushwaha et al., "Safe rides, fair prices: A comprehensive analysis of India's ride-hailing sector," Int. J. Scientific Research in Computer Science and Engineering, vol. 13, no. 3, 2025.</w:t>
      </w:r>
    </w:p>
    <w:p>
      <w:pPr>
        <w:pStyle w:val="ListParagraph"/>
        <w:numPr>
          <w:ilvl w:val="0"/>
          <w:numId w:val="1"/>
        </w:numPr>
        <w:spacing w:after="90"/>
      </w:pPr>
      <w:r>
        <w:rPr>
          <w:sz w:val="21"/>
          <w:szCs w:val="21"/>
        </w:rPr>
        <w:t xml:space="preserve">Torrao, Htait, and Wong, "Perceptions of women's safety in transient environments and the potential role of AI in enhancing safety: An inclusive mobility study in India," Sustainability, vol. 16, no. 19, 2024.</w:t>
      </w:r>
    </w:p>
    <w:p>
      <w:pPr>
        <w:pStyle w:val="ListParagraph"/>
        <w:numPr>
          <w:ilvl w:val="0"/>
          <w:numId w:val="1"/>
        </w:numPr>
        <w:spacing w:after="90"/>
      </w:pPr>
      <w:r>
        <w:rPr>
          <w:sz w:val="21"/>
          <w:szCs w:val="21"/>
        </w:rPr>
        <w:t xml:space="preserve">Cisterna et al., "MaaS modelling: A review of factors, customers' profiles, choices and business models," European Transport Research Review, vol. 15, no. 1, 2023.</w:t>
      </w:r>
    </w:p>
    <w:p>
      <w:pPr>
        <w:pStyle w:val="Heading2"/>
        <w:spacing w:after="140" w:before="280"/>
      </w:pPr>
      <w:r>
        <w:rPr>
          <w:b/>
          <w:bCs/>
          <w:color w:val="13294B"/>
          <w:sz w:val="26"/>
          <w:szCs w:val="26"/>
        </w:rPr>
        <w:t xml:space="preserve">Standards and Guidelines Referenced</w:t>
      </w:r>
    </w:p>
    <w:p>
      <w:pPr>
        <w:pStyle w:val="ListParagraph"/>
        <w:numPr>
          <w:ilvl w:val="0"/>
          <w:numId w:val="1"/>
        </w:numPr>
        <w:spacing w:after="90"/>
      </w:pPr>
      <w:r>
        <w:rPr>
          <w:sz w:val="21"/>
          <w:szCs w:val="21"/>
        </w:rPr>
        <w:t xml:space="preserve">The Patents Act, 1970 (as amended), Government of India.</w:t>
      </w:r>
    </w:p>
    <w:p>
      <w:pPr>
        <w:pStyle w:val="ListParagraph"/>
        <w:numPr>
          <w:ilvl w:val="0"/>
          <w:numId w:val="1"/>
        </w:numPr>
        <w:spacing w:after="90"/>
      </w:pPr>
      <w:r>
        <w:rPr>
          <w:sz w:val="21"/>
          <w:szCs w:val="21"/>
        </w:rPr>
        <w:t xml:space="preserve">The Patents Rules, 2003 (as amended), Government of India.</w:t>
      </w:r>
    </w:p>
    <w:p>
      <w:pPr>
        <w:pStyle w:val="ListParagraph"/>
        <w:numPr>
          <w:ilvl w:val="0"/>
          <w:numId w:val="1"/>
        </w:numPr>
        <w:spacing w:after="90"/>
      </w:pPr>
      <w:r>
        <w:rPr>
          <w:sz w:val="21"/>
          <w:szCs w:val="21"/>
        </w:rPr>
        <w:t xml:space="preserve">Revised Guidelines for Examination of Computer-Related Inventions (CRI), Office of the Controller General of Patents, Designs &amp; Trade Marks.</w:t>
      </w:r>
    </w:p>
    <w:p>
      <w:pPr>
        <w:pStyle w:val="ListParagraph"/>
        <w:numPr>
          <w:ilvl w:val="0"/>
          <w:numId w:val="1"/>
        </w:numPr>
        <w:spacing w:after="90"/>
      </w:pPr>
      <w:r>
        <w:rPr>
          <w:sz w:val="21"/>
          <w:szCs w:val="21"/>
        </w:rPr>
        <w:t xml:space="preserve">Ferid Allani v. Union of India &amp; Ors., W.P.(C) 7/2014, Delhi High Court (2019) — relevant to Section 3(k) interpretation for computer-related inventions.</w:t>
      </w:r>
    </w:p>
    <w:p>
      <w:pPr>
        <w:pStyle w:val="Heading1"/>
        <w:pageBreakBefore/>
        <w:pBdr>
          <w:bottom w:val="single" w:color="8B1E2F" w:sz="12" w:space="4"/>
        </w:pBdr>
        <w:spacing w:after="200" w:before="200"/>
      </w:pPr>
      <w:r>
        <w:rPr>
          <w:b/>
          <w:bCs/>
          <w:color w:val="13294B"/>
          <w:sz w:val="32"/>
          <w:szCs w:val="32"/>
        </w:rPr>
        <w:t xml:space="preserve">Document Metadata and Sign-Off</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3294B" w:val="clear"/>
            <w:tcMar>
              <w:top w:type="dxa" w:w="80"/>
              <w:left w:type="dxa" w:w="100"/>
              <w:bottom w:type="dxa" w:w="80"/>
              <w:right w:type="dxa" w:w="100"/>
            </w:tcMar>
            <w:vAlign w:val="center"/>
          </w:tcPr>
          <w:p>
            <w:r>
              <w:rPr>
                <w:b/>
                <w:bCs/>
                <w:color w:val="FFFFFF"/>
                <w:sz w:val="19"/>
                <w:szCs w:val="19"/>
              </w:rPr>
              <w:t xml:space="preserve">Field</w:t>
            </w:r>
          </w:p>
        </w:tc>
        <w:tc>
          <w:tcPr>
            <w:tcW w:type="dxa" w:w="6300"/>
            <w:shd w:fill="13294B" w:val="clear"/>
            <w:tcMar>
              <w:top w:type="dxa" w:w="80"/>
              <w:left w:type="dxa" w:w="100"/>
              <w:bottom w:type="dxa" w:w="80"/>
              <w:right w:type="dxa" w:w="100"/>
            </w:tcMar>
            <w:vAlign w:val="center"/>
          </w:tcPr>
          <w:p>
            <w:r>
              <w:rPr>
                <w:b/>
                <w:bCs/>
                <w:color w:val="FFFFFF"/>
                <w:sz w:val="19"/>
                <w:szCs w:val="19"/>
              </w:rPr>
              <w:t xml:space="preserve">Value</w:t>
            </w:r>
          </w:p>
        </w:tc>
      </w:tr>
      <w:tr>
        <w:tc>
          <w:tcPr>
            <w:tcW w:type="dxa" w:w="3000"/>
            <w:tcMar>
              <w:top w:type="dxa" w:w="80"/>
              <w:left w:type="dxa" w:w="100"/>
              <w:bottom w:type="dxa" w:w="80"/>
              <w:right w:type="dxa" w:w="100"/>
            </w:tcMar>
            <w:vAlign w:val="center"/>
          </w:tcPr>
          <w:p>
            <w:r>
              <w:rPr>
                <w:b w:val="false"/>
                <w:bCs w:val="false"/>
                <w:color w:val="1A1A1A"/>
                <w:sz w:val="19"/>
                <w:szCs w:val="19"/>
              </w:rPr>
              <w:t xml:space="preserve">Document title</w:t>
            </w:r>
          </w:p>
        </w:tc>
        <w:tc>
          <w:tcPr>
            <w:tcW w:type="dxa" w:w="6300"/>
            <w:tcMar>
              <w:top w:type="dxa" w:w="80"/>
              <w:left w:type="dxa" w:w="100"/>
              <w:bottom w:type="dxa" w:w="80"/>
              <w:right w:type="dxa" w:w="100"/>
            </w:tcMar>
            <w:vAlign w:val="center"/>
          </w:tcPr>
          <w:p>
            <w:r>
              <w:rPr>
                <w:b w:val="false"/>
                <w:bCs w:val="false"/>
                <w:color w:val="1A1A1A"/>
                <w:sz w:val="19"/>
                <w:szCs w:val="19"/>
              </w:rPr>
              <w:t xml:space="preserve">Patent Specification (Draft) — System and Method for Unified, Festival-Context-Aware, Multi-Modal Transport and Event-Logistics Dispatch</w:t>
            </w:r>
          </w:p>
        </w:tc>
      </w:tr>
      <w:tr>
        <w:tc>
          <w:tcPr>
            <w:tcW w:type="dxa" w:w="3000"/>
            <w:shd w:fill="F2F2F2" w:val="clear"/>
            <w:tcMar>
              <w:top w:type="dxa" w:w="80"/>
              <w:left w:type="dxa" w:w="100"/>
              <w:bottom w:type="dxa" w:w="80"/>
              <w:right w:type="dxa" w:w="100"/>
            </w:tcMar>
            <w:vAlign w:val="center"/>
          </w:tcPr>
          <w:p>
            <w:r>
              <w:rPr>
                <w:b w:val="false"/>
                <w:bCs w:val="false"/>
                <w:color w:val="1A1A1A"/>
                <w:sz w:val="19"/>
                <w:szCs w:val="19"/>
              </w:rPr>
              <w:t xml:space="preserve">Prepared for</w:t>
            </w:r>
          </w:p>
        </w:tc>
        <w:tc>
          <w:tcPr>
            <w:tcW w:type="dxa" w:w="6300"/>
            <w:shd w:fill="F2F2F2" w:val="clear"/>
            <w:tcMar>
              <w:top w:type="dxa" w:w="80"/>
              <w:left w:type="dxa" w:w="100"/>
              <w:bottom w:type="dxa" w:w="80"/>
              <w:right w:type="dxa" w:w="100"/>
            </w:tcMar>
            <w:vAlign w:val="center"/>
          </w:tcPr>
          <w:p>
            <w:r>
              <w:rPr>
                <w:b w:val="false"/>
                <w:bCs w:val="false"/>
                <w:color w:val="1A1A1A"/>
                <w:sz w:val="19"/>
                <w:szCs w:val="19"/>
              </w:rPr>
              <w:t xml:space="preserve">Sudhanshu Kumar — draft preparation to support engagement of a Registered Patent Agent</w:t>
            </w:r>
          </w:p>
        </w:tc>
      </w:tr>
      <w:tr>
        <w:tc>
          <w:tcPr>
            <w:tcW w:type="dxa" w:w="3000"/>
            <w:tcMar>
              <w:top w:type="dxa" w:w="80"/>
              <w:left w:type="dxa" w:w="100"/>
              <w:bottom w:type="dxa" w:w="80"/>
              <w:right w:type="dxa" w:w="100"/>
            </w:tcMar>
            <w:vAlign w:val="center"/>
          </w:tcPr>
          <w:p>
            <w:r>
              <w:rPr>
                <w:b w:val="false"/>
                <w:bCs w:val="false"/>
                <w:color w:val="1A1A1A"/>
                <w:sz w:val="19"/>
                <w:szCs w:val="19"/>
              </w:rPr>
              <w:t xml:space="preserve">Prepared by</w:t>
            </w:r>
          </w:p>
        </w:tc>
        <w:tc>
          <w:tcPr>
            <w:tcW w:type="dxa" w:w="6300"/>
            <w:tcMar>
              <w:top w:type="dxa" w:w="80"/>
              <w:left w:type="dxa" w:w="100"/>
              <w:bottom w:type="dxa" w:w="80"/>
              <w:right w:type="dxa" w:w="100"/>
            </w:tcMar>
            <w:vAlign w:val="center"/>
          </w:tcPr>
          <w:p>
            <w:r>
              <w:rPr>
                <w:b w:val="false"/>
                <w:bCs w:val="false"/>
                <w:color w:val="1A1A1A"/>
                <w:sz w:val="19"/>
                <w:szCs w:val="19"/>
              </w:rPr>
              <w:t xml:space="preserve">Claude (Anthropic), from source-code review, prior product walkthrough, and public prior-art search</w:t>
            </w:r>
          </w:p>
        </w:tc>
      </w:tr>
      <w:tr>
        <w:tc>
          <w:tcPr>
            <w:tcW w:type="dxa" w:w="3000"/>
            <w:shd w:fill="F2F2F2" w:val="clear"/>
            <w:tcMar>
              <w:top w:type="dxa" w:w="80"/>
              <w:left w:type="dxa" w:w="100"/>
              <w:bottom w:type="dxa" w:w="80"/>
              <w:right w:type="dxa" w:w="100"/>
            </w:tcMar>
            <w:vAlign w:val="center"/>
          </w:tcPr>
          <w:p>
            <w:r>
              <w:rPr>
                <w:b w:val="false"/>
                <w:bCs w:val="false"/>
                <w:color w:val="1A1A1A"/>
                <w:sz w:val="19"/>
                <w:szCs w:val="19"/>
              </w:rPr>
              <w:t xml:space="preserve">Status</w:t>
            </w:r>
          </w:p>
        </w:tc>
        <w:tc>
          <w:tcPr>
            <w:tcW w:type="dxa" w:w="6300"/>
            <w:shd w:fill="F2F2F2" w:val="clear"/>
            <w:tcMar>
              <w:top w:type="dxa" w:w="80"/>
              <w:left w:type="dxa" w:w="100"/>
              <w:bottom w:type="dxa" w:w="80"/>
              <w:right w:type="dxa" w:w="100"/>
            </w:tcMar>
            <w:vAlign w:val="center"/>
          </w:tcPr>
          <w:p>
            <w:r>
              <w:rPr>
                <w:b w:val="false"/>
                <w:bCs w:val="false"/>
                <w:color w:val="1A1A1A"/>
                <w:sz w:val="19"/>
                <w:szCs w:val="19"/>
              </w:rPr>
              <w:t xml:space="preserve">DRAFT — NOT REVIEWED BY A REGISTERED PATENT AGENT — NOT FILED</w:t>
            </w:r>
          </w:p>
        </w:tc>
      </w:tr>
      <w:tr>
        <w:tc>
          <w:tcPr>
            <w:tcW w:type="dxa" w:w="3000"/>
            <w:tcMar>
              <w:top w:type="dxa" w:w="80"/>
              <w:left w:type="dxa" w:w="100"/>
              <w:bottom w:type="dxa" w:w="80"/>
              <w:right w:type="dxa" w:w="100"/>
            </w:tcMar>
            <w:vAlign w:val="center"/>
          </w:tcPr>
          <w:p>
            <w:r>
              <w:rPr>
                <w:b w:val="false"/>
                <w:bCs w:val="false"/>
                <w:color w:val="1A1A1A"/>
                <w:sz w:val="19"/>
                <w:szCs w:val="19"/>
              </w:rPr>
              <w:t xml:space="preserve">Version</w:t>
            </w:r>
          </w:p>
        </w:tc>
        <w:tc>
          <w:tcPr>
            <w:tcW w:type="dxa" w:w="6300"/>
            <w:tcMar>
              <w:top w:type="dxa" w:w="80"/>
              <w:left w:type="dxa" w:w="100"/>
              <w:bottom w:type="dxa" w:w="80"/>
              <w:right w:type="dxa" w:w="100"/>
            </w:tcMar>
            <w:vAlign w:val="center"/>
          </w:tcPr>
          <w:p>
            <w:r>
              <w:rPr>
                <w:b w:val="false"/>
                <w:bCs w:val="false"/>
                <w:color w:val="1A1A1A"/>
                <w:sz w:val="19"/>
                <w:szCs w:val="19"/>
              </w:rPr>
              <w:t xml:space="preserve">0.1</w:t>
            </w:r>
          </w:p>
        </w:tc>
      </w:tr>
      <w:tr>
        <w:tc>
          <w:tcPr>
            <w:tcW w:type="dxa" w:w="3000"/>
            <w:shd w:fill="F2F2F2" w:val="clear"/>
            <w:tcMar>
              <w:top w:type="dxa" w:w="80"/>
              <w:left w:type="dxa" w:w="100"/>
              <w:bottom w:type="dxa" w:w="80"/>
              <w:right w:type="dxa" w:w="100"/>
            </w:tcMar>
            <w:vAlign w:val="center"/>
          </w:tcPr>
          <w:p>
            <w:r>
              <w:rPr>
                <w:b w:val="false"/>
                <w:bCs w:val="false"/>
                <w:color w:val="1A1A1A"/>
                <w:sz w:val="19"/>
                <w:szCs w:val="19"/>
              </w:rPr>
              <w:t xml:space="preserve">Date prepared</w:t>
            </w:r>
          </w:p>
        </w:tc>
        <w:tc>
          <w:tcPr>
            <w:tcW w:type="dxa" w:w="6300"/>
            <w:shd w:fill="F2F2F2" w:val="clear"/>
            <w:tcMar>
              <w:top w:type="dxa" w:w="80"/>
              <w:left w:type="dxa" w:w="100"/>
              <w:bottom w:type="dxa" w:w="80"/>
              <w:right w:type="dxa" w:w="100"/>
            </w:tcMar>
            <w:vAlign w:val="center"/>
          </w:tcPr>
          <w:p>
            <w:r>
              <w:rPr>
                <w:b w:val="false"/>
                <w:bCs w:val="false"/>
                <w:color w:val="1A1A1A"/>
                <w:sz w:val="19"/>
                <w:szCs w:val="19"/>
              </w:rPr>
              <w:t xml:space="preserve">August 4, 2026</w:t>
            </w:r>
          </w:p>
        </w:tc>
      </w:tr>
    </w:tbl>
    <w:p>
      <w:pPr>
        <w:spacing w:before="300"/>
      </w:pPr>
    </w:p>
    <w:p>
      <w:pPr>
        <w:pStyle w:val="Heading2"/>
        <w:spacing w:after="140" w:before="280"/>
      </w:pPr>
      <w:r>
        <w:rPr>
          <w:b/>
          <w:bCs/>
          <w:color w:val="13294B"/>
          <w:sz w:val="26"/>
          <w:szCs w:val="26"/>
        </w:rPr>
        <w:t xml:space="preserve">Sign-Off Blocks (for completion after Patent Agent review)</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00"/>
      </w:tblGrid>
      <w:tr>
        <w:trPr>
          <w:tblHeader/>
        </w:trPr>
        <w:tc>
          <w:tcPr>
            <w:tcW w:type="dxa" w:w="2400"/>
            <w:shd w:fill="13294B" w:val="clear"/>
            <w:tcMar>
              <w:top w:type="dxa" w:w="80"/>
              <w:left w:type="dxa" w:w="100"/>
              <w:bottom w:type="dxa" w:w="80"/>
              <w:right w:type="dxa" w:w="100"/>
            </w:tcMar>
            <w:vAlign w:val="center"/>
          </w:tcPr>
          <w:p>
            <w:r>
              <w:rPr>
                <w:b/>
                <w:bCs/>
                <w:color w:val="FFFFFF"/>
                <w:sz w:val="19"/>
                <w:szCs w:val="19"/>
              </w:rPr>
              <w:t xml:space="preserve">Role</w:t>
            </w:r>
          </w:p>
        </w:tc>
        <w:tc>
          <w:tcPr>
            <w:tcW w:type="dxa" w:w="2400"/>
            <w:shd w:fill="13294B" w:val="clear"/>
            <w:tcMar>
              <w:top w:type="dxa" w:w="80"/>
              <w:left w:type="dxa" w:w="100"/>
              <w:bottom w:type="dxa" w:w="80"/>
              <w:right w:type="dxa" w:w="100"/>
            </w:tcMar>
            <w:vAlign w:val="center"/>
          </w:tcPr>
          <w:p>
            <w:r>
              <w:rPr>
                <w:b/>
                <w:bCs/>
                <w:color w:val="FFFFFF"/>
                <w:sz w:val="19"/>
                <w:szCs w:val="19"/>
              </w:rPr>
              <w:t xml:space="preserve">Name</w:t>
            </w:r>
          </w:p>
        </w:tc>
        <w:tc>
          <w:tcPr>
            <w:tcW w:type="dxa" w:w="2400"/>
            <w:shd w:fill="13294B" w:val="clear"/>
            <w:tcMar>
              <w:top w:type="dxa" w:w="80"/>
              <w:left w:type="dxa" w:w="100"/>
              <w:bottom w:type="dxa" w:w="80"/>
              <w:right w:type="dxa" w:w="100"/>
            </w:tcMar>
            <w:vAlign w:val="center"/>
          </w:tcPr>
          <w:p>
            <w:r>
              <w:rPr>
                <w:b/>
                <w:bCs/>
                <w:color w:val="FFFFFF"/>
                <w:sz w:val="19"/>
                <w:szCs w:val="19"/>
              </w:rPr>
              <w:t xml:space="preserve">Signature</w:t>
            </w:r>
          </w:p>
        </w:tc>
        <w:tc>
          <w:tcPr>
            <w:tcW w:type="dxa" w:w="2100"/>
            <w:shd w:fill="13294B" w:val="clear"/>
            <w:tcMar>
              <w:top w:type="dxa" w:w="80"/>
              <w:left w:type="dxa" w:w="100"/>
              <w:bottom w:type="dxa" w:w="80"/>
              <w:right w:type="dxa" w:w="100"/>
            </w:tcMar>
            <w:vAlign w:val="center"/>
          </w:tcPr>
          <w:p>
            <w:r>
              <w:rPr>
                <w:b/>
                <w:bCs/>
                <w:color w:val="FFFFFF"/>
                <w:sz w:val="19"/>
                <w:szCs w:val="19"/>
              </w:rPr>
              <w:t xml:space="preserve">Date</w:t>
            </w:r>
          </w:p>
        </w:tc>
      </w:tr>
      <w:tr>
        <w:tc>
          <w:tcPr>
            <w:tcW w:type="dxa" w:w="2400"/>
            <w:tcMar>
              <w:top w:type="dxa" w:w="80"/>
              <w:left w:type="dxa" w:w="100"/>
              <w:bottom w:type="dxa" w:w="80"/>
              <w:right w:type="dxa" w:w="100"/>
            </w:tcMar>
            <w:vAlign w:val="center"/>
          </w:tcPr>
          <w:p>
            <w:r>
              <w:rPr>
                <w:b w:val="false"/>
                <w:bCs w:val="false"/>
                <w:color w:val="1A1A1A"/>
                <w:sz w:val="19"/>
                <w:szCs w:val="19"/>
              </w:rPr>
              <w:t xml:space="preserve">Inventor</w:t>
            </w:r>
          </w:p>
        </w:tc>
        <w:tc>
          <w:tcPr>
            <w:tcW w:type="dxa" w:w="2400"/>
            <w:tcMar>
              <w:top w:type="dxa" w:w="80"/>
              <w:left w:type="dxa" w:w="100"/>
              <w:bottom w:type="dxa" w:w="80"/>
              <w:right w:type="dxa" w:w="100"/>
            </w:tcMar>
            <w:vAlign w:val="center"/>
          </w:tcPr>
          <w:p>
            <w:r>
              <w:rPr>
                <w:b w:val="false"/>
                <w:bCs w:val="false"/>
                <w:color w:val="1A1A1A"/>
                <w:sz w:val="19"/>
                <w:szCs w:val="19"/>
              </w:rPr>
              <w:t xml:space="preserve"/>
            </w:r>
          </w:p>
        </w:tc>
        <w:tc>
          <w:tcPr>
            <w:tcW w:type="dxa" w:w="2400"/>
            <w:tcMar>
              <w:top w:type="dxa" w:w="80"/>
              <w:left w:type="dxa" w:w="100"/>
              <w:bottom w:type="dxa" w:w="80"/>
              <w:right w:type="dxa" w:w="100"/>
            </w:tcMar>
            <w:vAlign w:val="center"/>
          </w:tcPr>
          <w:p>
            <w:r>
              <w:rPr>
                <w:b w:val="false"/>
                <w:bCs w:val="false"/>
                <w:color w:val="1A1A1A"/>
                <w:sz w:val="19"/>
                <w:szCs w:val="19"/>
              </w:rPr>
              <w:t xml:space="preserve"/>
            </w:r>
          </w:p>
        </w:tc>
        <w:tc>
          <w:tcPr>
            <w:tcW w:type="dxa" w:w="2100"/>
            <w:tcMar>
              <w:top w:type="dxa" w:w="80"/>
              <w:left w:type="dxa" w:w="100"/>
              <w:bottom w:type="dxa" w:w="80"/>
              <w:right w:type="dxa" w:w="100"/>
            </w:tcMar>
            <w:vAlign w:val="center"/>
          </w:tcPr>
          <w:p>
            <w:r>
              <w:rPr>
                <w:b w:val="false"/>
                <w:bCs w:val="false"/>
                <w:color w:val="1A1A1A"/>
                <w:sz w:val="19"/>
                <w:szCs w:val="19"/>
              </w:rPr>
              <w:t xml:space="preserve"/>
            </w:r>
          </w:p>
        </w:tc>
      </w:tr>
      <w:tr>
        <w:tc>
          <w:tcPr>
            <w:tcW w:type="dxa" w:w="2400"/>
            <w:shd w:fill="F2F2F2" w:val="clear"/>
            <w:tcMar>
              <w:top w:type="dxa" w:w="80"/>
              <w:left w:type="dxa" w:w="100"/>
              <w:bottom w:type="dxa" w:w="80"/>
              <w:right w:type="dxa" w:w="100"/>
            </w:tcMar>
            <w:vAlign w:val="center"/>
          </w:tcPr>
          <w:p>
            <w:r>
              <w:rPr>
                <w:b w:val="false"/>
                <w:bCs w:val="false"/>
                <w:color w:val="1A1A1A"/>
                <w:sz w:val="19"/>
                <w:szCs w:val="19"/>
              </w:rPr>
              <w:t xml:space="preserve">Applicant (if different)</w:t>
            </w:r>
          </w:p>
        </w:tc>
        <w:tc>
          <w:tcPr>
            <w:tcW w:type="dxa" w:w="2400"/>
            <w:shd w:fill="F2F2F2" w:val="clear"/>
            <w:tcMar>
              <w:top w:type="dxa" w:w="80"/>
              <w:left w:type="dxa" w:w="100"/>
              <w:bottom w:type="dxa" w:w="80"/>
              <w:right w:type="dxa" w:w="100"/>
            </w:tcMar>
            <w:vAlign w:val="center"/>
          </w:tcPr>
          <w:p>
            <w:r>
              <w:rPr>
                <w:b w:val="false"/>
                <w:bCs w:val="false"/>
                <w:color w:val="1A1A1A"/>
                <w:sz w:val="19"/>
                <w:szCs w:val="19"/>
              </w:rPr>
              <w:t xml:space="preserve"/>
            </w:r>
          </w:p>
        </w:tc>
        <w:tc>
          <w:tcPr>
            <w:tcW w:type="dxa" w:w="2400"/>
            <w:shd w:fill="F2F2F2" w:val="clear"/>
            <w:tcMar>
              <w:top w:type="dxa" w:w="80"/>
              <w:left w:type="dxa" w:w="100"/>
              <w:bottom w:type="dxa" w:w="80"/>
              <w:right w:type="dxa" w:w="100"/>
            </w:tcMar>
            <w:vAlign w:val="center"/>
          </w:tcPr>
          <w:p>
            <w:r>
              <w:rPr>
                <w:b w:val="false"/>
                <w:bCs w:val="false"/>
                <w:color w:val="1A1A1A"/>
                <w:sz w:val="19"/>
                <w:szCs w:val="19"/>
              </w:rPr>
              <w:t xml:space="preserve"/>
            </w:r>
          </w:p>
        </w:tc>
        <w:tc>
          <w:tcPr>
            <w:tcW w:type="dxa" w:w="2100"/>
            <w:shd w:fill="F2F2F2" w:val="clear"/>
            <w:tcMar>
              <w:top w:type="dxa" w:w="80"/>
              <w:left w:type="dxa" w:w="100"/>
              <w:bottom w:type="dxa" w:w="80"/>
              <w:right w:type="dxa" w:w="100"/>
            </w:tcMar>
            <w:vAlign w:val="center"/>
          </w:tcPr>
          <w:p>
            <w:r>
              <w:rPr>
                <w:b w:val="false"/>
                <w:bCs w:val="false"/>
                <w:color w:val="1A1A1A"/>
                <w:sz w:val="19"/>
                <w:szCs w:val="19"/>
              </w:rPr>
              <w:t xml:space="preserve"/>
            </w:r>
          </w:p>
        </w:tc>
      </w:tr>
      <w:tr>
        <w:tc>
          <w:tcPr>
            <w:tcW w:type="dxa" w:w="2400"/>
            <w:tcMar>
              <w:top w:type="dxa" w:w="80"/>
              <w:left w:type="dxa" w:w="100"/>
              <w:bottom w:type="dxa" w:w="80"/>
              <w:right w:type="dxa" w:w="100"/>
            </w:tcMar>
            <w:vAlign w:val="center"/>
          </w:tcPr>
          <w:p>
            <w:r>
              <w:rPr>
                <w:b w:val="false"/>
                <w:bCs w:val="false"/>
                <w:color w:val="1A1A1A"/>
                <w:sz w:val="19"/>
                <w:szCs w:val="19"/>
              </w:rPr>
              <w:t xml:space="preserve">Registered Patent Agent</w:t>
            </w:r>
          </w:p>
        </w:tc>
        <w:tc>
          <w:tcPr>
            <w:tcW w:type="dxa" w:w="2400"/>
            <w:tcMar>
              <w:top w:type="dxa" w:w="80"/>
              <w:left w:type="dxa" w:w="100"/>
              <w:bottom w:type="dxa" w:w="80"/>
              <w:right w:type="dxa" w:w="100"/>
            </w:tcMar>
            <w:vAlign w:val="center"/>
          </w:tcPr>
          <w:p>
            <w:r>
              <w:rPr>
                <w:b w:val="false"/>
                <w:bCs w:val="false"/>
                <w:color w:val="1A1A1A"/>
                <w:sz w:val="19"/>
                <w:szCs w:val="19"/>
              </w:rPr>
              <w:t xml:space="preserve"/>
            </w:r>
          </w:p>
        </w:tc>
        <w:tc>
          <w:tcPr>
            <w:tcW w:type="dxa" w:w="2400"/>
            <w:tcMar>
              <w:top w:type="dxa" w:w="80"/>
              <w:left w:type="dxa" w:w="100"/>
              <w:bottom w:type="dxa" w:w="80"/>
              <w:right w:type="dxa" w:w="100"/>
            </w:tcMar>
            <w:vAlign w:val="center"/>
          </w:tcPr>
          <w:p>
            <w:r>
              <w:rPr>
                <w:b w:val="false"/>
                <w:bCs w:val="false"/>
                <w:color w:val="1A1A1A"/>
                <w:sz w:val="19"/>
                <w:szCs w:val="19"/>
              </w:rPr>
              <w:t xml:space="preserve"/>
            </w:r>
          </w:p>
        </w:tc>
        <w:tc>
          <w:tcPr>
            <w:tcW w:type="dxa" w:w="2100"/>
            <w:tcMar>
              <w:top w:type="dxa" w:w="80"/>
              <w:left w:type="dxa" w:w="100"/>
              <w:bottom w:type="dxa" w:w="80"/>
              <w:right w:type="dxa" w:w="100"/>
            </w:tcMar>
            <w:vAlign w:val="center"/>
          </w:tcPr>
          <w:p>
            <w:r>
              <w:rPr>
                <w:b w:val="false"/>
                <w:bCs w:val="false"/>
                <w:color w:val="1A1A1A"/>
                <w:sz w:val="19"/>
                <w:szCs w:val="19"/>
              </w:rPr>
              <w:t xml:space="preserve"/>
            </w:r>
          </w:p>
        </w:tc>
      </w:tr>
    </w:tbl>
    <w:p>
      <w:pPr>
        <w:spacing w:before="400"/>
        <w:jc w:val="center"/>
      </w:pPr>
      <w:r>
        <w:rPr>
          <w:i/>
          <w:iCs/>
          <w:color w:val="888888"/>
          <w:sz w:val="20"/>
          <w:szCs w:val="20"/>
        </w:rPr>
        <w:t xml:space="preserve">— End of Draft Specification —</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5"/>
        <w:szCs w:val="15"/>
      </w:rPr>
      <w:t xml:space="preserve">Page </w:t>
    </w:r>
    <w:r>
      <w:rPr>
        <w:color w:val="888888"/>
        <w:sz w:val="15"/>
        <w:szCs w:val="15"/>
      </w:rPr>
      <w:fldChar w:fldCharType="begin"/>
      <w:instrText xml:space="preserve">PAGE</w:instrText>
      <w:fldChar w:fldCharType="separate"/>
      <w:fldChar w:fldCharType="end"/>
    </w:r>
    <w:r>
      <w:rPr>
        <w:color w:val="888888"/>
        <w:sz w:val="15"/>
        <w:szCs w:val="15"/>
      </w:rPr>
      <w:t xml:space="preserve"> of </w:t>
    </w:r>
    <w:r>
      <w:rPr>
        <w:color w:val="888888"/>
        <w:sz w:val="15"/>
        <w:szCs w:val="15"/>
      </w:rPr>
      <w:fldChar w:fldCharType="begin"/>
      <w:instrText xml:space="preserve">NUMPAGES</w:instrText>
      <w:fldChar w:fldCharType="separate"/>
      <w:fldChar w:fldCharType="end"/>
    </w:r>
    <w:r>
      <w:rPr>
        <w:color w:val="888888"/>
        <w:sz w:val="15"/>
        <w:szCs w:val="15"/>
      </w:rPr>
      <w:t xml:space="preserve">  |  Confidential Draft — Not for Filing Without Patent Agent Review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4"/>
        <w:szCs w:val="14"/>
      </w:rPr>
      <w:t xml:space="preserve">Patent Specification — DRAFT — Not Filed — For Patent Agent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0994fe71e60ccc1dab45b47bef8d01553440d45.png"/><Relationship Id="rId10" Type="http://schemas.openxmlformats.org/officeDocument/2006/relationships/image" Target="media/6171d09a73b5e66eaaa6e0d7d127315eaeb3647a.png"/><Relationship Id="rId11" Type="http://schemas.openxmlformats.org/officeDocument/2006/relationships/image" Target="media/801cf82462fdd4747b44a18c562da17a653dd45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Patent Specification (Draft) — SafarSetu Unified Transport and Event-Logistics System</dc:title>
  <dc:creator>Claude (Anthropic)</dc:creator>
  <dc:description>Draft patent specification prepared to support engagement of a Registered Patent Agent. Not a filed document.</dc:description>
  <cp:lastModifiedBy>Un-named</cp:lastModifiedBy>
  <cp:revision>1</cp:revision>
  <dcterms:created xsi:type="dcterms:W3CDTF">2026-08-04T18:21:33.364Z</dcterms:created>
  <dcterms:modified xsi:type="dcterms:W3CDTF">2026-08-04T18:21:33.381Z</dcterms:modified>
</cp:coreProperties>
</file>

<file path=docProps/custom.xml><?xml version="1.0" encoding="utf-8"?>
<Properties xmlns="http://schemas.openxmlformats.org/officeDocument/2006/custom-properties" xmlns:vt="http://schemas.openxmlformats.org/officeDocument/2006/docPropsVTypes"/>
</file>