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2026-03-30 17:43:02</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demonstrates a robust financial profile, characterized by efficient operations and strong profitability. The company appears well-positioned for sustained performance, though a comprehensive understanding of its market dynamics and risk management practices is crucial for long-term strategic planning.</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exhibits substantial revenue generation capabilities, suggesting a well-established market presence. This assessment is justified by the significant revenue figures observed in the financial data.</w:t>
      </w:r>
    </w:p>
    <w:p>
      <w:pPr>
        <w:pStyle w:val="ListBullet"/>
        <w:spacing w:after="120"/>
        <w:ind w:left="720"/>
      </w:pPr>
      <w:r>
        <w:t>Cost Management Approach</w:t>
      </w:r>
    </w:p>
    <w:p>
      <w:pPr>
        <w:spacing w:after="120" w:line="276" w:lineRule="auto"/>
      </w:pPr>
      <w:r>
        <w:t>The company demonstrates an efficient cost management approach, indicative of effective operational controls. This efficiency assessment is justified by the operational margin patterns observed in financial data, suggesting a strong ability to manage expenses relative to revenue.</w:t>
      </w:r>
    </w:p>
    <w:p>
      <w:pPr>
        <w:pStyle w:val="ListBullet"/>
        <w:spacing w:after="120"/>
        <w:ind w:left="720"/>
      </w:pPr>
      <w:r>
        <w:t>Profit Sustainability</w:t>
      </w:r>
    </w:p>
    <w:p>
      <w:pPr>
        <w:spacing w:after="120" w:line="276" w:lineRule="auto"/>
      </w:pPr>
      <w:r>
        <w:t>Profit sustainability appears strong, supported by healthy net income levels. This is evidenced by the net margin, which indicates a significant portion of revenue translating into net profit.</w:t>
      </w:r>
    </w:p>
    <w:p>
      <w:pPr>
        <w:pStyle w:val="Heading1"/>
      </w:pPr>
      <w:r>
        <w:t>2.0 OPERATIONAL STABILITY</w:t>
      </w:r>
    </w:p>
    <w:p>
      <w:pPr>
        <w:pStyle w:val="ListBullet"/>
        <w:spacing w:after="120"/>
        <w:ind w:left="720"/>
      </w:pPr>
      <w:r>
        <w:t>Business Resilience Factors</w:t>
      </w:r>
    </w:p>
    <w:p>
      <w:pPr>
        <w:spacing w:after="120" w:line="276" w:lineRule="auto"/>
      </w:pPr>
      <w:r>
        <w:t>The stability analysis suggests a resilient business model, capable of maintaining profitability even under potential market pressures. This resilience is evidenced by the company's ability to generate consistent profits.</w:t>
      </w:r>
    </w:p>
    <w:p>
      <w:pPr>
        <w:pStyle w:val="ListBullet"/>
        <w:spacing w:after="120"/>
        <w:ind w:left="720"/>
      </w:pPr>
      <w:r>
        <w:t>Resource Management Effectiveness</w:t>
      </w:r>
    </w:p>
    <w:p>
      <w:pPr>
        <w:spacing w:after="120" w:line="276" w:lineRule="auto"/>
      </w:pPr>
      <w:r>
        <w:t>Resource management appears effective, contributing to the company's overall financial health. This is supported by the efficient utilization of assets, as evidenced by the return on assets.</w:t>
      </w:r>
    </w:p>
    <w:p>
      <w:pPr>
        <w:pStyle w:val="ListBullet"/>
        <w:spacing w:after="120"/>
        <w:ind w:left="720"/>
      </w:pPr>
      <w:r>
        <w:t>Financial Flexibility</w:t>
      </w:r>
    </w:p>
    <w:p>
      <w:pPr>
        <w:spacing w:after="120" w:line="276" w:lineRule="auto"/>
      </w:pPr>
      <w:r>
        <w:t>DaVita exhibits financial flexibility, allowing it to adapt to changing market conditions and pursue strategic opportunities. This flexibility is suggested by the company's ability to generate profits from its equity.</w:t>
      </w:r>
    </w:p>
    <w:p>
      <w:pPr>
        <w:pStyle w:val="Heading1"/>
      </w:pPr>
      <w:r>
        <w:t>3.0 GROWTH TRAJECTORY</w:t>
      </w:r>
    </w:p>
    <w:p>
      <w:pPr>
        <w:pStyle w:val="ListBullet"/>
        <w:spacing w:after="120"/>
        <w:ind w:left="720"/>
      </w:pPr>
      <w:r>
        <w:t>Expansion Potential</w:t>
      </w:r>
    </w:p>
    <w:p>
      <w:pPr>
        <w:spacing w:after="120" w:line="276" w:lineRule="auto"/>
      </w:pPr>
      <w:r>
        <w:t>The company demonstrates expansion potential, supported by its strong financial performance. This potential is evidenced by the company's ability to generate revenue and profits.</w:t>
      </w:r>
    </w:p>
    <w:p>
      <w:pPr>
        <w:pStyle w:val="ListBullet"/>
        <w:spacing w:after="120"/>
        <w:ind w:left="720"/>
      </w:pPr>
      <w:r>
        <w:t>Market Position Advancement</w:t>
      </w:r>
    </w:p>
    <w:p>
      <w:pPr>
        <w:spacing w:after="120" w:line="276" w:lineRule="auto"/>
      </w:pPr>
      <w:r>
        <w:t>DaVita is well-positioned for market position advancement, leveraging its financial strengths to gain a competitive edge. This positioning is supported by the company's strong revenue generation capabilities.</w:t>
      </w:r>
    </w:p>
    <w:p>
      <w:pPr>
        <w:pStyle w:val="ListBullet"/>
        <w:spacing w:after="120"/>
        <w:ind w:left="720"/>
      </w:pPr>
      <w:r>
        <w:t>Strategic Growth Capabilities</w:t>
      </w:r>
    </w:p>
    <w:p>
      <w:pPr>
        <w:spacing w:after="120" w:line="276" w:lineRule="auto"/>
      </w:pPr>
      <w:r>
        <w:t>Strategic growth capabilities appear robust, enabling the company to capitalize on emerging market opportunities. This is evidenced by the company's ability to generate profits from its assets and equity.</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compares favorably within its competitive landscape, as evidenced by the relative positioning in financial health indicators.</w:t>
      </w:r>
    </w:p>
    <w:p>
      <w:pPr>
        <w:pStyle w:val="ListBullet"/>
        <w:spacing w:after="120"/>
        <w:ind w:left="720"/>
      </w:pPr>
      <w:r>
        <w:t>Risk Management Capabilities</w:t>
      </w:r>
    </w:p>
    <w:p>
      <w:pPr>
        <w:spacing w:after="120" w:line="276" w:lineRule="auto"/>
      </w:pPr>
      <w:r>
        <w:t>Risk assessment indicates effective risk management capabilities, based on the company's financial structure and operational efficiency.</w:t>
      </w:r>
    </w:p>
    <w:p>
      <w:pPr>
        <w:pStyle w:val="ListBullet"/>
        <w:spacing w:after="120"/>
        <w:ind w:left="720"/>
      </w:pPr>
      <w:r>
        <w:t>Strategic Financial Advantages</w:t>
      </w:r>
    </w:p>
    <w:p>
      <w:pPr>
        <w:spacing w:after="120" w:line="276" w:lineRule="auto"/>
      </w:pPr>
      <w:r>
        <w:t>Strategic financial advantages are evident, providing a solid foundation for sustained growth and market leadership. This is supported by the company's ability to generate revenue and profits.</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and maximizing profitability. This priority is based on the identified patterns in financial performance metrics.</w:t>
      </w:r>
    </w:p>
    <w:p>
      <w:pPr>
        <w:pStyle w:val="ListBullet"/>
        <w:spacing w:after="120"/>
        <w:ind w:left="720"/>
      </w:pPr>
      <w:r>
        <w:t>Investment Considerations</w:t>
      </w:r>
    </w:p>
    <w:p>
      <w:pPr>
        <w:spacing w:after="120" w:line="276" w:lineRule="auto"/>
      </w:pPr>
      <w:r>
        <w:t>Investment considerations should emphasize strategic initiatives that enhance market position and drive long-term growth. This recommendation is based on the company's strong revenue generation capabilities.</w:t>
      </w:r>
    </w:p>
    <w:p>
      <w:pPr>
        <w:pStyle w:val="ListBullet"/>
        <w:spacing w:after="120"/>
        <w:ind w:left="720"/>
      </w:pPr>
      <w:r>
        <w:t>Risk Mitigation Strategies</w:t>
      </w:r>
    </w:p>
    <w:p>
      <w:pPr>
        <w:spacing w:after="120" w:line="276" w:lineRule="auto"/>
      </w:pPr>
      <w:r>
        <w:t>Risk mitigation strategies should address potential market and operational challenges, ensuring business continuity and financial stability. This strategy is based on the need to maintain the company's strong financial health.</w:t>
      </w:r>
    </w:p>
    <w:p>
      <w:pPr>
        <w:spacing w:after="120" w:line="276" w:lineRule="auto"/>
      </w:pPr>
      <w:r>
        <w:t>DaVita demonstrates a strong financial position, characterized by efficient operations, robust profitability, and strategic growth capabilities. Continued focus on financial management priorities, strategic investments, and risk mitigation strategies will be crucial for sustaining long-term success and maintaining a competitive edge in the market.</w:t>
      </w:r>
    </w:p>
    <w:p>
      <w:pPr>
        <w:pStyle w:val="ListNumber"/>
        <w:spacing w:after="120"/>
        <w:ind w:left="720"/>
      </w:pPr>
      <w:r>
        <w:t>1. Based on comprehensive financial ratio analysis of Davita, the company exhibits strong profitability and operational efficiency.</w:t>
      </w:r>
    </w:p>
    <w:p>
      <w:pPr>
        <w:pStyle w:val="ListNumber"/>
        <w:spacing w:after="120"/>
        <w:ind w:left="720"/>
      </w:pPr>
      <w:r>
        <w:t>2. This efficiency assessment is justified by the operational margin patterns observed in financial data, suggesting a strong ability to manage expenses relative to revenue.</w:t>
      </w:r>
    </w:p>
    <w:p>
      <w:pPr>
        <w:pStyle w:val="ListNumber"/>
        <w:spacing w:after="120"/>
        <w:ind w:left="720"/>
      </w:pPr>
      <w:r>
        <w:t>3. As evidenced by the relative positioning in financial health indicators, DaVita's financial stability compares favorably within its competitive landscape.</w:t>
      </w:r>
    </w:p>
    <w:p>
      <w:pPr>
        <w:pStyle w:val="ListNumber"/>
        <w:spacing w:after="120"/>
        <w:ind w:left="720"/>
      </w:pPr>
      <w:r>
        <w:t>4. The stability analysis suggests a resilient business model, capable of maintaining profitability even under potential market pressures.</w:t>
      </w:r>
    </w:p>
    <w:p>
      <w:pPr>
        <w:pStyle w:val="ListNumber"/>
        <w:spacing w:after="120"/>
        <w:ind w:left="720"/>
      </w:pPr>
      <w:r>
        <w:t>5. Risk assessment indicates effective risk management capabilities, based on the company's financial structure and operational efficiency.</w:t>
      </w:r>
    </w:p>
    <w:p>
      <w:pPr>
        <w:pStyle w:val="ListNumber"/>
        <w:spacing w:after="120"/>
        <w:ind w:left="720"/>
      </w:pPr>
      <w:r>
        <w:t>6. This priority is based on the identified patterns in financial performance metrics, emphasizing the need to maintain operational efficiency and maximize profitability.</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2026-03-30 17:43:02</w:t>
      </w:r>
    </w:p>
    <w:p>
      <w:pPr>
        <w:spacing w:after="120"/>
      </w:pPr>
      <w:r>
        <w:rPr>
          <w:b/>
          <w:color w:val="000080"/>
        </w:rPr>
        <w:t xml:space="preserve">Session ID: </w:t>
      </w:r>
      <w:r>
        <w:t>0040bcd4-b49b-4d95-a61a-be48dae8b4d0</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