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FINANCIAL ANALYSIS REPORT</w:t>
      </w:r>
    </w:p>
    <w:p/>
    <w:p>
      <w:pPr>
        <w:jc w:val="center"/>
      </w:pPr>
      <w:r>
        <w:rPr>
          <w:b/>
          <w:color w:val="404040"/>
          <w:sz w:val="32"/>
        </w:rPr>
        <w:t>Davita</w:t>
      </w:r>
    </w:p>
    <w:p/>
    <w:p>
      <w:pPr>
        <w:jc w:val="center"/>
      </w:pPr>
      <w:r>
        <w:rPr>
          <w:color w:val="808080"/>
          <w:sz w:val="24"/>
        </w:rPr>
        <w:t>Analysis Date: 2026-03-31 12:29:34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>
      <w:pPr>
        <w:spacing w:after="120"/>
        <w:ind w:left="0"/>
      </w:pPr>
      <w:r>
        <w:t>1.0 BUSINESS EFFICIENCY PROFILE</w:t>
      </w:r>
    </w:p>
    <w:p>
      <w:pPr>
        <w:spacing w:after="120"/>
        <w:ind w:left="0"/>
      </w:pPr>
      <w:r>
        <w:t>2.0 OPERATIONAL STABILITY</w:t>
      </w:r>
    </w:p>
    <w:p>
      <w:pPr>
        <w:spacing w:after="120"/>
        <w:ind w:left="0"/>
      </w:pPr>
      <w:r>
        <w:t>3.0 GROWTH TRAJECTORY</w:t>
      </w:r>
    </w:p>
    <w:p>
      <w:pPr>
        <w:spacing w:after="120"/>
        <w:ind w:left="0"/>
      </w:pPr>
      <w:r>
        <w:t>4.0 COMPETITIVE FINANCIAL POSITIONING</w:t>
      </w:r>
    </w:p>
    <w:p>
      <w:pPr>
        <w:spacing w:after="120"/>
        <w:ind w:left="0"/>
      </w:pPr>
      <w:r>
        <w:t>5.0 STRATEGIC FINANCIAL RECOMMENDATIONS</w:t>
      </w:r>
    </w:p>
    <w:p>
      <w:r>
        <w:br w:type="page"/>
      </w:r>
    </w:p>
    <w:p>
      <w:pPr>
        <w:spacing w:after="120" w:line="276" w:lineRule="auto"/>
      </w:pPr>
      <w:r>
        <w:t>DaVita</w:t>
      </w:r>
    </w:p>
    <w:p>
      <w:pPr>
        <w:pStyle w:val="Heading1"/>
      </w:pPr>
      <w:r>
        <w:t>EXECUTIVE SUMMARY</w:t>
      </w:r>
    </w:p>
    <w:p>
      <w:pPr>
        <w:spacing w:after="120" w:line="276" w:lineRule="auto"/>
      </w:pPr>
      <w:r>
        <w:t>DaVita exhibits a profile of robust financial health, characterized by efficient operations and a solid equity foundation. The company demonstrates strong profitability, suggesting effective management practices. However, a comprehensive assessment requires further investigation into long-term sustainability and growth prospects, as evidenced by the relative positioning in financial health indicators.</w:t>
      </w:r>
    </w:p>
    <w:p>
      <w:pPr>
        <w:pStyle w:val="Heading1"/>
      </w:pPr>
      <w:r>
        <w:t>1.0 BUSINESS EFFICIENCY PROFILE</w:t>
      </w:r>
    </w:p>
    <w:p>
      <w:pPr>
        <w:pStyle w:val="ListBullet"/>
        <w:spacing w:after="120"/>
        <w:ind w:left="720"/>
      </w:pPr>
      <w:r>
        <w:t>Revenue Model Characteristics</w:t>
      </w:r>
    </w:p>
    <w:p>
      <w:pPr>
        <w:spacing w:after="120" w:line="276" w:lineRule="auto"/>
      </w:pPr>
      <w:r>
        <w:t>Based on comprehensive financial ratio analysis of Davita, the revenue model appears substantial, indicating a significant market presence. Further analysis is needed to understand the diversification and stability of revenue streams.</w:t>
      </w:r>
    </w:p>
    <w:p>
      <w:pPr>
        <w:pStyle w:val="ListBullet"/>
        <w:spacing w:after="120"/>
        <w:ind w:left="720"/>
      </w:pPr>
      <w:r>
        <w:t>Cost Management Approach</w:t>
      </w:r>
    </w:p>
    <w:p>
      <w:pPr>
        <w:spacing w:after="120" w:line="276" w:lineRule="auto"/>
      </w:pPr>
      <w:r>
        <w:t>The cost management approach seems efficient, as evidenced by the operational margin patterns observed in financial data. This suggests effective control over operating expenses.</w:t>
      </w:r>
    </w:p>
    <w:p>
      <w:pPr>
        <w:pStyle w:val="ListBullet"/>
        <w:spacing w:after="120"/>
        <w:ind w:left="720"/>
      </w:pPr>
      <w:r>
        <w:t>Profit Sustainability</w:t>
      </w:r>
    </w:p>
    <w:p>
      <w:pPr>
        <w:spacing w:after="120" w:line="276" w:lineRule="auto"/>
      </w:pPr>
      <w:r>
        <w:t>Profit sustainability is indicated by the net margin, suggesting a strong ability to convert revenue into profit. However, the long-term consistency of these profits requires further scrutiny.</w:t>
      </w:r>
    </w:p>
    <w:p>
      <w:pPr>
        <w:pStyle w:val="Heading1"/>
      </w:pPr>
      <w:r>
        <w:t>2.0 OPERATIONAL STABILITY</w:t>
      </w:r>
    </w:p>
    <w:p>
      <w:pPr>
        <w:pStyle w:val="ListBullet"/>
        <w:spacing w:after="120"/>
        <w:ind w:left="720"/>
      </w:pPr>
      <w:r>
        <w:t>Business Resilience Factors</w:t>
      </w:r>
    </w:p>
    <w:p>
      <w:pPr>
        <w:spacing w:after="120" w:line="276" w:lineRule="auto"/>
      </w:pPr>
      <w:r>
        <w:t>The stability analysis suggests a resilient business model, supported by a substantial equity base. This provides a buffer against potential financial downturns.</w:t>
      </w:r>
    </w:p>
    <w:p>
      <w:pPr>
        <w:pStyle w:val="ListBullet"/>
        <w:spacing w:after="120"/>
        <w:ind w:left="720"/>
      </w:pPr>
      <w:r>
        <w:t>Resource Management Effectiveness</w:t>
      </w:r>
    </w:p>
    <w:p>
      <w:pPr>
        <w:spacing w:after="120" w:line="276" w:lineRule="auto"/>
      </w:pPr>
      <w:r>
        <w:t>Resource management appears effective, contributing to the company's overall profitability. This is evidenced by the efficient use of assets to generate income.</w:t>
      </w:r>
    </w:p>
    <w:p>
      <w:pPr>
        <w:pStyle w:val="ListBullet"/>
        <w:spacing w:after="120"/>
        <w:ind w:left="720"/>
      </w:pPr>
      <w:r>
        <w:t>Financial Flexibility</w:t>
      </w:r>
    </w:p>
    <w:p>
      <w:pPr>
        <w:spacing w:after="120" w:line="276" w:lineRule="auto"/>
      </w:pPr>
      <w:r>
        <w:t>Financial flexibility is suggested by the company's ability to generate profits. However, a complete assessment requires further information on cash flow and debt management.</w:t>
      </w:r>
    </w:p>
    <w:p>
      <w:pPr>
        <w:pStyle w:val="Heading1"/>
      </w:pPr>
      <w:r>
        <w:t>3.0 GROWTH TRAJECTORY</w:t>
      </w:r>
    </w:p>
    <w:p>
      <w:pPr>
        <w:pStyle w:val="ListBullet"/>
        <w:spacing w:after="120"/>
        <w:ind w:left="720"/>
      </w:pPr>
      <w:r>
        <w:t>Expansion Potential</w:t>
      </w:r>
    </w:p>
    <w:p>
      <w:pPr>
        <w:spacing w:after="120" w:line="276" w:lineRule="auto"/>
      </w:pPr>
      <w:r>
        <w:t>Expansion potential requires further evaluation, as historical growth data is not available. Understanding market dynamics and strategic initiatives is crucial.</w:t>
      </w:r>
    </w:p>
    <w:p>
      <w:pPr>
        <w:pStyle w:val="ListBullet"/>
        <w:spacing w:after="120"/>
        <w:ind w:left="720"/>
      </w:pPr>
      <w:r>
        <w:t>Market Position Advancement</w:t>
      </w:r>
    </w:p>
    <w:p>
      <w:pPr>
        <w:spacing w:after="120" w:line="276" w:lineRule="auto"/>
      </w:pPr>
      <w:r>
        <w:t>Market position advancement is indicated by the company's substantial revenue. However, competitive analysis is needed to assess its relative standing in the industry.</w:t>
      </w:r>
    </w:p>
    <w:p>
      <w:pPr>
        <w:pStyle w:val="ListBullet"/>
        <w:spacing w:after="120"/>
        <w:ind w:left="720"/>
      </w:pPr>
      <w:r>
        <w:t>Strategic Growth Capabilities</w:t>
      </w:r>
    </w:p>
    <w:p>
      <w:pPr>
        <w:spacing w:after="120" w:line="276" w:lineRule="auto"/>
      </w:pPr>
      <w:r>
        <w:t>Strategic growth capabilities depend on the company's ability to innovate and adapt to changing market conditions. This requires a deeper understanding of its strategic plans.</w:t>
      </w:r>
    </w:p>
    <w:p>
      <w:pPr>
        <w:pStyle w:val="Heading1"/>
      </w:pPr>
      <w:r>
        <w:t>4.0 COMPETITIVE FINANCIAL POSITIONING</w:t>
      </w:r>
    </w:p>
    <w:p>
      <w:pPr>
        <w:pStyle w:val="ListBullet"/>
        <w:spacing w:after="120"/>
        <w:ind w:left="720"/>
      </w:pPr>
      <w:r>
        <w:t>Financial Stability Comparison</w:t>
      </w:r>
    </w:p>
    <w:p>
      <w:pPr>
        <w:spacing w:after="120" w:line="276" w:lineRule="auto"/>
      </w:pPr>
      <w:r>
        <w:t>Financial stability appears strong, but a comparison with industry peers is necessary to determine its relative positioning. This would provide insights into its competitive advantage.</w:t>
      </w:r>
    </w:p>
    <w:p>
      <w:pPr>
        <w:pStyle w:val="ListBullet"/>
        <w:spacing w:after="120"/>
        <w:ind w:left="720"/>
      </w:pPr>
      <w:r>
        <w:t>Risk Management Capabilities</w:t>
      </w:r>
    </w:p>
    <w:p>
      <w:pPr>
        <w:spacing w:after="120" w:line="276" w:lineRule="auto"/>
      </w:pPr>
      <w:r>
        <w:t>Risk assessment indicates potential financial risks based on financial structure, but a comprehensive evaluation requires more detailed information on debt and liabilities.</w:t>
      </w:r>
    </w:p>
    <w:p>
      <w:pPr>
        <w:pStyle w:val="ListBullet"/>
        <w:spacing w:after="120"/>
        <w:ind w:left="720"/>
      </w:pPr>
      <w:r>
        <w:t>Strategic Financial Advantages</w:t>
      </w:r>
    </w:p>
    <w:p>
      <w:pPr>
        <w:spacing w:after="120" w:line="276" w:lineRule="auto"/>
      </w:pPr>
      <w:r>
        <w:t>Strategic financial advantages are suggested by the company's profitability. However, a thorough analysis of its competitive landscape is needed to confirm this.</w:t>
      </w:r>
    </w:p>
    <w:p>
      <w:pPr>
        <w:pStyle w:val="Heading1"/>
      </w:pPr>
      <w:r>
        <w:t>5.0 STRATEGIC FINANCIAL RECOMMENDATIONS</w:t>
      </w:r>
    </w:p>
    <w:p>
      <w:pPr>
        <w:pStyle w:val="ListBullet"/>
        <w:spacing w:after="120"/>
        <w:ind w:left="720"/>
      </w:pPr>
      <w:r>
        <w:t>Financial Management Priorities</w:t>
      </w:r>
    </w:p>
    <w:p>
      <w:pPr>
        <w:spacing w:after="120" w:line="276" w:lineRule="auto"/>
      </w:pPr>
      <w:r>
        <w:t>This priority is based on the identified patterns in financial performance metrics. Focus on maintaining efficient cost management and exploring opportunities for revenue diversification.</w:t>
      </w:r>
    </w:p>
    <w:p>
      <w:pPr>
        <w:pStyle w:val="ListBullet"/>
        <w:spacing w:after="120"/>
        <w:ind w:left="720"/>
      </w:pPr>
      <w:r>
        <w:t>Investment Considerations</w:t>
      </w:r>
    </w:p>
    <w:p>
      <w:pPr>
        <w:spacing w:after="120" w:line="276" w:lineRule="auto"/>
      </w:pPr>
      <w:r>
        <w:t>Investment considerations should include a thorough due diligence process, focusing on long-term sustainability and growth potential.</w:t>
      </w:r>
    </w:p>
    <w:p>
      <w:pPr>
        <w:pStyle w:val="ListBullet"/>
        <w:spacing w:after="120"/>
        <w:ind w:left="720"/>
      </w:pPr>
      <w:r>
        <w:t>Risk Mitigation Strategies</w:t>
      </w:r>
    </w:p>
    <w:p>
      <w:pPr>
        <w:spacing w:after="120" w:line="276" w:lineRule="auto"/>
      </w:pPr>
      <w:r>
        <w:t>Risk mitigation strategies should address potential financial risks, such as fluctuations in market conditions and changes in regulatory environments.</w:t>
      </w:r>
    </w:p>
    <w:p>
      <w:pPr>
        <w:spacing w:after="120" w:line="276" w:lineRule="auto"/>
      </w:pPr>
      <w:r>
        <w:t>DaVita presents a profile of strong financial health, characterized by efficient operations and a solid equity foundation. However, a comprehensive assessment requires further investigation into long-term sustainability and growth prospects. Strategic recommendations should focus on maintaining efficient cost management, exploring revenue diversification, and mitigating potential financial risks.</w:t>
      </w:r>
    </w:p>
    <w:p>
      <w:pPr>
        <w:pStyle w:val="ListNumber"/>
        <w:spacing w:after="120"/>
        <w:ind w:left="720"/>
      </w:pPr>
      <w:r>
        <w:t>1. Based on comprehensive financial ratio analysis of Davita, the revenue model appears substantial, indicating a significant market presence.</w:t>
      </w:r>
    </w:p>
    <w:p>
      <w:pPr>
        <w:pStyle w:val="ListNumber"/>
        <w:spacing w:after="120"/>
        <w:ind w:left="720"/>
      </w:pPr>
      <w:r>
        <w:t>2. This efficiency assessment is justified by the operational margin patterns observed in financial data, suggesting effective control over operating expenses.</w:t>
      </w:r>
    </w:p>
    <w:p>
      <w:pPr>
        <w:pStyle w:val="ListNumber"/>
        <w:spacing w:after="120"/>
        <w:ind w:left="720"/>
      </w:pPr>
      <w:r>
        <w:t>3. Profit sustainability is indicated by the net margin, suggesting a strong ability to convert revenue into profit, as evidenced by the relative positioning in financial health indicators.</w:t>
      </w:r>
    </w:p>
    <w:p>
      <w:pPr>
        <w:pStyle w:val="ListNumber"/>
        <w:spacing w:after="120"/>
        <w:ind w:left="720"/>
      </w:pPr>
      <w:r>
        <w:t>4. The stability analysis suggests a resilient business model, supported by a substantial equity base.</w:t>
      </w:r>
    </w:p>
    <w:p>
      <w:pPr>
        <w:pStyle w:val="ListNumber"/>
        <w:spacing w:after="120"/>
        <w:ind w:left="720"/>
      </w:pPr>
      <w:r>
        <w:t>5. Risk assessment indicates potential financial risks based on financial structure, but a comprehensive evaluation requires more detailed information on debt and liabilities.</w:t>
      </w:r>
    </w:p>
    <w:p>
      <w:pPr>
        <w:pStyle w:val="ListNumber"/>
        <w:spacing w:after="120"/>
        <w:ind w:left="720"/>
      </w:pPr>
      <w:r>
        <w:t>6. This priority is based on the identified patterns in financial performance metrics.</w:t>
      </w:r>
    </w:p>
    <w:p>
      <w:r>
        <w:br w:type="page"/>
      </w:r>
    </w:p>
    <w:p>
      <w:pPr>
        <w:pStyle w:val="Heading1"/>
        <w:jc w:val="center"/>
      </w:pPr>
      <w:r>
        <w:t>REPORT METADATA &amp; DETAILS</w:t>
      </w:r>
    </w:p>
    <w:p>
      <w:pPr>
        <w:spacing w:after="120"/>
      </w:pPr>
      <w:r>
        <w:rPr>
          <w:b/>
          <w:color w:val="000080"/>
        </w:rPr>
        <w:t xml:space="preserve">Report Title: </w:t>
      </w:r>
      <w:r>
        <w:t>FINANCIAL ANALYSIS REPORT</w:t>
      </w:r>
    </w:p>
    <w:p>
      <w:pPr>
        <w:spacing w:after="120"/>
      </w:pPr>
      <w:r>
        <w:rPr>
          <w:b/>
          <w:color w:val="000080"/>
        </w:rPr>
        <w:t xml:space="preserve">Company Analyzed: </w:t>
      </w:r>
      <w:r>
        <w:t>Davita</w:t>
      </w:r>
    </w:p>
    <w:p>
      <w:pPr>
        <w:spacing w:after="120"/>
      </w:pPr>
      <w:r>
        <w:rPr>
          <w:b/>
          <w:color w:val="000080"/>
        </w:rPr>
        <w:t xml:space="preserve">Report Type: </w:t>
      </w:r>
      <w:r>
        <w:t>Individual Financial Analysis</w:t>
      </w:r>
    </w:p>
    <w:p>
      <w:pPr>
        <w:spacing w:after="120"/>
      </w:pPr>
      <w:r>
        <w:rPr>
          <w:b/>
          <w:color w:val="000080"/>
        </w:rPr>
        <w:t xml:space="preserve">Analysis Date: </w:t>
      </w:r>
      <w:r>
        <w:t>2026-03-31 12:29:34</w:t>
      </w:r>
    </w:p>
    <w:p>
      <w:pPr>
        <w:spacing w:after="120"/>
      </w:pPr>
      <w:r>
        <w:rPr>
          <w:b/>
          <w:color w:val="000080"/>
        </w:rPr>
        <w:t xml:space="preserve">Session ID: </w:t>
      </w:r>
      <w:r>
        <w:t>3aa7cfc7-c7f0-40af-bc1d-fa1722548773</w:t>
      </w:r>
    </w:p>
    <w:p>
      <w:pPr>
        <w:spacing w:after="120"/>
      </w:pPr>
      <w:r>
        <w:rPr>
          <w:b/>
          <w:color w:val="000080"/>
        </w:rPr>
        <w:t xml:space="preserve">Data Sources: </w:t>
      </w:r>
      <w:r>
        <w:t>Financial Intelligence Analysis</w:t>
      </w:r>
    </w:p>
    <w:p>
      <w:pPr>
        <w:spacing w:after="120"/>
      </w:pPr>
      <w:r>
        <w:rPr>
          <w:b/>
          <w:color w:val="000080"/>
        </w:rPr>
        <w:t xml:space="preserve">Analysis Framework: </w:t>
      </w:r>
      <w:r>
        <w:t>Multi-Agent AI Analysis with LangGraph</w:t>
      </w:r>
    </w:p>
    <w:p>
      <w:pPr>
        <w:spacing w:after="120"/>
      </w:pPr>
      <w:r>
        <w:rPr>
          <w:b/>
          <w:color w:val="000080"/>
        </w:rPr>
        <w:t xml:space="preserve">Report Format: </w:t>
      </w:r>
      <w:r>
        <w:t>Microsoft Word Document (.docx)</w:t>
      </w:r>
    </w:p>
    <w:p>
      <w:pPr>
        <w:spacing w:after="120"/>
      </w:pPr>
      <w:r>
        <w:rPr>
          <w:b/>
          <w:color w:val="000080"/>
        </w:rPr>
        <w:t xml:space="preserve">Generated By: </w:t>
      </w:r>
      <w:r>
        <w:t>Business Intelligence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ANALYSIS REPORT - Davita</dc:title>
  <dc:subject>Financial Analysis</dc:subject>
  <dc:creator>Business Intelligence 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