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2026-04-06 17:18:38</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pStyle w:val="Heading1"/>
      </w:pPr>
      <w:r>
        <w:t>EXECUTIVE SUMMARY</w:t>
      </w:r>
    </w:p>
    <w:p>
      <w:pPr>
        <w:spacing w:after="120" w:line="276" w:lineRule="auto"/>
      </w:pPr>
      <w:r>
        <w:t>DaVita demonstrates a financially sound profile, characterized by efficient operations and robust profitability. The company appears well-positioned for sustained performance, though a more comprehensive understanding of its debt structure and cash flow dynamics would further solidify this assessment. Based on available data, DaVita exhibits a strong capacity for value creation and operational effectiveness.</w:t>
      </w:r>
    </w:p>
    <w:p>
      <w:pPr>
        <w:pStyle w:val="Heading1"/>
      </w:pPr>
      <w:r>
        <w:t>1.0 BUSINESS EFFICIENCY PROFILE</w:t>
      </w:r>
    </w:p>
    <w:p>
      <w:pPr>
        <w:pStyle w:val="ListBullet"/>
        <w:spacing w:after="120"/>
        <w:ind w:left="720"/>
      </w:pPr>
      <w:r>
        <w:t>Revenue Model Characteristics</w:t>
      </w:r>
    </w:p>
    <w:p>
      <w:pPr>
        <w:spacing w:after="120" w:line="276" w:lineRule="auto"/>
      </w:pPr>
      <w:r>
        <w:t>DaVita's revenue model appears to be substantial, indicating a significant market presence. This assessment is justified by the substantial revenue figures observed in the financial data, suggesting a well-established revenue generation capability.</w:t>
      </w:r>
    </w:p>
    <w:p>
      <w:pPr>
        <w:pStyle w:val="ListBullet"/>
        <w:spacing w:after="120"/>
        <w:ind w:left="720"/>
      </w:pPr>
      <w:r>
        <w:t>Cost Management Approach</w:t>
      </w:r>
    </w:p>
    <w:p>
      <w:pPr>
        <w:spacing w:after="120" w:line="276" w:lineRule="auto"/>
      </w:pPr>
      <w:r>
        <w:t>The cost management approach seems efficient, as evidenced by the operating margin patterns observed in financial data. This suggests effective control over operational expenses relative to revenue.</w:t>
      </w:r>
    </w:p>
    <w:p>
      <w:pPr>
        <w:pStyle w:val="ListBullet"/>
        <w:spacing w:after="120"/>
        <w:ind w:left="720"/>
      </w:pPr>
      <w:r>
        <w:t>Profit Sustainability</w:t>
      </w:r>
    </w:p>
    <w:p>
      <w:pPr>
        <w:spacing w:after="120" w:line="276" w:lineRule="auto"/>
      </w:pPr>
      <w:r>
        <w:t>Profit sustainability appears strong, supported by the net margin patterns observed in financial data. This indicates a significant portion of revenue translating into profit after all expenses.</w:t>
      </w:r>
    </w:p>
    <w:p>
      <w:pPr>
        <w:pStyle w:val="Heading1"/>
      </w:pPr>
      <w:r>
        <w:t>2.0 OPERATIONAL STABILITY</w:t>
      </w:r>
    </w:p>
    <w:p>
      <w:pPr>
        <w:pStyle w:val="ListBullet"/>
        <w:spacing w:after="120"/>
        <w:ind w:left="720"/>
      </w:pPr>
      <w:r>
        <w:t>Business Resilience Factors</w:t>
      </w:r>
    </w:p>
    <w:p>
      <w:pPr>
        <w:spacing w:after="120" w:line="276" w:lineRule="auto"/>
      </w:pPr>
      <w:r>
        <w:t>The business resilience factors appear to be robust, as evidenced by the return on assets and return on equity. This suggests an effective use of assets and shareholder investment to generate profits.</w:t>
      </w:r>
    </w:p>
    <w:p>
      <w:pPr>
        <w:pStyle w:val="ListBullet"/>
        <w:spacing w:after="120"/>
        <w:ind w:left="720"/>
      </w:pPr>
      <w:r>
        <w:t>Resource Management Effectiveness</w:t>
      </w:r>
    </w:p>
    <w:p>
      <w:pPr>
        <w:spacing w:after="120" w:line="276" w:lineRule="auto"/>
      </w:pPr>
      <w:r>
        <w:t>Resource management effectiveness seems well-managed, as evidenced by the relative positioning in financial health indicators. This indicates efficient allocation and utilization of resources.</w:t>
      </w:r>
    </w:p>
    <w:p>
      <w:pPr>
        <w:pStyle w:val="ListBullet"/>
        <w:spacing w:after="120"/>
        <w:ind w:left="720"/>
      </w:pPr>
      <w:r>
        <w:t>Financial Flexibility</w:t>
      </w:r>
    </w:p>
    <w:p>
      <w:pPr>
        <w:spacing w:after="120" w:line="276" w:lineRule="auto"/>
      </w:pPr>
      <w:r>
        <w:t>Financial flexibility is tentatively assessed as adequate, pending further insights into debt obligations and cash reserves. The stability analysis suggests a need for a more detailed examination of liquidity to confirm this assessment.</w:t>
      </w:r>
    </w:p>
    <w:p>
      <w:pPr>
        <w:pStyle w:val="Heading1"/>
      </w:pPr>
      <w:r>
        <w:t>3.0 GROWTH TRAJECTORY</w:t>
      </w:r>
    </w:p>
    <w:p>
      <w:pPr>
        <w:pStyle w:val="ListBullet"/>
        <w:spacing w:after="120"/>
        <w:ind w:left="720"/>
      </w:pPr>
      <w:r>
        <w:t>Expansion Potential</w:t>
      </w:r>
    </w:p>
    <w:p>
      <w:pPr>
        <w:spacing w:after="120" w:line="276" w:lineRule="auto"/>
      </w:pPr>
      <w:r>
        <w:t>Expansion potential is difficult to fully assess without historical data, but the current market capitalization suggests a significant market presence that could support future growth.</w:t>
      </w:r>
    </w:p>
    <w:p>
      <w:pPr>
        <w:pStyle w:val="ListBullet"/>
        <w:spacing w:after="120"/>
        <w:ind w:left="720"/>
      </w:pPr>
      <w:r>
        <w:t>Market Position Advancement</w:t>
      </w:r>
    </w:p>
    <w:p>
      <w:pPr>
        <w:spacing w:after="120" w:line="276" w:lineRule="auto"/>
      </w:pPr>
      <w:r>
        <w:t>Market position advancement potential is present, as evidenced by the company's substantial revenue generation. This suggests a strong foundation for further market penetration and expansion.</w:t>
      </w:r>
    </w:p>
    <w:p>
      <w:pPr>
        <w:pStyle w:val="ListBullet"/>
        <w:spacing w:after="120"/>
        <w:ind w:left="720"/>
      </w:pPr>
      <w:r>
        <w:t>Strategic Growth Capabilities</w:t>
      </w:r>
    </w:p>
    <w:p>
      <w:pPr>
        <w:spacing w:after="120" w:line="276" w:lineRule="auto"/>
      </w:pPr>
      <w:r>
        <w:t>Strategic growth capabilities are tentatively assessed as promising, pending a deeper understanding of strategic initiatives and competitive dynamics.</w:t>
      </w:r>
    </w:p>
    <w:p>
      <w:pPr>
        <w:pStyle w:val="Heading1"/>
      </w:pPr>
      <w:r>
        <w:t>4.0 COMPETITIVE FINANCIAL POSITIONING</w:t>
      </w:r>
    </w:p>
    <w:p>
      <w:pPr>
        <w:pStyle w:val="ListBullet"/>
        <w:spacing w:after="120"/>
        <w:ind w:left="720"/>
      </w:pPr>
      <w:r>
        <w:t>Financial Stability Comparison</w:t>
      </w:r>
    </w:p>
    <w:p>
      <w:pPr>
        <w:spacing w:after="120" w:line="276" w:lineRule="auto"/>
      </w:pPr>
      <w:r>
        <w:t>Financial stability comparison requires benchmarking against industry peers, but the current profitability metrics suggest a competitive position.</w:t>
      </w:r>
    </w:p>
    <w:p>
      <w:pPr>
        <w:pStyle w:val="ListBullet"/>
        <w:spacing w:after="120"/>
        <w:ind w:left="720"/>
      </w:pPr>
      <w:r>
        <w:t>Risk Management Capabilities</w:t>
      </w:r>
    </w:p>
    <w:p>
      <w:pPr>
        <w:spacing w:after="120" w:line="276" w:lineRule="auto"/>
      </w:pPr>
      <w:r>
        <w:t>Risk management capabilities are difficult to fully assess without information on debt and cash flow, but the profitability metrics suggest a degree of resilience. Risk assessment indicates a need for further investigation into financial structure.</w:t>
      </w:r>
    </w:p>
    <w:p>
      <w:pPr>
        <w:pStyle w:val="ListBullet"/>
        <w:spacing w:after="120"/>
        <w:ind w:left="720"/>
      </w:pPr>
      <w:r>
        <w:t>Strategic Financial Advantages</w:t>
      </w:r>
    </w:p>
    <w:p>
      <w:pPr>
        <w:spacing w:after="120" w:line="276" w:lineRule="auto"/>
      </w:pPr>
      <w:r>
        <w:t>Strategic financial advantages appear to be present, based on the company's strong profitability metrics. This suggests a capacity to leverage financial resources for strategic initiatives.</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operational efficiency and exploring opportunities for revenue diversification. This priority is based on the identified patterns in financial performance metrics.</w:t>
      </w:r>
    </w:p>
    <w:p>
      <w:pPr>
        <w:pStyle w:val="ListBullet"/>
        <w:spacing w:after="120"/>
        <w:ind w:left="720"/>
      </w:pPr>
      <w:r>
        <w:t>Investment Considerations</w:t>
      </w:r>
    </w:p>
    <w:p>
      <w:pPr>
        <w:spacing w:after="120" w:line="276" w:lineRule="auto"/>
      </w:pPr>
      <w:r>
        <w:t>Investment considerations should include evaluating opportunities for strategic acquisitions and capital expenditures to support growth.</w:t>
      </w:r>
    </w:p>
    <w:p>
      <w:pPr>
        <w:pStyle w:val="ListBullet"/>
        <w:spacing w:after="120"/>
        <w:ind w:left="720"/>
      </w:pPr>
      <w:r>
        <w:t>Risk Mitigation Strategies</w:t>
      </w:r>
    </w:p>
    <w:p>
      <w:pPr>
        <w:spacing w:after="120" w:line="276" w:lineRule="auto"/>
      </w:pPr>
      <w:r>
        <w:t>Risk mitigation strategies should focus on managing potential financial risks, such as changes in reimbursement policies and market competition.</w:t>
      </w:r>
    </w:p>
    <w:p>
      <w:pPr>
        <w:spacing w:after="120" w:line="276" w:lineRule="auto"/>
      </w:pPr>
      <w:r>
        <w:t>DaVita exhibits a strong financial profile, characterized by efficient operations and robust profitability. While further analysis is needed to fully assess liquidity, solvency, and growth potential, the company appears well-positioned for sustained performance. Strategic financial management should focus on maintaining operational efficiency, exploring growth opportunities, and mitigating potential risks.</w:t>
      </w:r>
    </w:p>
    <w:p>
      <w:pPr>
        <w:pStyle w:val="ListNumber"/>
        <w:spacing w:after="120"/>
        <w:ind w:left="720"/>
      </w:pPr>
      <w:r>
        <w:t>1. For each financial assessment, specify the basis: "Based on comprehensive financial ratio analysis of Davita..."</w:t>
      </w:r>
    </w:p>
    <w:p>
      <w:pPr>
        <w:pStyle w:val="ListNumber"/>
        <w:spacing w:after="120"/>
        <w:ind w:left="720"/>
      </w:pPr>
      <w:r>
        <w:t>2. Include justification phrases: "This efficiency assessment is justified by the operational margin patterns observed in financial data..."</w:t>
      </w:r>
    </w:p>
    <w:p>
      <w:pPr>
        <w:pStyle w:val="ListNumber"/>
        <w:spacing w:after="120"/>
        <w:ind w:left="720"/>
      </w:pPr>
      <w:r>
        <w:t>3. When making qualitative statements, reference the analytical foundation: "as evidenced by the relative positioning in financial health indicators"</w:t>
      </w:r>
    </w:p>
    <w:p>
      <w:pPr>
        <w:pStyle w:val="ListNumber"/>
        <w:spacing w:after="120"/>
        <w:ind w:left="720"/>
      </w:pPr>
      <w:r>
        <w:t>4. Use qualifying language: "The stability analysis suggests..." or "Risk assessment indicates based on financial structure..."</w:t>
      </w:r>
    </w:p>
    <w:p>
      <w:pPr>
        <w:pStyle w:val="ListNumber"/>
        <w:spacing w:after="120"/>
        <w:ind w:left="720"/>
      </w:pPr>
      <w:r>
        <w:t>5. For strategic recommendations, connect to specific financial observations: "This priority is based on the identified patterns in financial performance metrics"</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2026-04-06 17:18:38</w:t>
      </w:r>
    </w:p>
    <w:p>
      <w:pPr>
        <w:spacing w:after="120"/>
      </w:pPr>
      <w:r>
        <w:rPr>
          <w:b/>
          <w:color w:val="000080"/>
        </w:rPr>
        <w:t xml:space="preserve">Session ID: </w:t>
      </w:r>
      <w:r>
        <w:t>5ffc6590-b6f4-4e0d-a1ba-f69f7b590bc1</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