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12:30:38</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exhibits a profile of robust profitability and operational efficiency. The company appears to be well-managed, demonstrating a capacity for generating substantial income relative to its revenue. However, a more in-depth analysis is required to fully understand the sustainability of its financial performance and to assess potential vulnerabilities.</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substantial, indicating a significant market presence. The revenue generation capacity suggests a well-established business model. This revenue assessment is justified by the substantial revenue volume observed in financial data.</w:t>
      </w:r>
    </w:p>
    <w:p>
      <w:pPr>
        <w:pStyle w:val="ListBullet"/>
        <w:spacing w:after="120"/>
        <w:ind w:left="720"/>
      </w:pPr>
      <w:r>
        <w:t>Cost Management Approach</w:t>
      </w:r>
    </w:p>
    <w:p>
      <w:pPr>
        <w:spacing w:after="120" w:line="276" w:lineRule="auto"/>
      </w:pPr>
      <w:r>
        <w:t>The company demonstrates an efficient approach to cost management, suggesting effective control over operational expenses. This efficiency assessment is justified by the operational margin patterns observed in financial data.</w:t>
      </w:r>
    </w:p>
    <w:p>
      <w:pPr>
        <w:pStyle w:val="ListBullet"/>
        <w:spacing w:after="120"/>
        <w:ind w:left="720"/>
      </w:pPr>
      <w:r>
        <w:t>Profit Sustainability</w:t>
      </w:r>
    </w:p>
    <w:p>
      <w:pPr>
        <w:spacing w:after="120" w:line="276" w:lineRule="auto"/>
      </w:pPr>
      <w:r>
        <w:t>Profit sustainability appears strong, driven by efficient operations and effective cost controls. The ability to maintain profitability indicates a resilient business model. This sustainability assessment is justified by the consistent net income generation observed in financial data.</w:t>
      </w:r>
    </w:p>
    <w:p>
      <w:pPr>
        <w:pStyle w:val="Heading1"/>
      </w:pPr>
      <w:r>
        <w:t>2.0 OPERATIONAL STABILITY</w:t>
      </w:r>
    </w:p>
    <w:p>
      <w:pPr>
        <w:pStyle w:val="ListBullet"/>
        <w:spacing w:after="120"/>
        <w:ind w:left="720"/>
      </w:pPr>
      <w:r>
        <w:t>Business Resilience Factors</w:t>
      </w:r>
    </w:p>
    <w:p>
      <w:pPr>
        <w:spacing w:after="120" w:line="276" w:lineRule="auto"/>
      </w:pPr>
      <w:r>
        <w:t>Davita exhibits business resilience, suggesting an ability to withstand market fluctuations and maintain operational continuity. This resilience assessment is justified by the consistent profitability observed in financial data.</w:t>
      </w:r>
    </w:p>
    <w:p>
      <w:pPr>
        <w:pStyle w:val="ListBullet"/>
        <w:spacing w:after="120"/>
        <w:ind w:left="720"/>
      </w:pPr>
      <w:r>
        <w:t>Resource Management Effectiveness</w:t>
      </w:r>
    </w:p>
    <w:p>
      <w:pPr>
        <w:spacing w:after="120" w:line="276" w:lineRule="auto"/>
      </w:pPr>
      <w:r>
        <w:t>Resource management appears effective, indicating efficient utilization of assets to generate income. This effectiveness assessment is justified by the return on assets patterns observed in financial data.</w:t>
      </w:r>
    </w:p>
    <w:p>
      <w:pPr>
        <w:pStyle w:val="ListBullet"/>
        <w:spacing w:after="120"/>
        <w:ind w:left="720"/>
      </w:pPr>
      <w:r>
        <w:t>Financial Flexibility</w:t>
      </w:r>
    </w:p>
    <w:p>
      <w:pPr>
        <w:spacing w:after="120" w:line="276" w:lineRule="auto"/>
      </w:pPr>
      <w:r>
        <w:t>Davita demonstrates financial flexibility, suggesting an ability to adapt to changing market conditions and pursue strategic opportunities. This flexibility assessment is justified by the company's ability to generate substantial income relative to its equity.</w:t>
      </w:r>
    </w:p>
    <w:p>
      <w:pPr>
        <w:pStyle w:val="Heading1"/>
      </w:pPr>
      <w:r>
        <w:t>3.0 GROWTH TRAJECTORY</w:t>
      </w:r>
    </w:p>
    <w:p>
      <w:pPr>
        <w:pStyle w:val="ListBullet"/>
        <w:spacing w:after="120"/>
        <w:ind w:left="720"/>
      </w:pPr>
      <w:r>
        <w:t>Expansion Potential</w:t>
      </w:r>
    </w:p>
    <w:p>
      <w:pPr>
        <w:spacing w:after="120" w:line="276" w:lineRule="auto"/>
      </w:pPr>
      <w:r>
        <w:t>Davita's expansion potential appears promising, suggesting opportunities for further market penetration and revenue growth. This potential assessment is justified by the company's significant market presence.</w:t>
      </w:r>
    </w:p>
    <w:p>
      <w:pPr>
        <w:pStyle w:val="ListBullet"/>
        <w:spacing w:after="120"/>
        <w:ind w:left="720"/>
      </w:pPr>
      <w:r>
        <w:t>Market Position Advancement</w:t>
      </w:r>
    </w:p>
    <w:p>
      <w:pPr>
        <w:spacing w:after="120" w:line="276" w:lineRule="auto"/>
      </w:pPr>
      <w:r>
        <w:t>The company is well-positioned for market position advancement, indicating a capacity to enhance its competitive standing. This advancement assessment is justified by the company's ability to generate substantial income relative to its revenue.</w:t>
      </w:r>
    </w:p>
    <w:p>
      <w:pPr>
        <w:pStyle w:val="ListBullet"/>
        <w:spacing w:after="120"/>
        <w:ind w:left="720"/>
      </w:pPr>
      <w:r>
        <w:t>Strategic Growth Capabilities</w:t>
      </w:r>
    </w:p>
    <w:p>
      <w:pPr>
        <w:spacing w:after="120" w:line="276" w:lineRule="auto"/>
      </w:pPr>
      <w:r>
        <w:t>Davita demonstrates strategic growth capabilities, suggesting an ability to capitalize on market opportunities and drive future expansion. This capabilities assessment is justified by the company's efficient operations and effective cost controls.</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suggesting a solid foundation for long-term sustainability. This stability assessment is justified by the company's ability to generate substantial income relative to its equity.</w:t>
      </w:r>
    </w:p>
    <w:p>
      <w:pPr>
        <w:pStyle w:val="ListBullet"/>
        <w:spacing w:after="120"/>
        <w:ind w:left="720"/>
      </w:pPr>
      <w:r>
        <w:t>Risk Management Capabilities</w:t>
      </w:r>
    </w:p>
    <w:p>
      <w:pPr>
        <w:spacing w:after="120" w:line="276" w:lineRule="auto"/>
      </w:pPr>
      <w:r>
        <w:t>The company demonstrates effective risk management capabilities, indicating an ability to mitigate potential financial threats. Risk assessment indicates based on financial structure.</w:t>
      </w:r>
    </w:p>
    <w:p>
      <w:pPr>
        <w:pStyle w:val="ListBullet"/>
        <w:spacing w:after="120"/>
        <w:ind w:left="720"/>
      </w:pPr>
      <w:r>
        <w:t>Strategic Financial Advantages</w:t>
      </w:r>
    </w:p>
    <w:p>
      <w:pPr>
        <w:spacing w:after="120" w:line="276" w:lineRule="auto"/>
      </w:pPr>
      <w:r>
        <w:t>Davita possesses strategic financial advantages, suggesting a competitive edge in the market. These advantages assessment is justified by the company's efficient operations and effective cost controls.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sustaining profitability.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prioritize opportunities that enhance market position and drive revenue growth. This consideration is based on the identified patterns in financial performance metrics.</w:t>
      </w:r>
    </w:p>
    <w:p>
      <w:pPr>
        <w:pStyle w:val="ListBullet"/>
        <w:spacing w:after="120"/>
        <w:ind w:left="720"/>
      </w:pPr>
      <w:r>
        <w:t>Risk Mitigation Strategies</w:t>
      </w:r>
    </w:p>
    <w:p>
      <w:pPr>
        <w:spacing w:after="120" w:line="276" w:lineRule="auto"/>
      </w:pPr>
      <w:r>
        <w:t>Risk mitigation strategies should focus on addressing potential market fluctuations and maintaining financial stability. This strategy is based on the identified patterns in financial performance metrics.</w:t>
      </w:r>
    </w:p>
    <w:p>
      <w:pPr>
        <w:spacing w:after="120" w:line="276" w:lineRule="auto"/>
      </w:pPr>
      <w:r>
        <w:t>Davita demonstrates a strong financial profile characterized by robust profitability and operational efficiency. The company is well-positioned for future growth and exhibits effective risk management capabilities. Strategic financial priorities should focus on sustaining profitability, enhancing market position, and mitigating potential risks.</w:t>
      </w:r>
    </w:p>
    <w:p>
      <w:pPr>
        <w:pStyle w:val="ListNumber"/>
        <w:spacing w:after="120"/>
        <w:ind w:left="720"/>
      </w:pPr>
      <w:r>
        <w:t>1. Based on comprehensive financial ratio analysis of Davita...</w:t>
      </w:r>
    </w:p>
    <w:p>
      <w:pPr>
        <w:pStyle w:val="ListNumber"/>
        <w:spacing w:after="120"/>
        <w:ind w:left="720"/>
      </w:pPr>
      <w:r>
        <w:t>2. This efficiency assessment is justified by the operational margin patterns observed in financial data...</w:t>
      </w:r>
    </w:p>
    <w:p>
      <w:pPr>
        <w:pStyle w:val="ListNumber"/>
        <w:spacing w:after="120"/>
        <w:ind w:left="720"/>
      </w:pPr>
      <w:r>
        <w:t>3. as evidenced by the relative positioning in financial health indicators</w:t>
      </w:r>
    </w:p>
    <w:p>
      <w:pPr>
        <w:pStyle w:val="ListNumber"/>
        <w:spacing w:after="120"/>
        <w:ind w:left="720"/>
      </w:pPr>
      <w:r>
        <w:t>4. The stability analysis suggests...</w:t>
      </w:r>
    </w:p>
    <w:p>
      <w:pPr>
        <w:pStyle w:val="ListNumber"/>
        <w:spacing w:after="120"/>
        <w:ind w:left="720"/>
      </w:pPr>
      <w:r>
        <w:t>5.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12:30:38</w:t>
      </w:r>
    </w:p>
    <w:p>
      <w:pPr>
        <w:spacing w:after="120"/>
      </w:pPr>
      <w:r>
        <w:rPr>
          <w:b/>
          <w:color w:val="000080"/>
        </w:rPr>
        <w:t xml:space="preserve">Session ID: </w:t>
      </w:r>
      <w:r>
        <w:t>64ba8c5c-e79b-4b14-9588-fe8a54abc6e3</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