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2026-03-30 16:51:43</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spacing w:after="120" w:line="276" w:lineRule="auto"/>
      </w:pPr>
      <w:r>
        <w:t>DaVita</w:t>
      </w:r>
    </w:p>
    <w:p>
      <w:pPr>
        <w:pStyle w:val="Heading1"/>
      </w:pPr>
      <w:r>
        <w:t>EXECUTIVE SUMMARY</w:t>
      </w:r>
    </w:p>
    <w:p>
      <w:pPr>
        <w:spacing w:after="120" w:line="276" w:lineRule="auto"/>
      </w:pPr>
      <w:r>
        <w:t>DaVita demonstrates a strong financial profile, characterized by efficient operations and robust profitability. The company appears well-positioned within its market, exhibiting a capacity for sustained financial performance. However, a comprehensive understanding of its long-term stability and growth potential requires further assessment of its financial structure and market dynamics.</w:t>
      </w:r>
    </w:p>
    <w:p>
      <w:pPr>
        <w:pStyle w:val="Heading1"/>
      </w:pPr>
      <w:r>
        <w:t>1.0 BUSINESS EFFICIENCY PROFILE</w:t>
      </w:r>
    </w:p>
    <w:p>
      <w:pPr>
        <w:pStyle w:val="ListBullet"/>
        <w:spacing w:after="120"/>
        <w:ind w:left="720"/>
      </w:pPr>
      <w:r>
        <w:t>Revenue Model Characteristics</w:t>
      </w:r>
    </w:p>
    <w:p>
      <w:pPr>
        <w:spacing w:after="120" w:line="276" w:lineRule="auto"/>
      </w:pPr>
      <w:r>
        <w:t>Based on the substantial revenue generation, DaVita's revenue model appears to be well-established and effective. The revenue model characteristics suggest a significant market presence and a capacity to generate substantial income.</w:t>
      </w:r>
    </w:p>
    <w:p>
      <w:pPr>
        <w:pStyle w:val="ListBullet"/>
        <w:spacing w:after="120"/>
        <w:ind w:left="720"/>
      </w:pPr>
      <w:r>
        <w:t>Cost Management Approach</w:t>
      </w:r>
    </w:p>
    <w:p>
      <w:pPr>
        <w:spacing w:after="120" w:line="276" w:lineRule="auto"/>
      </w:pPr>
      <w:r>
        <w:t>The cost management approach seems highly efficient, as evidenced by the strong operating margin patterns observed in financial data. This efficiency assessment is justified by the operational margin patterns observed in financial data, suggesting effective control over operating expenses.</w:t>
      </w:r>
    </w:p>
    <w:p>
      <w:pPr>
        <w:pStyle w:val="ListBullet"/>
        <w:spacing w:after="120"/>
        <w:ind w:left="720"/>
      </w:pPr>
      <w:r>
        <w:t>Profit Sustainability</w:t>
      </w:r>
    </w:p>
    <w:p>
      <w:pPr>
        <w:spacing w:after="120" w:line="276" w:lineRule="auto"/>
      </w:pPr>
      <w:r>
        <w:t>Profit sustainability appears robust, supported by the healthy net margin. This indicates a strong ability to convert revenue into profit, suggesting a sustainable business model.</w:t>
      </w:r>
    </w:p>
    <w:p>
      <w:pPr>
        <w:pStyle w:val="Heading1"/>
      </w:pPr>
      <w:r>
        <w:t>2.0 OPERATIONAL STABILITY</w:t>
      </w:r>
    </w:p>
    <w:p>
      <w:pPr>
        <w:pStyle w:val="ListBullet"/>
        <w:spacing w:after="120"/>
        <w:ind w:left="720"/>
      </w:pPr>
      <w:r>
        <w:t>Business Resilience Factors</w:t>
      </w:r>
    </w:p>
    <w:p>
      <w:pPr>
        <w:spacing w:after="120" w:line="276" w:lineRule="auto"/>
      </w:pPr>
      <w:r>
        <w:t>The stability analysis suggests strong business resilience factors, as evidenced by the company's ability to maintain profitability. This resilience is likely supported by a stable market position and effective operational management.</w:t>
      </w:r>
    </w:p>
    <w:p>
      <w:pPr>
        <w:pStyle w:val="ListBullet"/>
        <w:spacing w:after="120"/>
        <w:ind w:left="720"/>
      </w:pPr>
      <w:r>
        <w:t>Resource Management Effectiveness</w:t>
      </w:r>
    </w:p>
    <w:p>
      <w:pPr>
        <w:spacing w:after="120" w:line="276" w:lineRule="auto"/>
      </w:pPr>
      <w:r>
        <w:t>Resource management effectiveness appears to be well-managed, as evidenced by the company's ability to generate significant revenue from its asset base. This effectiveness is likely driven by efficient resource allocation and utilization.</w:t>
      </w:r>
    </w:p>
    <w:p>
      <w:pPr>
        <w:pStyle w:val="ListBullet"/>
        <w:spacing w:after="120"/>
        <w:ind w:left="720"/>
      </w:pPr>
      <w:r>
        <w:t>Financial Flexibility</w:t>
      </w:r>
    </w:p>
    <w:p>
      <w:pPr>
        <w:spacing w:after="120" w:line="276" w:lineRule="auto"/>
      </w:pPr>
      <w:r>
        <w:t>Financial flexibility seems adequate, as evidenced by the company's ability to generate substantial net income. This flexibility allows for strategic investments and adaptation to changing market conditions.</w:t>
      </w:r>
    </w:p>
    <w:p>
      <w:pPr>
        <w:pStyle w:val="Heading1"/>
      </w:pPr>
      <w:r>
        <w:t>3.0 GROWTH TRAJECTORY</w:t>
      </w:r>
    </w:p>
    <w:p>
      <w:pPr>
        <w:pStyle w:val="ListBullet"/>
        <w:spacing w:after="120"/>
        <w:ind w:left="720"/>
      </w:pPr>
      <w:r>
        <w:t>Expansion Potential</w:t>
      </w:r>
    </w:p>
    <w:p>
      <w:pPr>
        <w:spacing w:after="120" w:line="276" w:lineRule="auto"/>
      </w:pPr>
      <w:r>
        <w:t>Expansion potential appears promising, as evidenced by the company's strong market capitalization. This potential is likely supported by a growing market and DaVita's ability to capture market share.</w:t>
      </w:r>
    </w:p>
    <w:p>
      <w:pPr>
        <w:pStyle w:val="ListBullet"/>
        <w:spacing w:after="120"/>
        <w:ind w:left="720"/>
      </w:pPr>
      <w:r>
        <w:t>Market Position Advancement</w:t>
      </w:r>
    </w:p>
    <w:p>
      <w:pPr>
        <w:spacing w:after="120" w:line="276" w:lineRule="auto"/>
      </w:pPr>
      <w:r>
        <w:t>Market position advancement seems likely, as evidenced by the company's ability to maintain a strong operating margin. This advancement is likely driven by effective marketing and competitive strategies.</w:t>
      </w:r>
    </w:p>
    <w:p>
      <w:pPr>
        <w:pStyle w:val="ListBullet"/>
        <w:spacing w:after="120"/>
        <w:ind w:left="720"/>
      </w:pPr>
      <w:r>
        <w:t>Strategic Growth Capabilities</w:t>
      </w:r>
    </w:p>
    <w:p>
      <w:pPr>
        <w:spacing w:after="120" w:line="276" w:lineRule="auto"/>
      </w:pPr>
      <w:r>
        <w:t>Strategic growth capabilities appear to be well-developed, as evidenced by the company's ability to generate substantial revenue. These capabilities are likely supported by a strong management team and a clear strategic vision.</w:t>
      </w:r>
    </w:p>
    <w:p>
      <w:pPr>
        <w:pStyle w:val="Heading1"/>
      </w:pPr>
      <w:r>
        <w:t>4.0 COMPETITIVE FINANCIAL POSITIONING</w:t>
      </w:r>
    </w:p>
    <w:p>
      <w:pPr>
        <w:pStyle w:val="ListBullet"/>
        <w:spacing w:after="120"/>
        <w:ind w:left="720"/>
      </w:pPr>
      <w:r>
        <w:t>Financial Stability Comparison</w:t>
      </w:r>
    </w:p>
    <w:p>
      <w:pPr>
        <w:spacing w:after="120" w:line="276" w:lineRule="auto"/>
      </w:pPr>
      <w:r>
        <w:t>Financial stability comparison suggests a strong competitive position, as evidenced by the company's ability to generate significant net income. This stability is likely supported by a strong balance sheet and effective financial management.</w:t>
      </w:r>
    </w:p>
    <w:p>
      <w:pPr>
        <w:pStyle w:val="ListBullet"/>
        <w:spacing w:after="120"/>
        <w:ind w:left="720"/>
      </w:pPr>
      <w:r>
        <w:t>Risk Management Capabilities</w:t>
      </w:r>
    </w:p>
    <w:p>
      <w:pPr>
        <w:spacing w:after="120" w:line="276" w:lineRule="auto"/>
      </w:pPr>
      <w:r>
        <w:t>Risk management capabilities appear to be well-managed, as evidenced by the company's ability to maintain a strong operating margin. This management is likely supported by a robust risk management framework and a proactive approach to risk mitigation.</w:t>
      </w:r>
    </w:p>
    <w:p>
      <w:pPr>
        <w:pStyle w:val="ListBullet"/>
        <w:spacing w:after="120"/>
        <w:ind w:left="720"/>
      </w:pPr>
      <w:r>
        <w:t>Strategic Financial Advantages</w:t>
      </w:r>
    </w:p>
    <w:p>
      <w:pPr>
        <w:spacing w:after="120" w:line="276" w:lineRule="auto"/>
      </w:pPr>
      <w:r>
        <w:t>Strategic financial advantages seem evident, as evidenced by the company's ability to generate substantial revenue. These advantages are likely supported by a strong brand reputation and a loyal customer base.</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operational efficiency and profitability. This priority is based on the identified patterns in financial performance metrics, ensuring continued financial health.</w:t>
      </w:r>
    </w:p>
    <w:p>
      <w:pPr>
        <w:pStyle w:val="ListBullet"/>
        <w:spacing w:after="120"/>
        <w:ind w:left="720"/>
      </w:pPr>
      <w:r>
        <w:t>Investment Considerations</w:t>
      </w:r>
    </w:p>
    <w:p>
      <w:pPr>
        <w:spacing w:after="120" w:line="276" w:lineRule="auto"/>
      </w:pPr>
      <w:r>
        <w:t>Investment considerations should prioritize strategic growth initiatives and market expansion. This consideration is based on the company's strong market position and growth potential, allowing for increased market share.</w:t>
      </w:r>
    </w:p>
    <w:p>
      <w:pPr>
        <w:pStyle w:val="ListBullet"/>
        <w:spacing w:after="120"/>
        <w:ind w:left="720"/>
      </w:pPr>
      <w:r>
        <w:t>Risk Mitigation Strategies</w:t>
      </w:r>
    </w:p>
    <w:p>
      <w:pPr>
        <w:spacing w:after="120" w:line="276" w:lineRule="auto"/>
      </w:pPr>
      <w:r>
        <w:t>Risk mitigation strategies should focus on managing regulatory risks and maintaining operational excellence. This strategy is based on the identified patterns in financial structure, ensuring long-term stability.</w:t>
      </w:r>
    </w:p>
    <w:p>
      <w:pPr>
        <w:spacing w:after="120" w:line="276" w:lineRule="auto"/>
      </w:pPr>
      <w:r>
        <w:t>DaVita exhibits a strong financial profile, characterized by efficient operations and robust profitability. The company appears well-positioned within its market, demonstrating a capacity for sustained financial performance. Strategic financial management should focus on maintaining operational efficiency, pursuing strategic growth initiatives, and mitigating potential risks to ensure long-term stability and success.</w:t>
      </w:r>
    </w:p>
    <w:p>
      <w:pPr>
        <w:pStyle w:val="ListNumber"/>
        <w:spacing w:after="120"/>
        <w:ind w:left="720"/>
      </w:pPr>
      <w:r>
        <w:t>1. Based on comprehensive financial ratio analysis of Davita, the company demonstrates strong profitability and operational efficiency.</w:t>
      </w:r>
    </w:p>
    <w:p>
      <w:pPr>
        <w:pStyle w:val="ListNumber"/>
        <w:spacing w:after="120"/>
        <w:ind w:left="720"/>
      </w:pPr>
      <w:r>
        <w:t>2. This efficiency assessment is justified by the operational margin patterns observed in financial data, indicating effective cost management.</w:t>
      </w:r>
    </w:p>
    <w:p>
      <w:pPr>
        <w:pStyle w:val="ListNumber"/>
        <w:spacing w:after="120"/>
        <w:ind w:left="720"/>
      </w:pPr>
      <w:r>
        <w:t>3. The stability analysis suggests robust business resilience factors, as evidenced by the relative positioning in financial health indicators.</w:t>
      </w:r>
    </w:p>
    <w:p>
      <w:pPr>
        <w:pStyle w:val="ListNumber"/>
        <w:spacing w:after="120"/>
        <w:ind w:left="720"/>
      </w:pPr>
      <w:r>
        <w:t>4. Risk assessment indicates based on financial structure, the company maintains a strong competitive financial positioning.</w:t>
      </w:r>
    </w:p>
    <w:p>
      <w:pPr>
        <w:pStyle w:val="ListNumber"/>
        <w:spacing w:after="120"/>
        <w:ind w:left="720"/>
      </w:pPr>
      <w:r>
        <w:t>5. This priority is based on the identified patterns in financial performance metrics, ensuring continued financial health.</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2026-03-30 16:51:43</w:t>
      </w:r>
    </w:p>
    <w:p>
      <w:pPr>
        <w:spacing w:after="120"/>
      </w:pPr>
      <w:r>
        <w:rPr>
          <w:b/>
          <w:color w:val="000080"/>
        </w:rPr>
        <w:t xml:space="preserve">Session ID: </w:t>
      </w:r>
      <w:r>
        <w:t>6fa6b0c7-32fb-49a1-8c12-ef4c78fa94bb</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