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2026-04-06 11:38:28</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demonstrates a generally favorable financial profile, characterized by strong profitability and efficient operations. The company appears well-positioned for continued success, though a more comprehensive analysis is needed to fully assess its long-term stability and growth potential.</w:t>
      </w:r>
    </w:p>
    <w:p>
      <w:pPr>
        <w:pStyle w:val="Heading1"/>
      </w:pPr>
      <w:r>
        <w:t>1.0 BUSINESS EFFICIENCY PROFILE</w:t>
      </w:r>
    </w:p>
    <w:p>
      <w:pPr>
        <w:pStyle w:val="ListBullet"/>
        <w:spacing w:after="120"/>
        <w:ind w:left="720"/>
      </w:pPr>
      <w:r>
        <w:t>Revenue Model Characteristics</w:t>
      </w:r>
    </w:p>
    <w:p>
      <w:pPr>
        <w:spacing w:after="120" w:line="276" w:lineRule="auto"/>
      </w:pPr>
      <w:r>
        <w:t>Based on available revenue data, DaVita exhibits a substantial revenue base, indicating a significant market presence. The revenue model appears robust, though further analysis is needed to determine its long-term sustainability.</w:t>
      </w:r>
    </w:p>
    <w:p>
      <w:pPr>
        <w:pStyle w:val="ListBullet"/>
        <w:spacing w:after="120"/>
        <w:ind w:left="720"/>
      </w:pPr>
      <w:r>
        <w:t>Cost Management Approach</w:t>
      </w:r>
    </w:p>
    <w:p>
      <w:pPr>
        <w:spacing w:after="120" w:line="276" w:lineRule="auto"/>
      </w:pPr>
      <w:r>
        <w:t>The company demonstrates an efficient cost management approach, as evidenced by its strong operating and net margins. This suggests effective control over expenses relative to revenue.</w:t>
      </w:r>
    </w:p>
    <w:p>
      <w:pPr>
        <w:pStyle w:val="ListBullet"/>
        <w:spacing w:after="120"/>
        <w:ind w:left="720"/>
      </w:pPr>
      <w:r>
        <w:t>Profit Sustainability</w:t>
      </w:r>
    </w:p>
    <w:p>
      <w:pPr>
        <w:spacing w:after="120" w:line="276" w:lineRule="auto"/>
      </w:pPr>
      <w:r>
        <w:t>Profit sustainability appears promising, justified by the observed profit margin patterns. However, a deeper understanding of revenue drivers and cost structures is necessary to confirm long-term profitability.</w:t>
      </w:r>
    </w:p>
    <w:p>
      <w:pPr>
        <w:pStyle w:val="Heading1"/>
      </w:pPr>
      <w:r>
        <w:t>2.0 OPERATIONAL STABILITY</w:t>
      </w:r>
    </w:p>
    <w:p>
      <w:pPr>
        <w:pStyle w:val="ListBullet"/>
        <w:spacing w:after="120"/>
        <w:ind w:left="720"/>
      </w:pPr>
      <w:r>
        <w:t>Business Resilience Factors</w:t>
      </w:r>
    </w:p>
    <w:p>
      <w:pPr>
        <w:spacing w:after="120" w:line="276" w:lineRule="auto"/>
      </w:pPr>
      <w:r>
        <w:t>The stability analysis suggests a resilient business model, supported by the company's ability to generate substantial profits. Further investigation is needed to assess its ability to withstand economic downturns and competitive pressures.</w:t>
      </w:r>
    </w:p>
    <w:p>
      <w:pPr>
        <w:pStyle w:val="ListBullet"/>
        <w:spacing w:after="120"/>
        <w:ind w:left="720"/>
      </w:pPr>
      <w:r>
        <w:t>Resource Management Effectiveness</w:t>
      </w:r>
    </w:p>
    <w:p>
      <w:pPr>
        <w:spacing w:after="120" w:line="276" w:lineRule="auto"/>
      </w:pPr>
      <w:r>
        <w:t>Resource management effectiveness appears strong, as evidenced by the company's ability to generate a reasonable return on assets and equity. This indicates efficient utilization of resources to create value.</w:t>
      </w:r>
    </w:p>
    <w:p>
      <w:pPr>
        <w:pStyle w:val="ListBullet"/>
        <w:spacing w:after="120"/>
        <w:ind w:left="720"/>
      </w:pPr>
      <w:r>
        <w:t>Financial Flexibility</w:t>
      </w:r>
    </w:p>
    <w:p>
      <w:pPr>
        <w:spacing w:after="120" w:line="276" w:lineRule="auto"/>
      </w:pPr>
      <w:r>
        <w:t>Financial flexibility is potentially strong, but further assessment is needed to evaluate the company's debt structure and cash flow generation capabilities. This assessment is based on the relative positioning in financial health indicators.</w:t>
      </w:r>
    </w:p>
    <w:p>
      <w:pPr>
        <w:pStyle w:val="Heading1"/>
      </w:pPr>
      <w:r>
        <w:t>3.0 GROWTH TRAJECTORY</w:t>
      </w:r>
    </w:p>
    <w:p>
      <w:pPr>
        <w:pStyle w:val="ListBullet"/>
        <w:spacing w:after="120"/>
        <w:ind w:left="720"/>
      </w:pPr>
      <w:r>
        <w:t>Expansion Potential</w:t>
      </w:r>
    </w:p>
    <w:p>
      <w:pPr>
        <w:spacing w:after="120" w:line="276" w:lineRule="auto"/>
      </w:pPr>
      <w:r>
        <w:t>Expansion potential appears promising, as evidenced by the company's substantial revenue base and efficient operations. Further analysis is needed to assess its ability to penetrate new markets and develop new services.</w:t>
      </w:r>
    </w:p>
    <w:p>
      <w:pPr>
        <w:pStyle w:val="ListBullet"/>
        <w:spacing w:after="120"/>
        <w:ind w:left="720"/>
      </w:pPr>
      <w:r>
        <w:t>Market Position Advancement</w:t>
      </w:r>
    </w:p>
    <w:p>
      <w:pPr>
        <w:spacing w:after="120" w:line="276" w:lineRule="auto"/>
      </w:pPr>
      <w:r>
        <w:t>Market position advancement is likely, given the company's strong profitability and efficient operations. However, a deeper understanding of the competitive landscape is necessary to confirm this assessment.</w:t>
      </w:r>
    </w:p>
    <w:p>
      <w:pPr>
        <w:pStyle w:val="ListBullet"/>
        <w:spacing w:after="120"/>
        <w:ind w:left="720"/>
      </w:pPr>
      <w:r>
        <w:t>Strategic Growth Capabilities</w:t>
      </w:r>
    </w:p>
    <w:p>
      <w:pPr>
        <w:spacing w:after="120" w:line="276" w:lineRule="auto"/>
      </w:pPr>
      <w:r>
        <w:t>Strategic growth capabilities are potentially strong, but further assessment is needed to evaluate the company's strategic initiatives and investment plans. This assessment is justified by the operational margin patterns observed in financial data.</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comparison requires benchmarking against industry peers. Based on the available data, DaVita appears financially stable, but a more comprehensive analysis is needed to confirm its competitive positioning.</w:t>
      </w:r>
    </w:p>
    <w:p>
      <w:pPr>
        <w:pStyle w:val="ListBullet"/>
        <w:spacing w:after="120"/>
        <w:ind w:left="720"/>
      </w:pPr>
      <w:r>
        <w:t>Risk Management Capabilities</w:t>
      </w:r>
    </w:p>
    <w:p>
      <w:pPr>
        <w:spacing w:after="120" w:line="276" w:lineRule="auto"/>
      </w:pPr>
      <w:r>
        <w:t>Risk assessment indicates a need for further evaluation of potential financial, market, and operational risks. The company's risk management capabilities require a deeper understanding of its financial structure and competitive environment.</w:t>
      </w:r>
    </w:p>
    <w:p>
      <w:pPr>
        <w:pStyle w:val="ListBullet"/>
        <w:spacing w:after="120"/>
        <w:ind w:left="720"/>
      </w:pPr>
      <w:r>
        <w:t>Strategic Financial Advantages</w:t>
      </w:r>
    </w:p>
    <w:p>
      <w:pPr>
        <w:spacing w:after="120" w:line="276" w:lineRule="auto"/>
      </w:pPr>
      <w:r>
        <w:t>Strategic financial advantages are potentially strong, but further assessment is needed to evaluate the company's competitive advantages and strategic initiatives. This assessment is based on the relative positioning in financial health indicators.</w:t>
      </w:r>
    </w:p>
    <w:p>
      <w:pPr>
        <w:pStyle w:val="Heading1"/>
      </w:pPr>
      <w:r>
        <w:t>5.0 STRATEGIC FINANCIAL RECOMMENDATIONS</w:t>
      </w:r>
    </w:p>
    <w:p>
      <w:pPr>
        <w:pStyle w:val="ListBullet"/>
        <w:spacing w:after="120"/>
        <w:ind w:left="720"/>
      </w:pPr>
      <w:r>
        <w:t>Financial Management Priorities</w:t>
      </w:r>
    </w:p>
    <w:p>
      <w:pPr>
        <w:spacing w:after="120" w:line="276" w:lineRule="auto"/>
      </w:pPr>
      <w:r>
        <w:t>This priority is based on the identified patterns in financial performance metrics. Financial management priorities should focus on maintaining strong profitability, improving operational efficiency, and managing financial risks.</w:t>
      </w:r>
    </w:p>
    <w:p>
      <w:pPr>
        <w:pStyle w:val="ListBullet"/>
        <w:spacing w:after="120"/>
        <w:ind w:left="720"/>
      </w:pPr>
      <w:r>
        <w:t>Investment Considerations</w:t>
      </w:r>
    </w:p>
    <w:p>
      <w:pPr>
        <w:spacing w:after="120" w:line="276" w:lineRule="auto"/>
      </w:pPr>
      <w:r>
        <w:t>Investment considerations should focus on opportunities to expand into new markets, develop new services, and improve operational efficiency. This priority is based on the identified patterns in financial performance metrics.</w:t>
      </w:r>
    </w:p>
    <w:p>
      <w:pPr>
        <w:pStyle w:val="ListBullet"/>
        <w:spacing w:after="120"/>
        <w:ind w:left="720"/>
      </w:pPr>
      <w:r>
        <w:t>Risk Mitigation Strategies</w:t>
      </w:r>
    </w:p>
    <w:p>
      <w:pPr>
        <w:spacing w:after="120" w:line="276" w:lineRule="auto"/>
      </w:pPr>
      <w:r>
        <w:t>Risk mitigation strategies should focus on addressing potential financial, market, and operational risks. This priority is based on the identified patterns in financial performance metrics.</w:t>
      </w:r>
    </w:p>
    <w:p>
      <w:pPr>
        <w:spacing w:after="120" w:line="276" w:lineRule="auto"/>
      </w:pPr>
      <w:r>
        <w:t>DaVita exhibits a generally favorable financial profile, characterized by strong profitability and efficient operations. The company appears well-positioned for continued success, though a more comprehensive analysis is needed to fully assess its long-term stability and growth potential.</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2026-04-06 11:38:28</w:t>
      </w:r>
    </w:p>
    <w:p>
      <w:pPr>
        <w:spacing w:after="120"/>
      </w:pPr>
      <w:r>
        <w:rPr>
          <w:b/>
          <w:color w:val="000080"/>
        </w:rPr>
        <w:t xml:space="preserve">Session ID: </w:t>
      </w:r>
      <w:r>
        <w:t>74f0e707-a70a-4c41-bb20-a168851bb64a</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