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2026-03-31 12:48:43</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spacing w:after="120" w:line="276" w:lineRule="auto"/>
      </w:pPr>
      <w:r>
        <w:t>Davita</w:t>
      </w:r>
    </w:p>
    <w:p>
      <w:pPr>
        <w:pStyle w:val="Heading1"/>
      </w:pPr>
      <w:r>
        <w:t>EXECUTIVE SUMMARY</w:t>
      </w:r>
    </w:p>
    <w:p>
      <w:pPr>
        <w:spacing w:after="120" w:line="276" w:lineRule="auto"/>
      </w:pPr>
      <w:r>
        <w:t>Davita exhibits a profile of robust financial health, characterized by efficient operations and strong profitability. The company appears well-positioned within its market, demonstrating a capacity for sustained financial performance. Strategic recommendations focus on maintaining operational efficiency and exploring avenues for sustainable growth.</w:t>
      </w:r>
    </w:p>
    <w:p>
      <w:pPr>
        <w:pStyle w:val="Heading1"/>
      </w:pPr>
      <w:r>
        <w:t>1.0 BUSINESS EFFICIENCY PROFILE</w:t>
      </w:r>
    </w:p>
    <w:p>
      <w:pPr>
        <w:pStyle w:val="ListBullet"/>
        <w:spacing w:after="120"/>
        <w:ind w:left="720"/>
      </w:pPr>
      <w:r>
        <w:t>Revenue Model Characteristics</w:t>
      </w:r>
    </w:p>
    <w:p>
      <w:pPr>
        <w:spacing w:after="120" w:line="276" w:lineRule="auto"/>
      </w:pPr>
      <w:r>
        <w:t>Davita's revenue model demonstrates substantial scale, suggesting a significant market presence. This assessment is justified by the operational scope implied in the financial data, indicating a well-established revenue generation system.</w:t>
      </w:r>
    </w:p>
    <w:p>
      <w:pPr>
        <w:pStyle w:val="ListBullet"/>
        <w:spacing w:after="120"/>
        <w:ind w:left="720"/>
      </w:pPr>
      <w:r>
        <w:t>Cost Management Approach</w:t>
      </w:r>
    </w:p>
    <w:p>
      <w:pPr>
        <w:spacing w:after="120" w:line="276" w:lineRule="auto"/>
      </w:pPr>
      <w:r>
        <w:t>The company employs an efficient cost management approach, contributing to strong profitability. This efficiency assessment is justified by the operational margin patterns observed in financial data, reflecting effective control over operating expenses.</w:t>
      </w:r>
    </w:p>
    <w:p>
      <w:pPr>
        <w:pStyle w:val="ListBullet"/>
        <w:spacing w:after="120"/>
        <w:ind w:left="720"/>
      </w:pPr>
      <w:r>
        <w:t>Profit Sustainability</w:t>
      </w:r>
    </w:p>
    <w:p>
      <w:pPr>
        <w:spacing w:after="120" w:line="276" w:lineRule="auto"/>
      </w:pPr>
      <w:r>
        <w:t>Profit sustainability appears strong, indicating a capacity to maintain profitability over time. This assessment is evidenced by the net margin performance, suggesting a resilient ability to convert revenue into profit.</w:t>
      </w:r>
    </w:p>
    <w:p>
      <w:pPr>
        <w:pStyle w:val="Heading1"/>
      </w:pPr>
      <w:r>
        <w:t>2.0 OPERATIONAL STABILITY</w:t>
      </w:r>
    </w:p>
    <w:p>
      <w:pPr>
        <w:pStyle w:val="ListBullet"/>
        <w:spacing w:after="120"/>
        <w:ind w:left="720"/>
      </w:pPr>
      <w:r>
        <w:t>Business Resilience Factors</w:t>
      </w:r>
    </w:p>
    <w:p>
      <w:pPr>
        <w:spacing w:after="120" w:line="276" w:lineRule="auto"/>
      </w:pPr>
      <w:r>
        <w:t>Business resilience factors are evident, suggesting a capacity to withstand market fluctuations. The stability analysis suggests a robust financial structure capable of supporting ongoing operations.</w:t>
      </w:r>
    </w:p>
    <w:p>
      <w:pPr>
        <w:pStyle w:val="ListBullet"/>
        <w:spacing w:after="120"/>
        <w:ind w:left="720"/>
      </w:pPr>
      <w:r>
        <w:t>Resource Management Effectiveness</w:t>
      </w:r>
    </w:p>
    <w:p>
      <w:pPr>
        <w:spacing w:after="120" w:line="276" w:lineRule="auto"/>
      </w:pPr>
      <w:r>
        <w:t>Resource management effectiveness is apparent, indicating efficient utilization of assets. This assessment is justified by the return on assets, reflecting effective deployment of resources to generate income.</w:t>
      </w:r>
    </w:p>
    <w:p>
      <w:pPr>
        <w:pStyle w:val="ListBullet"/>
        <w:spacing w:after="120"/>
        <w:ind w:left="720"/>
      </w:pPr>
      <w:r>
        <w:t>Financial Flexibility</w:t>
      </w:r>
    </w:p>
    <w:p>
      <w:pPr>
        <w:spacing w:after="120" w:line="276" w:lineRule="auto"/>
      </w:pPr>
      <w:r>
        <w:t>Financial flexibility is present, providing the company with options for strategic initiatives. This flexibility is evidenced by the debt-to-equity ratio, suggesting a balanced capital structure.</w:t>
      </w:r>
    </w:p>
    <w:p>
      <w:pPr>
        <w:pStyle w:val="Heading1"/>
      </w:pPr>
      <w:r>
        <w:t>3.0 GROWTH TRAJECTORY</w:t>
      </w:r>
    </w:p>
    <w:p>
      <w:pPr>
        <w:pStyle w:val="ListBullet"/>
        <w:spacing w:after="120"/>
        <w:ind w:left="720"/>
      </w:pPr>
      <w:r>
        <w:t>Expansion Potential</w:t>
      </w:r>
    </w:p>
    <w:p>
      <w:pPr>
        <w:spacing w:after="120" w:line="276" w:lineRule="auto"/>
      </w:pPr>
      <w:r>
        <w:t>Expansion potential exists, indicating opportunities for future growth. This potential is evidenced by the market capitalization, suggesting a significant market presence that could support further expansion.</w:t>
      </w:r>
    </w:p>
    <w:p>
      <w:pPr>
        <w:pStyle w:val="ListBullet"/>
        <w:spacing w:after="120"/>
        <w:ind w:left="720"/>
      </w:pPr>
      <w:r>
        <w:t>Market Position Advancement</w:t>
      </w:r>
    </w:p>
    <w:p>
      <w:pPr>
        <w:spacing w:after="120" w:line="276" w:lineRule="auto"/>
      </w:pPr>
      <w:r>
        <w:t>Market position advancement is likely, suggesting a capacity to improve market share. This assessment is justified by the company's financial performance, indicating a competitive advantage that could drive market position gains.</w:t>
      </w:r>
    </w:p>
    <w:p>
      <w:pPr>
        <w:pStyle w:val="ListBullet"/>
        <w:spacing w:after="120"/>
        <w:ind w:left="720"/>
      </w:pPr>
      <w:r>
        <w:t>Strategic Growth Capabilities</w:t>
      </w:r>
    </w:p>
    <w:p>
      <w:pPr>
        <w:spacing w:after="120" w:line="276" w:lineRule="auto"/>
      </w:pPr>
      <w:r>
        <w:t>Strategic growth capabilities are apparent, indicating a capacity to execute growth initiatives. This assessment is based on the company's financial health indicators, suggesting a solid foundation for strategic investments.</w:t>
      </w:r>
    </w:p>
    <w:p>
      <w:pPr>
        <w:pStyle w:val="Heading1"/>
      </w:pPr>
      <w:r>
        <w:t>4.0 COMPETITIVE FINANCIAL POSITIONING</w:t>
      </w:r>
    </w:p>
    <w:p>
      <w:pPr>
        <w:pStyle w:val="ListBullet"/>
        <w:spacing w:after="120"/>
        <w:ind w:left="720"/>
      </w:pPr>
      <w:r>
        <w:t>Financial Stability Comparison</w:t>
      </w:r>
    </w:p>
    <w:p>
      <w:pPr>
        <w:spacing w:after="120" w:line="276" w:lineRule="auto"/>
      </w:pPr>
      <w:r>
        <w:t>Financial stability is strong compared to competitors, as evidenced by the relative positioning in financial health indicators. This suggests a competitive advantage in terms of financial resilience.</w:t>
      </w:r>
    </w:p>
    <w:p>
      <w:pPr>
        <w:pStyle w:val="ListBullet"/>
        <w:spacing w:after="120"/>
        <w:ind w:left="720"/>
      </w:pPr>
      <w:r>
        <w:t>Risk Management Capabilities</w:t>
      </w:r>
    </w:p>
    <w:p>
      <w:pPr>
        <w:spacing w:after="120" w:line="276" w:lineRule="auto"/>
      </w:pPr>
      <w:r>
        <w:t>Risk management capabilities are evident, indicating a proactive approach to mitigating financial risks. Risk assessment indicates this based on financial structure, suggesting a capacity to manage debt and maintain stability.</w:t>
      </w:r>
    </w:p>
    <w:p>
      <w:pPr>
        <w:pStyle w:val="ListBullet"/>
        <w:spacing w:after="120"/>
        <w:ind w:left="720"/>
      </w:pPr>
      <w:r>
        <w:t>Strategic Financial Advantages</w:t>
      </w:r>
    </w:p>
    <w:p>
      <w:pPr>
        <w:spacing w:after="120" w:line="276" w:lineRule="auto"/>
      </w:pPr>
      <w:r>
        <w:t>Strategic financial advantages are present, providing a competitive edge in the market. This assessment is justified by the company's profitability, indicating a capacity to generate superior returns.</w:t>
      </w:r>
    </w:p>
    <w:p>
      <w:pPr>
        <w:pStyle w:val="Heading1"/>
      </w:pPr>
      <w:r>
        <w:t>5.0 STRATEGIC FINANCIAL RECOMMENDATIONS</w:t>
      </w:r>
    </w:p>
    <w:p>
      <w:pPr>
        <w:pStyle w:val="ListBullet"/>
        <w:spacing w:after="120"/>
        <w:ind w:left="720"/>
      </w:pPr>
      <w:r>
        <w:t>Financial Management Priorities</w:t>
      </w:r>
    </w:p>
    <w:p>
      <w:pPr>
        <w:spacing w:after="120" w:line="276" w:lineRule="auto"/>
      </w:pPr>
      <w:r>
        <w:t>Financial management priorities should focus on maintaining operational efficiency and profitability. This priority is based on the identified patterns in financial performance metrics, suggesting a need to sustain current strengths.</w:t>
      </w:r>
    </w:p>
    <w:p>
      <w:pPr>
        <w:pStyle w:val="ListBullet"/>
        <w:spacing w:after="120"/>
        <w:ind w:left="720"/>
      </w:pPr>
      <w:r>
        <w:t>Investment Considerations</w:t>
      </w:r>
    </w:p>
    <w:p>
      <w:pPr>
        <w:spacing w:after="120" w:line="276" w:lineRule="auto"/>
      </w:pPr>
      <w:r>
        <w:t>Investment considerations should include exploring opportunities for sustainable growth and market expansion. This consideration is based on the company's market position, suggesting a capacity to capitalize on growth opportunities.</w:t>
      </w:r>
    </w:p>
    <w:p>
      <w:pPr>
        <w:pStyle w:val="ListBullet"/>
        <w:spacing w:after="120"/>
        <w:ind w:left="720"/>
      </w:pPr>
      <w:r>
        <w:t>Risk Mitigation Strategies</w:t>
      </w:r>
    </w:p>
    <w:p>
      <w:pPr>
        <w:spacing w:after="120" w:line="276" w:lineRule="auto"/>
      </w:pPr>
      <w:r>
        <w:t>Risk mitigation strategies should focus on maintaining a balanced capital structure and managing operational risks. This strategy is based on the company's financial structure, suggesting a need to manage debt and maintain stability.</w:t>
      </w:r>
    </w:p>
    <w:p>
      <w:pPr>
        <w:spacing w:after="120" w:line="276" w:lineRule="auto"/>
      </w:pPr>
      <w:r>
        <w:t>Davita demonstrates a strong financial position, characterized by efficient operations, robust profitability, and a capacity for sustainable growth. Strategic recommendations focus on maintaining operational efficiency, exploring growth opportunities, and mitigating financial risks.</w:t>
      </w:r>
    </w:p>
    <w:p>
      <w:pPr>
        <w:pStyle w:val="ListNumber"/>
        <w:spacing w:after="120"/>
        <w:ind w:left="720"/>
      </w:pPr>
      <w:r>
        <w:t>1. Based on comprehensive financial ratio analysis of Davita...</w:t>
      </w:r>
    </w:p>
    <w:p>
      <w:pPr>
        <w:pStyle w:val="ListNumber"/>
        <w:spacing w:after="120"/>
        <w:ind w:left="720"/>
      </w:pPr>
      <w:r>
        <w:t>2. This efficiency assessment is justified by the operational margin patterns observed in financial data...</w:t>
      </w:r>
    </w:p>
    <w:p>
      <w:pPr>
        <w:pStyle w:val="ListNumber"/>
        <w:spacing w:after="120"/>
        <w:ind w:left="720"/>
      </w:pPr>
      <w:r>
        <w:t>3. as evidenced by the relative positioning in financial health indicators</w:t>
      </w:r>
    </w:p>
    <w:p>
      <w:pPr>
        <w:pStyle w:val="ListNumber"/>
        <w:spacing w:after="120"/>
        <w:ind w:left="720"/>
      </w:pPr>
      <w:r>
        <w:t>4. The stability analysis suggests...</w:t>
      </w:r>
    </w:p>
    <w:p>
      <w:pPr>
        <w:pStyle w:val="ListNumber"/>
        <w:spacing w:after="120"/>
        <w:ind w:left="720"/>
      </w:pPr>
      <w:r>
        <w:t>5. Risk assessment indicates based on financial structure...</w:t>
      </w:r>
    </w:p>
    <w:p>
      <w:pPr>
        <w:pStyle w:val="ListNumber"/>
        <w:spacing w:after="120"/>
        <w:ind w:left="720"/>
      </w:pPr>
      <w:r>
        <w:t>6. This priority is based on the identified patterns in financial performance metrics</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2026-03-31 12:48:43</w:t>
      </w:r>
    </w:p>
    <w:p>
      <w:pPr>
        <w:spacing w:after="120"/>
      </w:pPr>
      <w:r>
        <w:rPr>
          <w:b/>
          <w:color w:val="000080"/>
        </w:rPr>
        <w:t xml:space="preserve">Session ID: </w:t>
      </w:r>
      <w:r>
        <w:t>778d10dc-7b14-45d3-85c9-ac424be6874c</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