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2026-04-01 16:06:21</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pStyle w:val="Heading1"/>
      </w:pPr>
      <w:r>
        <w:t>EXECUTIVE SUMMARY</w:t>
      </w:r>
    </w:p>
    <w:p>
      <w:pPr>
        <w:spacing w:after="120" w:line="276" w:lineRule="auto"/>
      </w:pPr>
      <w:r>
        <w:t>DaVita exhibits a strong financial profile, characterized by efficient operations and a conservative capital structure. The company demonstrates robust profitability, suggesting effective management and a well-defined business model. However, a comprehensive assessment is limited by the absence of complete liquidity and growth trend data, necessitating a cautious yet optimistic outlook.</w:t>
      </w:r>
    </w:p>
    <w:p>
      <w:pPr>
        <w:pStyle w:val="Heading1"/>
      </w:pPr>
      <w:r>
        <w:t>1.0 BUSINESS EFFICIENCY PROFILE</w:t>
      </w:r>
    </w:p>
    <w:p>
      <w:pPr>
        <w:pStyle w:val="ListBullet"/>
        <w:spacing w:after="120"/>
        <w:ind w:left="720"/>
      </w:pPr>
      <w:r>
        <w:t>Revenue Model Characteristics</w:t>
      </w:r>
    </w:p>
    <w:p>
      <w:pPr>
        <w:spacing w:after="120" w:line="276" w:lineRule="auto"/>
      </w:pPr>
      <w:r>
        <w:t>DaVita's revenue model appears to be well-established, generating substantial income. This assessment is justified by the significant revenue figures observed in the financial data, suggesting a mature and scalable business operation.</w:t>
      </w:r>
    </w:p>
    <w:p>
      <w:pPr>
        <w:pStyle w:val="ListBullet"/>
        <w:spacing w:after="120"/>
        <w:ind w:left="720"/>
      </w:pPr>
      <w:r>
        <w:t>Cost Management Approach</w:t>
      </w:r>
    </w:p>
    <w:p>
      <w:pPr>
        <w:spacing w:after="120" w:line="276" w:lineRule="auto"/>
      </w:pPr>
      <w:r>
        <w:t>The company demonstrates an efficient cost management approach, as evidenced by the strong operating margin patterns observed in the financial data. This indicates effective control over operational expenses relative to revenue generation.</w:t>
      </w:r>
    </w:p>
    <w:p>
      <w:pPr>
        <w:pStyle w:val="ListBullet"/>
        <w:spacing w:after="120"/>
        <w:ind w:left="720"/>
      </w:pPr>
      <w:r>
        <w:t>Profit Sustainability</w:t>
      </w:r>
    </w:p>
    <w:p>
      <w:pPr>
        <w:spacing w:after="120" w:line="276" w:lineRule="auto"/>
      </w:pPr>
      <w:r>
        <w:t>Profit sustainability appears robust, supported by healthy net margins. This assessment is justified by the significant portion of revenue translating into net profit, suggesting a resilient and well-managed cost structure.</w:t>
      </w:r>
    </w:p>
    <w:p>
      <w:pPr>
        <w:pStyle w:val="Heading1"/>
      </w:pPr>
      <w:r>
        <w:t>2.0 OPERATIONAL STABILITY</w:t>
      </w:r>
    </w:p>
    <w:p>
      <w:pPr>
        <w:pStyle w:val="ListBullet"/>
        <w:spacing w:after="120"/>
        <w:ind w:left="720"/>
      </w:pPr>
      <w:r>
        <w:t>Business Resilience Factors</w:t>
      </w:r>
    </w:p>
    <w:p>
      <w:pPr>
        <w:spacing w:after="120" w:line="276" w:lineRule="auto"/>
      </w:pPr>
      <w:r>
        <w:t>Business resilience is supported by a conservative capital structure, as evidenced by the relatively low debt-to-equity ratio. This suggests a reliance on equity financing, contributing to financial stability.</w:t>
      </w:r>
    </w:p>
    <w:p>
      <w:pPr>
        <w:pStyle w:val="ListBullet"/>
        <w:spacing w:after="120"/>
        <w:ind w:left="720"/>
      </w:pPr>
      <w:r>
        <w:t>Resource Management Effectiveness</w:t>
      </w:r>
    </w:p>
    <w:p>
      <w:pPr>
        <w:spacing w:after="120" w:line="276" w:lineRule="auto"/>
      </w:pPr>
      <w:r>
        <w:t>Resource management appears effective, as evidenced by the return on assets (ROA), indicating efficient asset utilization. This assessment is justified by the company's ability to generate income relative to its asset base.</w:t>
      </w:r>
    </w:p>
    <w:p>
      <w:pPr>
        <w:pStyle w:val="ListBullet"/>
        <w:spacing w:after="120"/>
        <w:ind w:left="720"/>
      </w:pPr>
      <w:r>
        <w:t>Financial Flexibility</w:t>
      </w:r>
    </w:p>
    <w:p>
      <w:pPr>
        <w:spacing w:after="120" w:line="276" w:lineRule="auto"/>
      </w:pPr>
      <w:r>
        <w:t>Financial flexibility is supported by strong profitability, providing a buffer against economic downturns. This assessment is justified by the high operating and net margins, indicating a capacity to absorb financial shocks.</w:t>
      </w:r>
    </w:p>
    <w:p>
      <w:pPr>
        <w:pStyle w:val="Heading1"/>
      </w:pPr>
      <w:r>
        <w:t>3.0 GROWTH TRAJECTORY</w:t>
      </w:r>
    </w:p>
    <w:p>
      <w:pPr>
        <w:pStyle w:val="ListBullet"/>
        <w:spacing w:after="120"/>
        <w:ind w:left="720"/>
      </w:pPr>
      <w:r>
        <w:t>Expansion Potential</w:t>
      </w:r>
    </w:p>
    <w:p>
      <w:pPr>
        <w:spacing w:after="120" w:line="276" w:lineRule="auto"/>
      </w:pPr>
      <w:r>
        <w:t>Expansion potential is difficult to fully assess without historical revenue and profit data. However, the company's established market presence suggests opportunities for continued growth.</w:t>
      </w:r>
    </w:p>
    <w:p>
      <w:pPr>
        <w:pStyle w:val="ListBullet"/>
        <w:spacing w:after="120"/>
        <w:ind w:left="720"/>
      </w:pPr>
      <w:r>
        <w:t>Market Position Advancement</w:t>
      </w:r>
    </w:p>
    <w:p>
      <w:pPr>
        <w:spacing w:after="120" w:line="276" w:lineRule="auto"/>
      </w:pPr>
      <w:r>
        <w:t>Market position advancement requires further industry analysis to understand DaVita's competitive landscape and market share. However, the company's substantial revenue suggests a significant market presence.</w:t>
      </w:r>
    </w:p>
    <w:p>
      <w:pPr>
        <w:pStyle w:val="ListBullet"/>
        <w:spacing w:after="120"/>
        <w:ind w:left="720"/>
      </w:pPr>
      <w:r>
        <w:t>Strategic Growth Capabilities</w:t>
      </w:r>
    </w:p>
    <w:p>
      <w:pPr>
        <w:spacing w:after="120" w:line="276" w:lineRule="auto"/>
      </w:pPr>
      <w:r>
        <w:t>Strategic growth capabilities are supported by the company's financial stability and profitability. This assessment is justified by the ability to invest in strategic initiatives and capitalize on market opportunities.</w:t>
      </w:r>
    </w:p>
    <w:p>
      <w:pPr>
        <w:pStyle w:val="Heading1"/>
      </w:pPr>
      <w:r>
        <w:t>4.0 COMPETITIVE FINANCIAL POSITIONING</w:t>
      </w:r>
    </w:p>
    <w:p>
      <w:pPr>
        <w:pStyle w:val="ListBullet"/>
        <w:spacing w:after="120"/>
        <w:ind w:left="720"/>
      </w:pPr>
      <w:r>
        <w:t>Financial Stability Comparison</w:t>
      </w:r>
    </w:p>
    <w:p>
      <w:pPr>
        <w:spacing w:after="120" w:line="276" w:lineRule="auto"/>
      </w:pPr>
      <w:r>
        <w:t>Financial stability appears strong compared to peers, as evidenced by the conservative capital structure and robust profitability. This assessment is justified by the low debt-to-equity ratio and high margins.</w:t>
      </w:r>
    </w:p>
    <w:p>
      <w:pPr>
        <w:pStyle w:val="ListBullet"/>
        <w:spacing w:after="120"/>
        <w:ind w:left="720"/>
      </w:pPr>
      <w:r>
        <w:t>Risk Management Capabilities</w:t>
      </w:r>
    </w:p>
    <w:p>
      <w:pPr>
        <w:spacing w:after="120" w:line="276" w:lineRule="auto"/>
      </w:pPr>
      <w:r>
        <w:t>Risk management capabilities are supported by the company's financial stability and profitability. However, the absence of liquidity data presents a potential risk factor.</w:t>
      </w:r>
    </w:p>
    <w:p>
      <w:pPr>
        <w:pStyle w:val="ListBullet"/>
        <w:spacing w:after="120"/>
        <w:ind w:left="720"/>
      </w:pPr>
      <w:r>
        <w:t>Strategic Financial Advantages</w:t>
      </w:r>
    </w:p>
    <w:p>
      <w:pPr>
        <w:spacing w:after="120" w:line="276" w:lineRule="auto"/>
      </w:pPr>
      <w:r>
        <w:t>Strategic financial advantages include the company's efficient operations and conservative capital structure. These advantages position DaVita favorably in the competitive landscape.</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strong profitability and improving liquidity management. This priority is based on the identified patterns in financial performance metrics and the absence of liquidity data.</w:t>
      </w:r>
    </w:p>
    <w:p>
      <w:pPr>
        <w:pStyle w:val="ListBullet"/>
        <w:spacing w:after="120"/>
        <w:ind w:left="720"/>
      </w:pPr>
      <w:r>
        <w:t>Investment Considerations</w:t>
      </w:r>
    </w:p>
    <w:p>
      <w:pPr>
        <w:spacing w:after="120" w:line="276" w:lineRule="auto"/>
      </w:pPr>
      <w:r>
        <w:t>Investment considerations should focus on strategic growth initiatives and operational efficiency improvements. This recommendation is based on the company's established market presence and potential for continued growth.</w:t>
      </w:r>
    </w:p>
    <w:p>
      <w:pPr>
        <w:pStyle w:val="ListBullet"/>
        <w:spacing w:after="120"/>
        <w:ind w:left="720"/>
      </w:pPr>
      <w:r>
        <w:t>Risk Mitigation Strategies</w:t>
      </w:r>
    </w:p>
    <w:p>
      <w:pPr>
        <w:spacing w:after="120" w:line="276" w:lineRule="auto"/>
      </w:pPr>
      <w:r>
        <w:t>Risk mitigation strategies should focus on addressing potential liquidity risks and monitoring regulatory changes in the healthcare industry. This recommendation is based on the absence of liquidity data and the regulatory environment.</w:t>
      </w:r>
    </w:p>
    <w:p>
      <w:pPr>
        <w:spacing w:after="120" w:line="276" w:lineRule="auto"/>
      </w:pPr>
      <w:r>
        <w:t>DaVita demonstrates a strong financial profile, characterized by efficient operations and a conservative capital structure. The company's robust profitability and financial stability position it favorably in the market. However, the absence of complete liquidity and growth trend data necessitates a cautious yet optimistic outlook. Further analysis is required to fully assess the company's growth potential and risk profile.</w:t>
      </w:r>
    </w:p>
    <w:p>
      <w:pPr>
        <w:pStyle w:val="ListNumber"/>
        <w:spacing w:after="120"/>
        <w:ind w:left="720"/>
      </w:pPr>
      <w:r>
        <w:t>1. Based on comprehensive financial ratio analysis of Davita, the company exhibits strong profitability and financial stability.</w:t>
      </w:r>
    </w:p>
    <w:p>
      <w:pPr>
        <w:pStyle w:val="ListNumber"/>
        <w:spacing w:after="120"/>
        <w:ind w:left="720"/>
      </w:pPr>
      <w:r>
        <w:t>2. This efficiency assessment is justified by the operational margin patterns observed in financial data, indicating effective cost management.</w:t>
      </w:r>
    </w:p>
    <w:p>
      <w:pPr>
        <w:pStyle w:val="ListNumber"/>
        <w:spacing w:after="120"/>
        <w:ind w:left="720"/>
      </w:pPr>
      <w:r>
        <w:t>3. The stability analysis suggests a conservative capital structure, as evidenced by the relative positioning in financial health indicators.</w:t>
      </w:r>
    </w:p>
    <w:p>
      <w:pPr>
        <w:pStyle w:val="ListNumber"/>
        <w:spacing w:after="120"/>
        <w:ind w:left="720"/>
      </w:pPr>
      <w:r>
        <w:t>4. Risk assessment indicates based on financial structure a low debt-to-equity ratio, mitigating financial risk.</w:t>
      </w:r>
    </w:p>
    <w:p>
      <w:pPr>
        <w:pStyle w:val="ListNumber"/>
        <w:spacing w:after="120"/>
        <w:ind w:left="720"/>
      </w:pPr>
      <w:r>
        <w:t>5. This priority is based on the identified patterns in financial performance metrics, focusing on maintaining strong profitability and improving liquidity management.</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2026-04-01 16:06:21</w:t>
      </w:r>
    </w:p>
    <w:p>
      <w:pPr>
        <w:spacing w:after="120"/>
      </w:pPr>
      <w:r>
        <w:rPr>
          <w:b/>
          <w:color w:val="000080"/>
        </w:rPr>
        <w:t xml:space="preserve">Session ID: </w:t>
      </w:r>
      <w:r>
        <w:t>8201f008-8295-42b1-860a-33b0961ea13c</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