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2026-03-27 15:55:22</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presents a profile of strong profitability and operational efficiency, as evidenced by the financial data. The company appears to be effectively managing its resources and generating substantial returns. However, a comprehensive assessment of liquidity and solvency requires further investigation. The company's market capitalization suggests a significant market presence, but a deeper understanding of its competitive positioning and growth potential is necessary to fully evaluate its financial health.</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highly effective in generating substantial income, as evidenced by the company's revenue figures. The model's characteristics suggest a robust and scalable approach to revenue generation.</w:t>
      </w:r>
    </w:p>
    <w:p>
      <w:pPr>
        <w:pStyle w:val="ListBullet"/>
        <w:spacing w:after="120"/>
        <w:ind w:left="720"/>
      </w:pPr>
      <w:r>
        <w:t>Cost Management Approach</w:t>
      </w:r>
    </w:p>
    <w:p>
      <w:pPr>
        <w:spacing w:after="120" w:line="276" w:lineRule="auto"/>
      </w:pPr>
      <w:r>
        <w:t>The company demonstrates an efficient cost management approach, as evidenced by the operational margin patterns observed in financial data. This suggests a disciplined focus on controlling expenses and maximizing profitability.</w:t>
      </w:r>
    </w:p>
    <w:p>
      <w:pPr>
        <w:pStyle w:val="ListBullet"/>
        <w:spacing w:after="120"/>
        <w:ind w:left="720"/>
      </w:pPr>
      <w:r>
        <w:t>Profit Sustainability</w:t>
      </w:r>
    </w:p>
    <w:p>
      <w:pPr>
        <w:spacing w:after="120" w:line="276" w:lineRule="auto"/>
      </w:pPr>
      <w:r>
        <w:t>Profit sustainability appears strong, supported by the net margin and return on assets. This indicates a capacity to maintain profitability over time, assuming stable market conditions and effective management practices.</w:t>
      </w:r>
    </w:p>
    <w:p>
      <w:pPr>
        <w:pStyle w:val="Heading1"/>
      </w:pPr>
      <w:r>
        <w:t>2.0 OPERATIONAL STABILITY</w:t>
      </w:r>
    </w:p>
    <w:p>
      <w:pPr>
        <w:pStyle w:val="ListBullet"/>
        <w:spacing w:after="120"/>
        <w:ind w:left="720"/>
      </w:pPr>
      <w:r>
        <w:t>Business Resilience Factors</w:t>
      </w:r>
    </w:p>
    <w:p>
      <w:pPr>
        <w:spacing w:after="120" w:line="276" w:lineRule="auto"/>
      </w:pPr>
      <w:r>
        <w:t>The stability analysis suggests a resilient business model, as evidenced by the company's ability to generate consistent profits. This resilience is likely supported by a diversified revenue base and effective risk management practices.</w:t>
      </w:r>
    </w:p>
    <w:p>
      <w:pPr>
        <w:pStyle w:val="ListBullet"/>
        <w:spacing w:after="120"/>
        <w:ind w:left="720"/>
      </w:pPr>
      <w:r>
        <w:t>Resource Management Effectiveness</w:t>
      </w:r>
    </w:p>
    <w:p>
      <w:pPr>
        <w:spacing w:after="120" w:line="276" w:lineRule="auto"/>
      </w:pPr>
      <w:r>
        <w:t>Resource management effectiveness is evident in the company's ability to generate high returns on assets and equity. This indicates efficient utilization of resources and effective allocation of capital.</w:t>
      </w:r>
    </w:p>
    <w:p>
      <w:pPr>
        <w:pStyle w:val="ListBullet"/>
        <w:spacing w:after="120"/>
        <w:ind w:left="720"/>
      </w:pPr>
      <w:r>
        <w:t>Financial Flexibility</w:t>
      </w:r>
    </w:p>
    <w:p>
      <w:pPr>
        <w:spacing w:after="120" w:line="276" w:lineRule="auto"/>
      </w:pPr>
      <w:r>
        <w:t>Financial flexibility appears adequate, as evidenced by the company's equity position. This provides a buffer against unforeseen challenges and allows for strategic investments in growth opportunities.</w:t>
      </w:r>
    </w:p>
    <w:p>
      <w:pPr>
        <w:pStyle w:val="Heading1"/>
      </w:pPr>
      <w:r>
        <w:t>3.0 GROWTH TRAJECTORY</w:t>
      </w:r>
    </w:p>
    <w:p>
      <w:pPr>
        <w:pStyle w:val="ListBullet"/>
        <w:spacing w:after="120"/>
        <w:ind w:left="720"/>
      </w:pPr>
      <w:r>
        <w:t>Expansion Potential</w:t>
      </w:r>
    </w:p>
    <w:p>
      <w:pPr>
        <w:spacing w:after="120" w:line="276" w:lineRule="auto"/>
      </w:pPr>
      <w:r>
        <w:t>Expansion potential is likely significant, given the company's strong financial performance and market capitalization. This suggests a capacity to pursue strategic acquisitions or organic growth initiatives.</w:t>
      </w:r>
    </w:p>
    <w:p>
      <w:pPr>
        <w:pStyle w:val="ListBullet"/>
        <w:spacing w:after="120"/>
        <w:ind w:left="720"/>
      </w:pPr>
      <w:r>
        <w:t>Market Position Advancement</w:t>
      </w:r>
    </w:p>
    <w:p>
      <w:pPr>
        <w:spacing w:after="120" w:line="276" w:lineRule="auto"/>
      </w:pPr>
      <w:r>
        <w:t>Market position advancement is supported by the company's revenue and profitability. This indicates a capacity to gain market share and strengthen its competitive position.</w:t>
      </w:r>
    </w:p>
    <w:p>
      <w:pPr>
        <w:pStyle w:val="ListBullet"/>
        <w:spacing w:after="120"/>
        <w:ind w:left="720"/>
      </w:pPr>
      <w:r>
        <w:t>Strategic Growth Capabilities</w:t>
      </w:r>
    </w:p>
    <w:p>
      <w:pPr>
        <w:spacing w:after="120" w:line="276" w:lineRule="auto"/>
      </w:pPr>
      <w:r>
        <w:t>Strategic growth capabilities are evident in the company's ability to generate high returns on assets and equity. This suggests a capacity to effectively manage growth and create value for shareholders.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appears strong compared to competitors, as evidenced by the company's profitability and equity position. This suggests a competitive advantage in terms of financial resources and risk management.</w:t>
      </w:r>
    </w:p>
    <w:p>
      <w:pPr>
        <w:pStyle w:val="ListBullet"/>
        <w:spacing w:after="120"/>
        <w:ind w:left="720"/>
      </w:pPr>
      <w:r>
        <w:t>Risk Management Capabilities</w:t>
      </w:r>
    </w:p>
    <w:p>
      <w:pPr>
        <w:spacing w:after="120" w:line="276" w:lineRule="auto"/>
      </w:pPr>
      <w:r>
        <w:t>Risk management capabilities are likely well-developed, given the company's ability to generate consistent profits and maintain a strong equity position. This indicates a proactive approach to identifying and mitigating risks.</w:t>
      </w:r>
    </w:p>
    <w:p>
      <w:pPr>
        <w:pStyle w:val="ListBullet"/>
        <w:spacing w:after="120"/>
        <w:ind w:left="720"/>
      </w:pPr>
      <w:r>
        <w:t>Strategic Financial Advantages</w:t>
      </w:r>
    </w:p>
    <w:p>
      <w:pPr>
        <w:spacing w:after="120" w:line="276" w:lineRule="auto"/>
      </w:pPr>
      <w:r>
        <w:t>Strategic financial advantages are evident in the company's ability to generate high returns on assets and equity. This provides a competitive edge in terms of attracting capital and pursuing growth opportunities.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profitability and managing risk, as evidenced by the relative positioning in financial health indicators. This includes continuing to control costs and effectively allocate capital.</w:t>
      </w:r>
    </w:p>
    <w:p>
      <w:pPr>
        <w:pStyle w:val="ListBullet"/>
        <w:spacing w:after="120"/>
        <w:ind w:left="720"/>
      </w:pPr>
      <w:r>
        <w:t>Investment Considerations</w:t>
      </w:r>
    </w:p>
    <w:p>
      <w:pPr>
        <w:spacing w:after="120" w:line="276" w:lineRule="auto"/>
      </w:pPr>
      <w:r>
        <w:t>Investment considerations should prioritize growth opportunities that align with the company's strategic objectives, as evidenced by the company's revenue and profitability. This includes pursuing strategic acquisitions or organic growth initiatives.</w:t>
      </w:r>
    </w:p>
    <w:p>
      <w:pPr>
        <w:pStyle w:val="ListBullet"/>
        <w:spacing w:after="120"/>
        <w:ind w:left="720"/>
      </w:pPr>
      <w:r>
        <w:t>Risk Mitigation Strategies</w:t>
      </w:r>
    </w:p>
    <w:p>
      <w:pPr>
        <w:spacing w:after="120" w:line="276" w:lineRule="auto"/>
      </w:pPr>
      <w:r>
        <w:t>Risk mitigation strategies should focus on addressing potential threats to the company's financial stability, as evidenced by the company's financial structure. This includes diversifying revenue streams and managing debt levels. This priority is based on the identified patterns in financial performance metrics.</w:t>
      </w:r>
    </w:p>
    <w:p>
      <w:pPr>
        <w:spacing w:after="120" w:line="276" w:lineRule="auto"/>
      </w:pPr>
      <w:r>
        <w:t>DaVita demonstrates a strong financial profile characterized by high profitability and efficient resource management. The company appears well-positioned for future growth, but a comprehensive assessment of liquidity and solvency is necessary to fully evaluate its financial health. Strategic financial recommendations should focus on maintaining profitability, managing risk, and pursuing growth opportunities that align with the company's strategic objectives.</w:t>
      </w:r>
    </w:p>
    <w:p>
      <w:pPr>
        <w:pStyle w:val="ListNumber"/>
        <w:spacing w:after="120"/>
        <w:ind w:left="720"/>
      </w:pPr>
      <w:r>
        <w:t>1. Based on comprehensive financial ratio analysis of Davita, the company demonstrates strong profitability.</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Market position advancement is supported by the company's revenue and profitability, as evidenced by the relative positioning in financial health indicators.</w:t>
      </w:r>
    </w:p>
    <w:p>
      <w:pPr>
        <w:pStyle w:val="ListNumber"/>
        <w:spacing w:after="120"/>
        <w:ind w:left="720"/>
      </w:pPr>
      <w:r>
        <w:t>4. The stability analysis suggests a resilient business model, as evidenced by the company's ability to generate consistent profits.</w:t>
      </w:r>
    </w:p>
    <w:p>
      <w:pPr>
        <w:pStyle w:val="ListNumber"/>
        <w:spacing w:after="120"/>
        <w:ind w:left="720"/>
      </w:pPr>
      <w:r>
        <w:t>5. Risk assessment indicates strong risk management capabilities based on financial structure and profitability.</w:t>
      </w:r>
    </w:p>
    <w:p>
      <w:pPr>
        <w:pStyle w:val="ListNumber"/>
        <w:spacing w:after="120"/>
        <w:ind w:left="720"/>
      </w:pPr>
      <w:r>
        <w:t>6. This priority is based on the identified patterns in financial performance metrics, suggesting a need to maintain profitability and manage risk.</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2026-03-27 15:55:22</w:t>
      </w:r>
    </w:p>
    <w:p>
      <w:pPr>
        <w:spacing w:after="120"/>
      </w:pPr>
      <w:r>
        <w:rPr>
          <w:b/>
          <w:color w:val="000080"/>
        </w:rPr>
        <w:t xml:space="preserve">Session ID: </w:t>
      </w:r>
      <w:r>
        <w:t>88d470ac-e254-4d54-a7c0-b3bfc658a9a2</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