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FINANCIAL ANALYSIS REPORT</w:t>
      </w:r>
    </w:p>
    <w:p/>
    <w:p>
      <w:pPr>
        <w:jc w:val="center"/>
      </w:pPr>
      <w:r>
        <w:rPr>
          <w:b/>
          <w:color w:val="404040"/>
          <w:sz w:val="32"/>
        </w:rPr>
        <w:t>Davita</w:t>
      </w:r>
    </w:p>
    <w:p/>
    <w:p>
      <w:pPr>
        <w:jc w:val="center"/>
      </w:pPr>
      <w:r>
        <w:rPr>
          <w:color w:val="808080"/>
          <w:sz w:val="24"/>
        </w:rPr>
        <w:t>Analysis Date: 2026-03-30 18:04:03</w:t>
      </w:r>
    </w:p>
    <w:p>
      <w:r>
        <w:br w:type="page"/>
      </w:r>
    </w:p>
    <w:p>
      <w:pPr>
        <w:pStyle w:val="Heading1"/>
        <w:jc w:val="center"/>
      </w:pPr>
      <w:r>
        <w:t>TABLE OF CONTENTS</w:t>
      </w:r>
    </w:p>
    <w:p>
      <w:pPr>
        <w:spacing w:after="120"/>
        <w:ind w:left="0"/>
      </w:pPr>
      <w:r>
        <w:t>1.0 BUSINESS EFFICIENCY PROFILE</w:t>
      </w:r>
    </w:p>
    <w:p>
      <w:pPr>
        <w:spacing w:after="120"/>
        <w:ind w:left="0"/>
      </w:pPr>
      <w:r>
        <w:t>2.0 OPERATIONAL STABILITY</w:t>
      </w:r>
    </w:p>
    <w:p>
      <w:pPr>
        <w:spacing w:after="120"/>
        <w:ind w:left="0"/>
      </w:pPr>
      <w:r>
        <w:t>3.0 GROWTH TRAJECTORY</w:t>
      </w:r>
    </w:p>
    <w:p>
      <w:pPr>
        <w:spacing w:after="120"/>
        <w:ind w:left="0"/>
      </w:pPr>
      <w:r>
        <w:t>4.0 COMPETITIVE FINANCIAL POSITIONING</w:t>
      </w:r>
    </w:p>
    <w:p>
      <w:pPr>
        <w:spacing w:after="120"/>
        <w:ind w:left="0"/>
      </w:pPr>
      <w:r>
        <w:t>5.0 STRATEGIC FINANCIAL RECOMMENDATIONS</w:t>
      </w:r>
    </w:p>
    <w:p>
      <w:r>
        <w:br w:type="page"/>
      </w:r>
    </w:p>
    <w:p>
      <w:pPr>
        <w:pStyle w:val="Heading1"/>
      </w:pPr>
      <w:r>
        <w:t>EXECUTIVE SUMMARY</w:t>
      </w:r>
    </w:p>
    <w:p>
      <w:pPr>
        <w:spacing w:after="120" w:line="276" w:lineRule="auto"/>
      </w:pPr>
      <w:r>
        <w:t>DaVita demonstrates a robust financial profile, characterized by efficient operations and substantial profitability. The company exhibits a strong capacity for revenue generation and effective cost management, positioning it favorably within its competitive landscape. However, a comprehensive understanding of its liquidity and solvency is crucial for a complete assessment of its long-term financial stability and growth potential.</w:t>
      </w:r>
    </w:p>
    <w:p>
      <w:pPr>
        <w:pStyle w:val="Heading1"/>
      </w:pPr>
      <w:r>
        <w:t>1.0 BUSINESS EFFICIENCY PROFILE</w:t>
      </w:r>
    </w:p>
    <w:p>
      <w:pPr>
        <w:pStyle w:val="ListBullet"/>
        <w:spacing w:after="120"/>
        <w:ind w:left="720"/>
      </w:pPr>
      <w:r>
        <w:t>Revenue Model Characteristics</w:t>
      </w:r>
    </w:p>
    <w:p>
      <w:pPr>
        <w:spacing w:after="120" w:line="276" w:lineRule="auto"/>
      </w:pPr>
      <w:r>
        <w:t>DaVita's revenue model appears to be well-established, generating substantial income. This assessment is justified by the significant revenue figures observed in the financial data, suggesting a strong market presence and effective service delivery.</w:t>
      </w:r>
    </w:p>
    <w:p>
      <w:pPr>
        <w:pStyle w:val="ListBullet"/>
        <w:spacing w:after="120"/>
        <w:ind w:left="720"/>
      </w:pPr>
      <w:r>
        <w:t>Cost Management Approach</w:t>
      </w:r>
    </w:p>
    <w:p>
      <w:pPr>
        <w:spacing w:after="120" w:line="276" w:lineRule="auto"/>
      </w:pPr>
      <w:r>
        <w:t>The company demonstrates an efficient approach to cost management, as evidenced by the operational margin patterns observed in financial data. This indicates a disciplined control over operating expenses relative to revenue.</w:t>
      </w:r>
    </w:p>
    <w:p>
      <w:pPr>
        <w:pStyle w:val="ListBullet"/>
        <w:spacing w:after="120"/>
        <w:ind w:left="720"/>
      </w:pPr>
      <w:r>
        <w:t>Profit Sustainability</w:t>
      </w:r>
    </w:p>
    <w:p>
      <w:pPr>
        <w:spacing w:after="120" w:line="276" w:lineRule="auto"/>
      </w:pPr>
      <w:r>
        <w:t>Profit sustainability appears promising, supported by healthy net margins. This assessment is justified by the company's ability to convert revenue into net income effectively, suggesting a robust and sustainable business model.</w:t>
      </w:r>
    </w:p>
    <w:p>
      <w:pPr>
        <w:pStyle w:val="Heading1"/>
      </w:pPr>
      <w:r>
        <w:t>2.0 OPERATIONAL STABILITY</w:t>
      </w:r>
    </w:p>
    <w:p>
      <w:pPr>
        <w:pStyle w:val="ListBullet"/>
        <w:spacing w:after="120"/>
        <w:ind w:left="720"/>
      </w:pPr>
      <w:r>
        <w:t>Business Resilience Factors</w:t>
      </w:r>
    </w:p>
    <w:p>
      <w:pPr>
        <w:spacing w:after="120" w:line="276" w:lineRule="auto"/>
      </w:pPr>
      <w:r>
        <w:t>The stability analysis suggests a resilient business model, capable of maintaining profitability even amidst operational challenges. This resilience is evidenced by the company's ability to generate consistent operating income.</w:t>
      </w:r>
    </w:p>
    <w:p>
      <w:pPr>
        <w:pStyle w:val="ListBullet"/>
        <w:spacing w:after="120"/>
        <w:ind w:left="720"/>
      </w:pPr>
      <w:r>
        <w:t>Resource Management Effectiveness</w:t>
      </w:r>
    </w:p>
    <w:p>
      <w:pPr>
        <w:spacing w:after="120" w:line="276" w:lineRule="auto"/>
      </w:pPr>
      <w:r>
        <w:t>Resource management seems effective, contributing to overall operational stability. This effectiveness is evidenced by the company's ability to generate a reasonable return on assets, indicating efficient asset utilization.</w:t>
      </w:r>
    </w:p>
    <w:p>
      <w:pPr>
        <w:pStyle w:val="ListBullet"/>
        <w:spacing w:after="120"/>
        <w:ind w:left="720"/>
      </w:pPr>
      <w:r>
        <w:t>Financial Flexibility</w:t>
      </w:r>
    </w:p>
    <w:p>
      <w:pPr>
        <w:spacing w:after="120" w:line="276" w:lineRule="auto"/>
      </w:pPr>
      <w:r>
        <w:t>Financial flexibility is indicated by the company's capacity to generate net income from its equity base. This flexibility is evidenced by the return on equity, suggesting the company has some capacity to adapt to changing market conditions.</w:t>
      </w:r>
    </w:p>
    <w:p>
      <w:pPr>
        <w:pStyle w:val="Heading1"/>
      </w:pPr>
      <w:r>
        <w:t>3.0 GROWTH TRAJECTORY</w:t>
      </w:r>
    </w:p>
    <w:p>
      <w:pPr>
        <w:pStyle w:val="ListBullet"/>
        <w:spacing w:after="120"/>
        <w:ind w:left="720"/>
      </w:pPr>
      <w:r>
        <w:t>Expansion Potential</w:t>
      </w:r>
    </w:p>
    <w:p>
      <w:pPr>
        <w:spacing w:after="120" w:line="276" w:lineRule="auto"/>
      </w:pPr>
      <w:r>
        <w:t>Expansion potential appears promising, supported by the company's current market capitalization. This potential is evidenced by the company's ability to attract investment and maintain a substantial market presence.</w:t>
      </w:r>
    </w:p>
    <w:p>
      <w:pPr>
        <w:pStyle w:val="ListBullet"/>
        <w:spacing w:after="120"/>
        <w:ind w:left="720"/>
      </w:pPr>
      <w:r>
        <w:t>Market Position Advancement</w:t>
      </w:r>
    </w:p>
    <w:p>
      <w:pPr>
        <w:spacing w:after="120" w:line="276" w:lineRule="auto"/>
      </w:pPr>
      <w:r>
        <w:t>Market position advancement is likely, given the company's strong revenue generation and profitability. This advancement is evidenced by the company's ability to generate significant revenue, suggesting a strong market presence and effective service delivery.</w:t>
      </w:r>
    </w:p>
    <w:p>
      <w:pPr>
        <w:pStyle w:val="ListBullet"/>
        <w:spacing w:after="120"/>
        <w:ind w:left="720"/>
      </w:pPr>
      <w:r>
        <w:t>Strategic Growth Capabilities</w:t>
      </w:r>
    </w:p>
    <w:p>
      <w:pPr>
        <w:spacing w:after="120" w:line="276" w:lineRule="auto"/>
      </w:pPr>
      <w:r>
        <w:t>Strategic growth capabilities are indicated by the company's ability to generate a reasonable return on equity. This suggests the company has some capacity to adapt to changing market conditions.</w:t>
      </w:r>
    </w:p>
    <w:p>
      <w:pPr>
        <w:pStyle w:val="Heading1"/>
      </w:pPr>
      <w:r>
        <w:t>4.0 COMPETITIVE FINANCIAL POSITIONING</w:t>
      </w:r>
    </w:p>
    <w:p>
      <w:pPr>
        <w:pStyle w:val="ListBullet"/>
        <w:spacing w:after="120"/>
        <w:ind w:left="720"/>
      </w:pPr>
      <w:r>
        <w:t>Financial Stability Comparison</w:t>
      </w:r>
    </w:p>
    <w:p>
      <w:pPr>
        <w:spacing w:after="120" w:line="276" w:lineRule="auto"/>
      </w:pPr>
      <w:r>
        <w:t>Financial stability appears competitive, as evidenced by the relative positioning in financial health indicators. This suggests the company is well-positioned relative to its peers in terms of profitability and operational efficiency.</w:t>
      </w:r>
    </w:p>
    <w:p>
      <w:pPr>
        <w:pStyle w:val="ListBullet"/>
        <w:spacing w:after="120"/>
        <w:ind w:left="720"/>
      </w:pPr>
      <w:r>
        <w:t>Risk Management Capabilities</w:t>
      </w:r>
    </w:p>
    <w:p>
      <w:pPr>
        <w:spacing w:after="120" w:line="276" w:lineRule="auto"/>
      </w:pPr>
      <w:r>
        <w:t>Risk assessment indicates effective risk management capabilities, based on financial structure. This is evidenced by the company's ability to maintain healthy profit margins, suggesting a disciplined approach to cost control and operational efficiency.</w:t>
      </w:r>
    </w:p>
    <w:p>
      <w:pPr>
        <w:pStyle w:val="ListBullet"/>
        <w:spacing w:after="120"/>
        <w:ind w:left="720"/>
      </w:pPr>
      <w:r>
        <w:t>Strategic Financial Advantages</w:t>
      </w:r>
    </w:p>
    <w:p>
      <w:pPr>
        <w:spacing w:after="120" w:line="276" w:lineRule="auto"/>
      </w:pPr>
      <w:r>
        <w:t>Strategic financial advantages are indicated by the company's ability to generate a reasonable return on equity. This suggests the company has some capacity to adapt to changing market conditions.</w:t>
      </w:r>
    </w:p>
    <w:p>
      <w:pPr>
        <w:pStyle w:val="Heading1"/>
      </w:pPr>
      <w:r>
        <w:t>5.0 STRATEGIC FINANCIAL RECOMMENDATIONS</w:t>
      </w:r>
    </w:p>
    <w:p>
      <w:pPr>
        <w:pStyle w:val="ListBullet"/>
        <w:spacing w:after="120"/>
        <w:ind w:left="720"/>
      </w:pPr>
      <w:r>
        <w:t>Financial Management Priorities</w:t>
      </w:r>
    </w:p>
    <w:p>
      <w:pPr>
        <w:spacing w:after="120" w:line="276" w:lineRule="auto"/>
      </w:pPr>
      <w:r>
        <w:t>Financial management priorities should focus on maintaining operational efficiency and profitability. This priority is based on the identified patterns in financial performance metrics, particularly the operating and net margins.</w:t>
      </w:r>
    </w:p>
    <w:p>
      <w:pPr>
        <w:pStyle w:val="ListBullet"/>
        <w:spacing w:after="120"/>
        <w:ind w:left="720"/>
      </w:pPr>
      <w:r>
        <w:t>Investment Considerations</w:t>
      </w:r>
    </w:p>
    <w:p>
      <w:pPr>
        <w:spacing w:after="120" w:line="276" w:lineRule="auto"/>
      </w:pPr>
      <w:r>
        <w:t>Investment considerations should prioritize opportunities that enhance revenue generation and market position. This consideration is based on the company's strong revenue model and growth potential.</w:t>
      </w:r>
    </w:p>
    <w:p>
      <w:pPr>
        <w:pStyle w:val="ListBullet"/>
        <w:spacing w:after="120"/>
        <w:ind w:left="720"/>
      </w:pPr>
      <w:r>
        <w:t>Risk Mitigation Strategies</w:t>
      </w:r>
    </w:p>
    <w:p>
      <w:pPr>
        <w:spacing w:after="120" w:line="276" w:lineRule="auto"/>
      </w:pPr>
      <w:r>
        <w:t>Risk mitigation strategies should focus on maintaining financial flexibility and managing operational risks. This strategy is based on the need to ensure the company can adapt to changing market conditions and maintain its competitive edge.</w:t>
      </w:r>
    </w:p>
    <w:p>
      <w:pPr>
        <w:spacing w:after="120" w:line="276" w:lineRule="auto"/>
      </w:pPr>
      <w:r>
        <w:t>DaVita exhibits a strong financial profile, characterized by efficient operations and substantial profitability. The company is well-positioned for growth and demonstrates effective risk management capabilities. However, a comprehensive understanding of its liquidity and solvency is crucial for a complete assessment of its long-term financial stability and growth potential.</w:t>
      </w:r>
    </w:p>
    <w:p>
      <w:pPr>
        <w:pStyle w:val="ListNumber"/>
        <w:spacing w:after="120"/>
        <w:ind w:left="720"/>
      </w:pPr>
      <w:r>
        <w:t>1. Based on comprehensive financial ratio analysis of Davita...</w:t>
      </w:r>
    </w:p>
    <w:p>
      <w:pPr>
        <w:pStyle w:val="ListNumber"/>
        <w:spacing w:after="120"/>
        <w:ind w:left="720"/>
      </w:pPr>
      <w:r>
        <w:t>2. This efficiency assessment is justified by the operational margin patterns observed in financial data...</w:t>
      </w:r>
    </w:p>
    <w:p>
      <w:pPr>
        <w:pStyle w:val="ListNumber"/>
        <w:spacing w:after="120"/>
        <w:ind w:left="720"/>
      </w:pPr>
      <w:r>
        <w:t>3. as evidenced by the relative positioning in financial health indicators</w:t>
      </w:r>
    </w:p>
    <w:p>
      <w:pPr>
        <w:pStyle w:val="ListNumber"/>
        <w:spacing w:after="120"/>
        <w:ind w:left="720"/>
      </w:pPr>
      <w:r>
        <w:t>4. The stability analysis suggests... or Risk assessment indicates based on financial structure...</w:t>
      </w:r>
    </w:p>
    <w:p>
      <w:pPr>
        <w:pStyle w:val="ListNumber"/>
        <w:spacing w:after="120"/>
        <w:ind w:left="720"/>
      </w:pPr>
      <w:r>
        <w:t>5. This priority is based on the identified patterns in financial performance metrics</w:t>
      </w:r>
    </w:p>
    <w:p>
      <w:r>
        <w:br w:type="page"/>
      </w:r>
    </w:p>
    <w:p>
      <w:pPr>
        <w:pStyle w:val="Heading1"/>
        <w:jc w:val="center"/>
      </w:pPr>
      <w:r>
        <w:t>REPORT METADATA &amp; DETAILS</w:t>
      </w:r>
    </w:p>
    <w:p>
      <w:pPr>
        <w:spacing w:after="120"/>
      </w:pPr>
      <w:r>
        <w:rPr>
          <w:b/>
          <w:color w:val="000080"/>
        </w:rPr>
        <w:t xml:space="preserve">Report Title: </w:t>
      </w:r>
      <w:r>
        <w:t>FINANCIAL ANALYSIS REPORT</w:t>
      </w:r>
    </w:p>
    <w:p>
      <w:pPr>
        <w:spacing w:after="120"/>
      </w:pPr>
      <w:r>
        <w:rPr>
          <w:b/>
          <w:color w:val="000080"/>
        </w:rPr>
        <w:t xml:space="preserve">Company Analyzed: </w:t>
      </w:r>
      <w:r>
        <w:t>Davita</w:t>
      </w:r>
    </w:p>
    <w:p>
      <w:pPr>
        <w:spacing w:after="120"/>
      </w:pPr>
      <w:r>
        <w:rPr>
          <w:b/>
          <w:color w:val="000080"/>
        </w:rPr>
        <w:t xml:space="preserve">Report Type: </w:t>
      </w:r>
      <w:r>
        <w:t>Individual Financial Analysis</w:t>
      </w:r>
    </w:p>
    <w:p>
      <w:pPr>
        <w:spacing w:after="120"/>
      </w:pPr>
      <w:r>
        <w:rPr>
          <w:b/>
          <w:color w:val="000080"/>
        </w:rPr>
        <w:t xml:space="preserve">Analysis Date: </w:t>
      </w:r>
      <w:r>
        <w:t>2026-03-30 18:04:03</w:t>
      </w:r>
    </w:p>
    <w:p>
      <w:pPr>
        <w:spacing w:after="120"/>
      </w:pPr>
      <w:r>
        <w:rPr>
          <w:b/>
          <w:color w:val="000080"/>
        </w:rPr>
        <w:t xml:space="preserve">Session ID: </w:t>
      </w:r>
      <w:r>
        <w:t>9553f42c-fd9a-4cad-8584-b5aa9981ec97</w:t>
      </w:r>
    </w:p>
    <w:p>
      <w:pPr>
        <w:spacing w:after="120"/>
      </w:pPr>
      <w:r>
        <w:rPr>
          <w:b/>
          <w:color w:val="000080"/>
        </w:rPr>
        <w:t xml:space="preserve">Data Sources: </w:t>
      </w:r>
      <w:r>
        <w:t>Financial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ANALYSIS REPORT - Davita</dc:title>
  <dc:subject>Financial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