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17:24:16</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financially sound profile, characterized by efficient operations and robust profitability. The company exhibits a stable financial structure, suggesting a capacity for sustained performance. However, further strategic initiatives are recommended to enhance its competitive positioning and capitalize on growth opportunities within the healthcare sector.</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well-established, generating substantial income. This assessment is justified by the significant revenue figures observed in the financial data, indicating a strong market presence.</w:t>
      </w:r>
    </w:p>
    <w:p>
      <w:pPr>
        <w:pStyle w:val="ListBullet"/>
        <w:spacing w:after="120"/>
        <w:ind w:left="720"/>
      </w:pPr>
      <w:r>
        <w:t>Cost Management Approach</w:t>
      </w:r>
    </w:p>
    <w:p>
      <w:pPr>
        <w:spacing w:after="120" w:line="276" w:lineRule="auto"/>
      </w:pPr>
      <w:r>
        <w:t>The company demonstrates an efficient cost management approach, contributing to a healthy operating margin. This efficiency assessment is justified by the operational margin patterns observed in financial data, suggesting effective control over expenses.</w:t>
      </w:r>
    </w:p>
    <w:p>
      <w:pPr>
        <w:pStyle w:val="ListBullet"/>
        <w:spacing w:after="120"/>
        <w:ind w:left="720"/>
      </w:pPr>
      <w:r>
        <w:t>Profit Sustainability</w:t>
      </w:r>
    </w:p>
    <w:p>
      <w:pPr>
        <w:spacing w:after="120" w:line="276" w:lineRule="auto"/>
      </w:pPr>
      <w:r>
        <w:t>Profit sustainability appears promising, supported by consistent net income generation. This assessment is based on the net margin trends, indicating a capacity to maintain profitability over time.</w:t>
      </w:r>
    </w:p>
    <w:p>
      <w:pPr>
        <w:pStyle w:val="Heading1"/>
      </w:pPr>
      <w:r>
        <w:t>2.0 OPERATIONAL STABILITY</w:t>
      </w:r>
    </w:p>
    <w:p>
      <w:pPr>
        <w:pStyle w:val="ListBullet"/>
        <w:spacing w:after="120"/>
        <w:ind w:left="720"/>
      </w:pPr>
      <w:r>
        <w:t>Business Resilience Factors</w:t>
      </w:r>
    </w:p>
    <w:p>
      <w:pPr>
        <w:spacing w:after="120" w:line="276" w:lineRule="auto"/>
      </w:pPr>
      <w:r>
        <w:t>The stability analysis suggests a resilient business model, capable of withstanding market fluctuations. This resilience is evidenced by the relative positioning in financial health indicators, demonstrating a robust financial foundation.</w:t>
      </w:r>
    </w:p>
    <w:p>
      <w:pPr>
        <w:pStyle w:val="ListBullet"/>
        <w:spacing w:after="120"/>
        <w:ind w:left="720"/>
      </w:pPr>
      <w:r>
        <w:t>Resource Management Effectiveness</w:t>
      </w:r>
    </w:p>
    <w:p>
      <w:pPr>
        <w:spacing w:after="120" w:line="276" w:lineRule="auto"/>
      </w:pPr>
      <w:r>
        <w:t>Resource management appears effective, optimizing asset utilization to generate returns. This effectiveness is supported by the return on assets (ROA), indicating efficient deployment of resources.</w:t>
      </w:r>
    </w:p>
    <w:p>
      <w:pPr>
        <w:pStyle w:val="ListBullet"/>
        <w:spacing w:after="120"/>
        <w:ind w:left="720"/>
      </w:pPr>
      <w:r>
        <w:t>Financial Flexibility</w:t>
      </w:r>
    </w:p>
    <w:p>
      <w:pPr>
        <w:spacing w:after="120" w:line="276" w:lineRule="auto"/>
      </w:pPr>
      <w:r>
        <w:t>Davita exhibits financial flexibility, allowing for strategic investments and operational adjustments. This flexibility is evidenced by the company's ability to manage its equity effectively, as indicated by the return on equity (ROE).</w:t>
      </w:r>
    </w:p>
    <w:p>
      <w:pPr>
        <w:pStyle w:val="Heading1"/>
      </w:pPr>
      <w:r>
        <w:t>3.0 GROWTH TRAJECTORY</w:t>
      </w:r>
    </w:p>
    <w:p>
      <w:pPr>
        <w:pStyle w:val="ListBullet"/>
        <w:spacing w:after="120"/>
        <w:ind w:left="720"/>
      </w:pPr>
      <w:r>
        <w:t>Expansion Potential</w:t>
      </w:r>
    </w:p>
    <w:p>
      <w:pPr>
        <w:spacing w:after="120" w:line="276" w:lineRule="auto"/>
      </w:pPr>
      <w:r>
        <w:t>Davita possesses expansion potential, driven by its market position and financial stability. This potential is inferred from the company's current market capitalization, suggesting investor confidence in future growth prospects.</w:t>
      </w:r>
    </w:p>
    <w:p>
      <w:pPr>
        <w:pStyle w:val="ListBullet"/>
        <w:spacing w:after="120"/>
        <w:ind w:left="720"/>
      </w:pPr>
      <w:r>
        <w:t>Market Position Advancement</w:t>
      </w:r>
    </w:p>
    <w:p>
      <w:pPr>
        <w:spacing w:after="120" w:line="276" w:lineRule="auto"/>
      </w:pPr>
      <w:r>
        <w:t>The company is well-positioned for market position advancement, leveraging its established revenue streams. This advancement is supported by the substantial revenue figures, indicating a strong foundation for further market penetration.</w:t>
      </w:r>
    </w:p>
    <w:p>
      <w:pPr>
        <w:pStyle w:val="ListBullet"/>
        <w:spacing w:after="120"/>
        <w:ind w:left="720"/>
      </w:pPr>
      <w:r>
        <w:t>Strategic Growth Capabilities</w:t>
      </w:r>
    </w:p>
    <w:p>
      <w:pPr>
        <w:spacing w:after="120" w:line="276" w:lineRule="auto"/>
      </w:pPr>
      <w:r>
        <w:t>Strategic growth capabilities are evident, enabling Davita to capitalize on emerging opportunities. This capability is justified by the company's operational income, suggesting a capacity to invest in strategic initiatives.</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compares favorably within its industry, as evidenced by its solid financial metrics. This comparison is based on the identified patterns in financial performance metrics, indicating a competitive advantage.</w:t>
      </w:r>
    </w:p>
    <w:p>
      <w:pPr>
        <w:pStyle w:val="ListBullet"/>
        <w:spacing w:after="120"/>
        <w:ind w:left="720"/>
      </w:pPr>
      <w:r>
        <w:t>Risk Management Capabilities</w:t>
      </w:r>
    </w:p>
    <w:p>
      <w:pPr>
        <w:spacing w:after="120" w:line="276" w:lineRule="auto"/>
      </w:pPr>
      <w:r>
        <w:t>Risk assessment indicates effective risk management capabilities, safeguarding financial health. This assessment is based on financial structure, suggesting a balanced approach to debt and equity.</w:t>
      </w:r>
    </w:p>
    <w:p>
      <w:pPr>
        <w:pStyle w:val="ListBullet"/>
        <w:spacing w:after="120"/>
        <w:ind w:left="720"/>
      </w:pPr>
      <w:r>
        <w:t>Strategic Financial Advantages</w:t>
      </w:r>
    </w:p>
    <w:p>
      <w:pPr>
        <w:spacing w:after="120" w:line="276" w:lineRule="auto"/>
      </w:pPr>
      <w:r>
        <w:t>Strategic financial advantages are apparent, providing a competitive edge in the market. These advantages are supported by the company's ability to generate net income, indicating a strong financial foundation.</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sustaining profitability and optimizing resource allocation. This priority is based on the identified patterns in financial performance metrics, ensuring continued financial health.</w:t>
      </w:r>
    </w:p>
    <w:p>
      <w:pPr>
        <w:pStyle w:val="ListBullet"/>
        <w:spacing w:after="120"/>
        <w:ind w:left="720"/>
      </w:pPr>
      <w:r>
        <w:t>Investment Considerations</w:t>
      </w:r>
    </w:p>
    <w:p>
      <w:pPr>
        <w:spacing w:after="120" w:line="276" w:lineRule="auto"/>
      </w:pPr>
      <w:r>
        <w:t>Investment considerations should include strategic acquisitions and technological advancements to enhance market position. This consideration is justified by the company's strong revenue model, providing a foundation for strategic investments.</w:t>
      </w:r>
    </w:p>
    <w:p>
      <w:pPr>
        <w:pStyle w:val="ListBullet"/>
        <w:spacing w:after="120"/>
        <w:ind w:left="720"/>
      </w:pPr>
      <w:r>
        <w:t>Risk Mitigation Strategies</w:t>
      </w:r>
    </w:p>
    <w:p>
      <w:pPr>
        <w:spacing w:after="120" w:line="276" w:lineRule="auto"/>
      </w:pPr>
      <w:r>
        <w:t>Risk mitigation strategies should address potential market fluctuations and regulatory changes. This strategy is based on the company's financial stability, ensuring resilience in the face of external challenges.</w:t>
      </w:r>
    </w:p>
    <w:p>
      <w:pPr>
        <w:spacing w:after="120" w:line="276" w:lineRule="auto"/>
      </w:pPr>
      <w:r>
        <w:t>Davita demonstrates a strong financial profile, characterized by efficient operations, robust profitability, and a stable financial structure. Strategic initiatives focused on sustaining profitability, optimizing resource allocation, and mitigating risks are recommended to enhance its competitive positioning and capitalize on growth opportunities within the healthcare sector.</w:t>
      </w:r>
    </w:p>
    <w:p>
      <w:pPr>
        <w:pStyle w:val="ListNumber"/>
        <w:spacing w:after="120"/>
        <w:ind w:left="720"/>
      </w:pPr>
      <w:r>
        <w:t>1. Based on comprehensive financial ratio analysis of Davita, the business efficiency profile demonstrates a well-established revenue model, efficient cost management, and promising profit sustainability.</w:t>
      </w:r>
    </w:p>
    <w:p>
      <w:pPr>
        <w:pStyle w:val="ListNumber"/>
        <w:spacing w:after="120"/>
        <w:ind w:left="720"/>
      </w:pPr>
      <w:r>
        <w:t>2. This efficiency assessment is justified by the operational margin patterns observed in financial data, indicating effective control over expenses and a healthy operating margin.</w:t>
      </w:r>
    </w:p>
    <w:p>
      <w:pPr>
        <w:pStyle w:val="ListNumber"/>
        <w:spacing w:after="120"/>
        <w:ind w:left="720"/>
      </w:pPr>
      <w:r>
        <w:t>3. As evidenced by the relative positioning in financial health indicators, the stability analysis suggests a resilient business model, effective resource management, and financial flexibility.</w:t>
      </w:r>
    </w:p>
    <w:p>
      <w:pPr>
        <w:pStyle w:val="ListNumber"/>
        <w:spacing w:after="120"/>
        <w:ind w:left="720"/>
      </w:pPr>
      <w:r>
        <w:t>4. Risk assessment indicates effective risk management capabilities based on financial structure, suggesting a balanced approach to debt and equity.</w:t>
      </w:r>
    </w:p>
    <w:p>
      <w:pPr>
        <w:pStyle w:val="ListNumber"/>
        <w:spacing w:after="120"/>
        <w:ind w:left="720"/>
      </w:pPr>
      <w:r>
        <w:t>5. This priority is based on the identified patterns in financial performance metrics, ensuring continued financial health and strategic alignment with market opportunities.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17:24:16</w:t>
      </w:r>
    </w:p>
    <w:p>
      <w:pPr>
        <w:spacing w:after="120"/>
      </w:pPr>
      <w:r>
        <w:rPr>
          <w:b/>
          <w:color w:val="000080"/>
        </w:rPr>
        <w:t xml:space="preserve">Session ID: </w:t>
      </w:r>
      <w:r>
        <w:t>966726cd-b02c-442c-9a4c-fad8448bf8ea</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