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2026-03-31 11:24:55</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demonstrates a robust financial profile, characterized by efficient operations and strong profitability. The company appears well-positioned for sustained performance, although a more comprehensive assessment of its liquidity and solvency would provide further clarity. Overall, DaVita exhibits financial health, suggesting effective management and strategic alignment.</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substantial, indicating a significant market presence. The revenue generation capabilities suggest a well-established business model, as evidenced by the company's ability to generate substantial income.</w:t>
      </w:r>
    </w:p>
    <w:p>
      <w:pPr>
        <w:pStyle w:val="ListBullet"/>
        <w:spacing w:after="120"/>
        <w:ind w:left="720"/>
      </w:pPr>
      <w:r>
        <w:t>Cost Management Approach</w:t>
      </w:r>
    </w:p>
    <w:p>
      <w:pPr>
        <w:spacing w:after="120" w:line="276" w:lineRule="auto"/>
      </w:pPr>
      <w:r>
        <w:t>The company demonstrates an efficient cost management approach, as evidenced by the operational margin patterns observed in financial data. This efficiency suggests effective control over operating expenses.</w:t>
      </w:r>
    </w:p>
    <w:p>
      <w:pPr>
        <w:pStyle w:val="ListBullet"/>
        <w:spacing w:after="120"/>
        <w:ind w:left="720"/>
      </w:pPr>
      <w:r>
        <w:t>Profit Sustainability</w:t>
      </w:r>
    </w:p>
    <w:p>
      <w:pPr>
        <w:spacing w:after="120" w:line="276" w:lineRule="auto"/>
      </w:pPr>
      <w:r>
        <w:t>Profit sustainability appears strong, supported by healthy net margins. This assessment is justified by the company's ability to maintain a considerable portion of its revenue as net income, indicating a resilient business model.</w:t>
      </w:r>
    </w:p>
    <w:p>
      <w:pPr>
        <w:pStyle w:val="Heading1"/>
      </w:pPr>
      <w:r>
        <w:t>2.0 OPERATIONAL STABILITY</w:t>
      </w:r>
    </w:p>
    <w:p>
      <w:pPr>
        <w:pStyle w:val="ListBullet"/>
        <w:spacing w:after="120"/>
        <w:ind w:left="720"/>
      </w:pPr>
      <w:r>
        <w:t>Business Resilience Factors</w:t>
      </w:r>
    </w:p>
    <w:p>
      <w:pPr>
        <w:spacing w:after="120" w:line="276" w:lineRule="auto"/>
      </w:pPr>
      <w:r>
        <w:t>The business demonstrates resilience, as evidenced by its ability to maintain profitability. This stability analysis suggests a capacity to withstand market fluctuations and maintain operational effectiveness.</w:t>
      </w:r>
    </w:p>
    <w:p>
      <w:pPr>
        <w:pStyle w:val="ListBullet"/>
        <w:spacing w:after="120"/>
        <w:ind w:left="720"/>
      </w:pPr>
      <w:r>
        <w:t>Resource Management Effectiveness</w:t>
      </w:r>
    </w:p>
    <w:p>
      <w:pPr>
        <w:spacing w:after="120" w:line="276" w:lineRule="auto"/>
      </w:pPr>
      <w:r>
        <w:t>Resource management appears effective, as evidenced by the return on assets. This effectiveness is justified by the company's ability to generate income from its asset base, indicating efficient utilization of resources.</w:t>
      </w:r>
    </w:p>
    <w:p>
      <w:pPr>
        <w:pStyle w:val="ListBullet"/>
        <w:spacing w:after="120"/>
        <w:ind w:left="720"/>
      </w:pPr>
      <w:r>
        <w:t>Financial Flexibility</w:t>
      </w:r>
    </w:p>
    <w:p>
      <w:pPr>
        <w:spacing w:after="120" w:line="276" w:lineRule="auto"/>
      </w:pPr>
      <w:r>
        <w:t>Financial flexibility is suggested by the return on equity, indicating the company's ability to generate income from shareholders' investments. This flexibility assessment is justified by the company's ability to leverage equity to generate profits.</w:t>
      </w:r>
    </w:p>
    <w:p>
      <w:pPr>
        <w:pStyle w:val="Heading1"/>
      </w:pPr>
      <w:r>
        <w:t>3.0 GROWTH TRAJECTORY</w:t>
      </w:r>
    </w:p>
    <w:p>
      <w:pPr>
        <w:pStyle w:val="ListBullet"/>
        <w:spacing w:after="120"/>
        <w:ind w:left="720"/>
      </w:pPr>
      <w:r>
        <w:t>Expansion Potential</w:t>
      </w:r>
    </w:p>
    <w:p>
      <w:pPr>
        <w:spacing w:after="120" w:line="276" w:lineRule="auto"/>
      </w:pPr>
      <w:r>
        <w:t>Expansion potential is suggested by the company's market capitalization, indicating investor confidence. This potential is justified by the market's valuation of the company, suggesting expectations of future growth.</w:t>
      </w:r>
    </w:p>
    <w:p>
      <w:pPr>
        <w:pStyle w:val="ListBullet"/>
        <w:spacing w:after="120"/>
        <w:ind w:left="720"/>
      </w:pPr>
      <w:r>
        <w:t>Market Position Advancement</w:t>
      </w:r>
    </w:p>
    <w:p>
      <w:pPr>
        <w:spacing w:after="120" w:line="276" w:lineRule="auto"/>
      </w:pPr>
      <w:r>
        <w:t>Market position advancement is suggested by the company's substantial revenue, indicating a significant market presence. This advancement is justified by the company's ability to generate substantial income, suggesting a strong competitive position.</w:t>
      </w:r>
    </w:p>
    <w:p>
      <w:pPr>
        <w:pStyle w:val="ListBullet"/>
        <w:spacing w:after="120"/>
        <w:ind w:left="720"/>
      </w:pPr>
      <w:r>
        <w:t>Strategic Growth Capabilities</w:t>
      </w:r>
    </w:p>
    <w:p>
      <w:pPr>
        <w:spacing w:after="120" w:line="276" w:lineRule="auto"/>
      </w:pPr>
      <w:r>
        <w:t>Strategic growth capabilities are suggested by the company's total assets, indicating a substantial resource base. This capability is justified by the company's asset base, suggesting the capacity to invest in future growth initiatives.</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appears strong, as evidenced by the company's profitability metrics. This stability assessment is justified by the company's ability to maintain healthy margins, indicating a resilient financial structure.</w:t>
      </w:r>
    </w:p>
    <w:p>
      <w:pPr>
        <w:pStyle w:val="ListBullet"/>
        <w:spacing w:after="120"/>
        <w:ind w:left="720"/>
      </w:pPr>
      <w:r>
        <w:t>Risk Management Capabilities</w:t>
      </w:r>
    </w:p>
    <w:p>
      <w:pPr>
        <w:spacing w:after="120" w:line="276" w:lineRule="auto"/>
      </w:pPr>
      <w:r>
        <w:t>Risk management capabilities are suggested by the company's financial structure, as evidenced by the relative positioning in financial health indicators. This assessment is justified by the company's ability to maintain profitability, suggesting effective risk mitigation strategies.</w:t>
      </w:r>
    </w:p>
    <w:p>
      <w:pPr>
        <w:pStyle w:val="ListBullet"/>
        <w:spacing w:after="120"/>
        <w:ind w:left="720"/>
      </w:pPr>
      <w:r>
        <w:t>Strategic Financial Advantages</w:t>
      </w:r>
    </w:p>
    <w:p>
      <w:pPr>
        <w:spacing w:after="120" w:line="276" w:lineRule="auto"/>
      </w:pPr>
      <w:r>
        <w:t>Strategic financial advantages are suggested by the company's market capitalization, indicating investor confidence. This advantage is justified by the market's valuation of the company, suggesting a strong competitive position.</w:t>
      </w:r>
    </w:p>
    <w:p>
      <w:pPr>
        <w:pStyle w:val="Heading1"/>
      </w:pPr>
      <w:r>
        <w:t>5.0 STRATEGIC FINANCIAL RECOMMENDATIONS</w:t>
      </w:r>
    </w:p>
    <w:p>
      <w:pPr>
        <w:pStyle w:val="ListBullet"/>
        <w:spacing w:after="120"/>
        <w:ind w:left="720"/>
      </w:pPr>
      <w:r>
        <w:t>Financial Management Priorities</w:t>
      </w:r>
    </w:p>
    <w:p>
      <w:pPr>
        <w:spacing w:after="120" w:line="276" w:lineRule="auto"/>
      </w:pPr>
      <w:r>
        <w:t>Prioritize maintaining operational efficiency to sustain profitability. This priority is based on the identified patterns in financial performance metrics, particularly the operating margin.</w:t>
      </w:r>
    </w:p>
    <w:p>
      <w:pPr>
        <w:pStyle w:val="ListBullet"/>
        <w:spacing w:after="120"/>
        <w:ind w:left="720"/>
      </w:pPr>
      <w:r>
        <w:t>Investment Considerations</w:t>
      </w:r>
    </w:p>
    <w:p>
      <w:pPr>
        <w:spacing w:after="120" w:line="276" w:lineRule="auto"/>
      </w:pPr>
      <w:r>
        <w:t>Consider strategic investments to enhance market position and growth potential. This consideration is based on the company's substantial revenue and asset base, suggesting the capacity to invest in future growth initiatives.</w:t>
      </w:r>
    </w:p>
    <w:p>
      <w:pPr>
        <w:pStyle w:val="ListBullet"/>
        <w:spacing w:after="120"/>
        <w:ind w:left="720"/>
      </w:pPr>
      <w:r>
        <w:t>Risk Mitigation Strategies</w:t>
      </w:r>
    </w:p>
    <w:p>
      <w:pPr>
        <w:spacing w:after="120" w:line="276" w:lineRule="auto"/>
      </w:pPr>
      <w:r>
        <w:t>Implement robust risk mitigation strategies to safeguard financial stability. Risk assessment indicates based on financial structure, suggesting the need for proactive risk management.</w:t>
      </w:r>
    </w:p>
    <w:p>
      <w:pPr>
        <w:spacing w:after="120" w:line="276" w:lineRule="auto"/>
      </w:pPr>
      <w:r>
        <w:t>DaVita exhibits a strong financial profile, characterized by efficient operations and robust profitability. The company appears well-positioned for sustained performance, although a more comprehensive assessment of its liquidity and solvency would provide further clarity. Overall, DaVita demonstrates financial health, suggesting effective management and strategic alignment.</w:t>
      </w:r>
    </w:p>
    <w:p>
      <w:pPr>
        <w:pStyle w:val="ListNumber"/>
        <w:spacing w:after="120"/>
        <w:ind w:left="720"/>
      </w:pPr>
      <w:r>
        <w:t>1. Based on comprehensive financial ratio analysis of Davita, the company demonstrates strong profitability and efficient operations.</w:t>
      </w:r>
    </w:p>
    <w:p>
      <w:pPr>
        <w:pStyle w:val="ListNumber"/>
        <w:spacing w:after="120"/>
        <w:ind w:left="720"/>
      </w:pPr>
      <w:r>
        <w:t>2. This efficiency assessment is justified by the operational margin patterns observed in financial data, indicating effective cost management.</w:t>
      </w:r>
    </w:p>
    <w:p>
      <w:pPr>
        <w:pStyle w:val="ListNumber"/>
        <w:spacing w:after="120"/>
        <w:ind w:left="720"/>
      </w:pPr>
      <w:r>
        <w:t>3. The company's financial stability is evidenced by the relative positioning in financial health indicators, suggesting a resilient financial structure.</w:t>
      </w:r>
    </w:p>
    <w:p>
      <w:pPr>
        <w:pStyle w:val="ListNumber"/>
        <w:spacing w:after="120"/>
        <w:ind w:left="720"/>
      </w:pPr>
      <w:r>
        <w:t>4. The stability analysis suggests a capacity to withstand market fluctuations and maintain operational effectiveness.</w:t>
      </w:r>
    </w:p>
    <w:p>
      <w:pPr>
        <w:pStyle w:val="ListNumber"/>
        <w:spacing w:after="120"/>
        <w:ind w:left="720"/>
      </w:pPr>
      <w:r>
        <w:t>5. Risk assessment indicates based on financial structure, suggesting the need for proactive risk management strategies.</w:t>
      </w:r>
    </w:p>
    <w:p>
      <w:pPr>
        <w:pStyle w:val="ListNumber"/>
        <w:spacing w:after="120"/>
        <w:ind w:left="720"/>
      </w:pPr>
      <w:r>
        <w:t>6. This priority is based on the identified patterns in financial performance metrics, particularly the operating margin.</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2026-03-31 11:24:55</w:t>
      </w:r>
    </w:p>
    <w:p>
      <w:pPr>
        <w:spacing w:after="120"/>
      </w:pPr>
      <w:r>
        <w:rPr>
          <w:b/>
          <w:color w:val="000080"/>
        </w:rPr>
        <w:t xml:space="preserve">Session ID: </w:t>
      </w:r>
      <w:r>
        <w:t>a60fb9a8-08a5-4cb4-a1c4-ccbc256c28f7</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