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17:25:47</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financially sound profile, characterized by efficient operations and strong profitability. The company appears well-positioned to maintain its current market standing, although further strategic initiatives may be required to enhance long-term growth and competitive advantages.</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robust, generating substantial income. The revenue model characteristics suggest a well-established market presence.</w:t>
      </w:r>
    </w:p>
    <w:p>
      <w:pPr>
        <w:pStyle w:val="ListBullet"/>
        <w:spacing w:after="120"/>
        <w:ind w:left="720"/>
      </w:pPr>
      <w:r>
        <w:t>Cost Management Approach</w:t>
      </w:r>
    </w:p>
    <w:p>
      <w:pPr>
        <w:spacing w:after="120" w:line="276" w:lineRule="auto"/>
      </w:pPr>
      <w:r>
        <w:t>The company exhibits an efficient cost management approach, as evidenced by its ability to maintain strong profitability. This efficiency assessment is justified by the operational margin patterns observed in financial data, indicating effective control over expenses.</w:t>
      </w:r>
    </w:p>
    <w:p>
      <w:pPr>
        <w:pStyle w:val="ListBullet"/>
        <w:spacing w:after="120"/>
        <w:ind w:left="720"/>
      </w:pPr>
      <w:r>
        <w:t>Profit Sustainability</w:t>
      </w:r>
    </w:p>
    <w:p>
      <w:pPr>
        <w:spacing w:after="120" w:line="276" w:lineRule="auto"/>
      </w:pPr>
      <w:r>
        <w:t>Profit sustainability appears promising, supported by consistent profitability metrics. This is further evidenced by the company's ability to translate revenue into net income effectively.</w:t>
      </w:r>
    </w:p>
    <w:p>
      <w:pPr>
        <w:pStyle w:val="Heading1"/>
      </w:pPr>
      <w:r>
        <w:t>2.0 OPERATIONAL STABILITY</w:t>
      </w:r>
    </w:p>
    <w:p>
      <w:pPr>
        <w:pStyle w:val="ListBullet"/>
        <w:spacing w:after="120"/>
        <w:ind w:left="720"/>
      </w:pPr>
      <w:r>
        <w:t>Business Resilience Factors</w:t>
      </w:r>
    </w:p>
    <w:p>
      <w:pPr>
        <w:spacing w:after="120" w:line="276" w:lineRule="auto"/>
      </w:pPr>
      <w:r>
        <w:t>The company demonstrates business resilience, supported by its substantial asset base. This stability analysis suggests a capacity to withstand market fluctuations and operational challenges.</w:t>
      </w:r>
    </w:p>
    <w:p>
      <w:pPr>
        <w:pStyle w:val="ListBullet"/>
        <w:spacing w:after="120"/>
        <w:ind w:left="720"/>
      </w:pPr>
      <w:r>
        <w:t>Resource Management Effectiveness</w:t>
      </w:r>
    </w:p>
    <w:p>
      <w:pPr>
        <w:spacing w:after="120" w:line="276" w:lineRule="auto"/>
      </w:pPr>
      <w:r>
        <w:t>Resource management effectiveness is evident in the company's ability to generate returns on its assets and equity. This effectiveness is justified by the return on assets and equity patterns observed in financial data.</w:t>
      </w:r>
    </w:p>
    <w:p>
      <w:pPr>
        <w:pStyle w:val="ListBullet"/>
        <w:spacing w:after="120"/>
        <w:ind w:left="720"/>
      </w:pPr>
      <w:r>
        <w:t>Financial Flexibility</w:t>
      </w:r>
    </w:p>
    <w:p>
      <w:pPr>
        <w:spacing w:after="120" w:line="276" w:lineRule="auto"/>
      </w:pPr>
      <w:r>
        <w:t>Financial flexibility appears adequate, allowing the company to adapt to changing market conditions. This flexibility is evidenced by the company's ability to manage its financial resources effectively.</w:t>
      </w:r>
    </w:p>
    <w:p>
      <w:pPr>
        <w:pStyle w:val="Heading1"/>
      </w:pPr>
      <w:r>
        <w:t>3.0 GROWTH TRAJECTORY</w:t>
      </w:r>
    </w:p>
    <w:p>
      <w:pPr>
        <w:pStyle w:val="ListBullet"/>
        <w:spacing w:after="120"/>
        <w:ind w:left="720"/>
      </w:pPr>
      <w:r>
        <w:t>Expansion Potential</w:t>
      </w:r>
    </w:p>
    <w:p>
      <w:pPr>
        <w:spacing w:after="120" w:line="276" w:lineRule="auto"/>
      </w:pPr>
      <w:r>
        <w:t>Expansion potential exists, although further strategic initiatives may be required to capitalize on market opportunities. This potential is evidenced by the company's current market position and financial health indicators.</w:t>
      </w:r>
    </w:p>
    <w:p>
      <w:pPr>
        <w:pStyle w:val="ListBullet"/>
        <w:spacing w:after="120"/>
        <w:ind w:left="720"/>
      </w:pPr>
      <w:r>
        <w:t>Market Position Advancement</w:t>
      </w:r>
    </w:p>
    <w:p>
      <w:pPr>
        <w:spacing w:after="120" w:line="276" w:lineRule="auto"/>
      </w:pPr>
      <w:r>
        <w:t>The company is well-positioned to advance its market position, supported by its strong financial performance. This advancement is justified by the company's ability to generate revenue and maintain profitability.</w:t>
      </w:r>
    </w:p>
    <w:p>
      <w:pPr>
        <w:pStyle w:val="ListBullet"/>
        <w:spacing w:after="120"/>
        <w:ind w:left="720"/>
      </w:pPr>
      <w:r>
        <w:t>Strategic Growth Capabilities</w:t>
      </w:r>
    </w:p>
    <w:p>
      <w:pPr>
        <w:spacing w:after="120" w:line="276" w:lineRule="auto"/>
      </w:pPr>
      <w:r>
        <w:t>Strategic growth capabilities are evident, although further investment in innovation and market development may be necessary. These capabilities are evidenced by the company's ability to adapt to changing market conditions.</w:t>
      </w:r>
    </w:p>
    <w:p>
      <w:pPr>
        <w:pStyle w:val="Heading1"/>
      </w:pPr>
      <w:r>
        <w:t>4.0 COMPETITIVE FINANCIAL POSITIONING</w:t>
      </w:r>
    </w:p>
    <w:p>
      <w:pPr>
        <w:pStyle w:val="ListBullet"/>
        <w:spacing w:after="120"/>
        <w:ind w:left="720"/>
      </w:pPr>
      <w:r>
        <w:t>Financial Stability Comparison</w:t>
      </w:r>
    </w:p>
    <w:p>
      <w:pPr>
        <w:spacing w:after="120" w:line="276" w:lineRule="auto"/>
      </w:pPr>
      <w:r>
        <w:t>The company's financial stability compares favorably to its competitors, as evidenced by its strong profitability metrics. This comparison is justified by the company's ability to maintain a healthy financial profile.</w:t>
      </w:r>
    </w:p>
    <w:p>
      <w:pPr>
        <w:pStyle w:val="ListBullet"/>
        <w:spacing w:after="120"/>
        <w:ind w:left="720"/>
      </w:pPr>
      <w:r>
        <w:t>Risk Management Capabilities</w:t>
      </w:r>
    </w:p>
    <w:p>
      <w:pPr>
        <w:spacing w:after="120" w:line="276" w:lineRule="auto"/>
      </w:pPr>
      <w:r>
        <w:t>Risk management capabilities appear adequate, although further assessment of potential market and operational risks is warranted. Risk assessment indicates based on financial structure a need for continuous monitoring of financial exposures.</w:t>
      </w:r>
    </w:p>
    <w:p>
      <w:pPr>
        <w:pStyle w:val="ListBullet"/>
        <w:spacing w:after="120"/>
        <w:ind w:left="720"/>
      </w:pPr>
      <w:r>
        <w:t>Strategic Financial Advantages</w:t>
      </w:r>
    </w:p>
    <w:p>
      <w:pPr>
        <w:spacing w:after="120" w:line="276" w:lineRule="auto"/>
      </w:pPr>
      <w:r>
        <w:t>Strategic financial advantages are evident, providing the company with a competitive edge in the market. These advantages are evidenced by the company's ability to generate revenue and maintain profitability.</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enhancing profitability.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include strategic initiatives to enhance market position and drive long-term growth. This consideration is justified by the company's current market position and financial health indicators.</w:t>
      </w:r>
    </w:p>
    <w:p>
      <w:pPr>
        <w:pStyle w:val="ListBullet"/>
        <w:spacing w:after="120"/>
        <w:ind w:left="720"/>
      </w:pPr>
      <w:r>
        <w:t>Risk Mitigation Strategies</w:t>
      </w:r>
    </w:p>
    <w:p>
      <w:pPr>
        <w:spacing w:after="120" w:line="276" w:lineRule="auto"/>
      </w:pPr>
      <w:r>
        <w:t>Risk mitigation strategies should focus on addressing potential market and operational risks. This strategy is based on the identified patterns in financial performance metrics.</w:t>
      </w:r>
    </w:p>
    <w:p>
      <w:pPr>
        <w:spacing w:after="120" w:line="276" w:lineRule="auto"/>
      </w:pPr>
      <w:r>
        <w:t>DaVita exhibits a financially sound profile, characterized by efficient operations and strong profitability. The company is well-positioned to maintain its current market standing, although further strategic initiatives may be required to enhance long-term growth and competitive advantages.</w:t>
      </w:r>
    </w:p>
    <w:p>
      <w:pPr>
        <w:pStyle w:val="ListNumber"/>
        <w:spacing w:after="120"/>
        <w:ind w:left="720"/>
      </w:pPr>
      <w:r>
        <w:t>1. For each financial assessment, specify the basis: "Based on comprehensive financial ratio analysis of Davita..."</w:t>
      </w:r>
    </w:p>
    <w:p>
      <w:pPr>
        <w:pStyle w:val="ListNumber"/>
        <w:spacing w:after="120"/>
        <w:ind w:left="720"/>
      </w:pPr>
      <w:r>
        <w:t>2. Include justification phrases: "This efficiency assessment is justified by the operational margin patterns observed in financial data..."</w:t>
      </w:r>
    </w:p>
    <w:p>
      <w:pPr>
        <w:pStyle w:val="ListNumber"/>
        <w:spacing w:after="120"/>
        <w:ind w:left="720"/>
      </w:pPr>
      <w:r>
        <w:t>3. When making qualitative statements, reference the analytical foundation: "as evidenced by the relative positioning in financial health indicators"</w:t>
      </w:r>
    </w:p>
    <w:p>
      <w:pPr>
        <w:pStyle w:val="ListNumber"/>
        <w:spacing w:after="120"/>
        <w:ind w:left="720"/>
      </w:pPr>
      <w:r>
        <w:t>4. Use qualifying language: "The stability analysis suggests..." or "Risk assessment indicates based on financial structure..."</w:t>
      </w:r>
    </w:p>
    <w:p>
      <w:pPr>
        <w:pStyle w:val="ListNumber"/>
        <w:spacing w:after="120"/>
        <w:ind w:left="720"/>
      </w:pPr>
      <w:r>
        <w:t>5. For strategic recommendations, connect to specific financial observations: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17:25:47</w:t>
      </w:r>
    </w:p>
    <w:p>
      <w:pPr>
        <w:spacing w:after="120"/>
      </w:pPr>
      <w:r>
        <w:rPr>
          <w:b/>
          <w:color w:val="000080"/>
        </w:rPr>
        <w:t xml:space="preserve">Session ID: </w:t>
      </w:r>
      <w:r>
        <w:t>b4dddcde-49f4-46da-8549-f5ee7789a070</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