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2026-03-30 16:39:27</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pStyle w:val="Heading1"/>
      </w:pPr>
      <w:r>
        <w:t>EXECUTIVE SUMMARY</w:t>
      </w:r>
    </w:p>
    <w:p>
      <w:pPr>
        <w:spacing w:after="120" w:line="276" w:lineRule="auto"/>
      </w:pPr>
      <w:r>
        <w:t>DaVita presents a profile of a potentially highly profitable organization, exhibiting strong operational efficiency and substantial revenue generation capabilities. However, a comprehensive assessment is hindered by the absence of key financial details, particularly regarding liquidity and solvency. The company's growth potential appears promising, but a more detailed understanding of its market dynamics and competitive landscape is necessary to fully evaluate its strategic positioning.</w:t>
      </w:r>
    </w:p>
    <w:p>
      <w:pPr>
        <w:pStyle w:val="Heading1"/>
      </w:pPr>
      <w:r>
        <w:t>1.0 BUSINESS EFFICIENCY PROFILE</w:t>
      </w:r>
    </w:p>
    <w:p>
      <w:pPr>
        <w:pStyle w:val="ListBullet"/>
        <w:spacing w:after="120"/>
        <w:ind w:left="720"/>
      </w:pPr>
      <w:r>
        <w:t>Revenue Model Characteristics: DaVita's revenue model demonstrates significant scale, suggesting a diversified approach to income generation. The sustainability of this revenue stream requires further investigation into the nature of its contracts and customer base.</w:t>
      </w:r>
    </w:p>
    <w:p>
      <w:pPr>
        <w:pStyle w:val="ListBullet"/>
        <w:spacing w:after="120"/>
        <w:ind w:left="720"/>
      </w:pPr>
      <w:r>
        <w:t>Cost Management Approach: The company exhibits a highly efficient cost management approach, as evidenced by its strong operating margin. This efficiency assessment is justified by the operational margin patterns observed in financial data, indicating effective control over operating expenses.</w:t>
      </w:r>
    </w:p>
    <w:p>
      <w:pPr>
        <w:pStyle w:val="ListBullet"/>
        <w:spacing w:after="120"/>
        <w:ind w:left="720"/>
      </w:pPr>
      <w:r>
        <w:t>Profit Sustainability: Profit sustainability appears robust, supported by strong net income generation. However, a longer-term trend analysis is needed to confirm the consistency of this performance.</w:t>
      </w:r>
    </w:p>
    <w:p>
      <w:pPr>
        <w:pStyle w:val="Heading1"/>
      </w:pPr>
      <w:r>
        <w:t>2.0 OPERATIONAL STABILITY</w:t>
      </w:r>
    </w:p>
    <w:p>
      <w:pPr>
        <w:pStyle w:val="ListBullet"/>
        <w:spacing w:after="120"/>
        <w:ind w:left="720"/>
      </w:pPr>
      <w:r>
        <w:t>Business Resilience Factors: The stability analysis suggests a resilient business model, capable of generating substantial profits. However, a more detailed examination of its asset base and debt structure is necessary to fully assess its long-term financial health.</w:t>
      </w:r>
    </w:p>
    <w:p>
      <w:pPr>
        <w:pStyle w:val="ListBullet"/>
        <w:spacing w:after="120"/>
        <w:ind w:left="720"/>
      </w:pPr>
      <w:r>
        <w:t>Resource Management Effectiveness: Resource management appears effective, as evidenced by the company's ability to generate significant income from its asset base. This effectiveness is justified by the return on assets patterns observed in financial data.</w:t>
      </w:r>
    </w:p>
    <w:p>
      <w:pPr>
        <w:pStyle w:val="ListBullet"/>
        <w:spacing w:after="120"/>
        <w:ind w:left="720"/>
      </w:pPr>
      <w:r>
        <w:t>Financial Flexibility: Financial flexibility is currently difficult to assess due to the lack of liquidity and solvency information. A comprehensive understanding of its cash flow generation and debt obligations is crucial for evaluating its ability to respond to market changes.</w:t>
      </w:r>
    </w:p>
    <w:p>
      <w:pPr>
        <w:pStyle w:val="Heading1"/>
      </w:pPr>
      <w:r>
        <w:t>3.0 GROWTH TRAJECTORY</w:t>
      </w:r>
    </w:p>
    <w:p>
      <w:pPr>
        <w:pStyle w:val="ListBullet"/>
        <w:spacing w:after="120"/>
        <w:ind w:left="720"/>
      </w:pPr>
      <w:r>
        <w:t>Expansion Potential: The company's expansion potential appears promising, given its strong revenue and profit generation capabilities. However, a more detailed understanding of its market dynamics and competitive landscape is necessary to fully evaluate its growth prospects.</w:t>
      </w:r>
    </w:p>
    <w:p>
      <w:pPr>
        <w:pStyle w:val="ListBullet"/>
        <w:spacing w:after="120"/>
        <w:ind w:left="720"/>
      </w:pPr>
      <w:r>
        <w:t>Market Position Advancement: Market position advancement requires further investigation into the company's competitive advantages and market share. A comprehensive understanding of its industry dynamics is crucial for evaluating its ability to gain market share.</w:t>
      </w:r>
    </w:p>
    <w:p>
      <w:pPr>
        <w:pStyle w:val="ListBullet"/>
        <w:spacing w:after="120"/>
        <w:ind w:left="720"/>
      </w:pPr>
      <w:r>
        <w:t>Strategic Growth Capabilities: Strategic growth capabilities are currently difficult to assess due to the limited financial data. A comprehensive understanding of its investment strategies and innovation initiatives is crucial for evaluating its ability to sustain long-term growth.</w:t>
      </w:r>
    </w:p>
    <w:p>
      <w:pPr>
        <w:pStyle w:val="Heading1"/>
      </w:pPr>
      <w:r>
        <w:t>4.0 COMPETITIVE FINANCIAL POSITIONING</w:t>
      </w:r>
    </w:p>
    <w:p>
      <w:pPr>
        <w:pStyle w:val="ListBullet"/>
        <w:spacing w:after="120"/>
        <w:ind w:left="720"/>
      </w:pPr>
      <w:r>
        <w:t>Financial Stability Comparison: Financial stability comparison is currently limited by the lack of industry benchmarks. A comprehensive understanding of its competitors' financial performance is crucial for evaluating its relative financial strength.</w:t>
      </w:r>
    </w:p>
    <w:p>
      <w:pPr>
        <w:pStyle w:val="ListBullet"/>
        <w:spacing w:after="120"/>
        <w:ind w:left="720"/>
      </w:pPr>
      <w:r>
        <w:t>Risk Management Capabilities: Risk management capabilities are currently difficult to assess due to the limited financial data. A comprehensive understanding of its risk mitigation strategies and internal controls is crucial for evaluating its ability to manage financial risks.</w:t>
      </w:r>
    </w:p>
    <w:p>
      <w:pPr>
        <w:pStyle w:val="ListBullet"/>
        <w:spacing w:after="120"/>
        <w:ind w:left="720"/>
      </w:pPr>
      <w:r>
        <w:t>Strategic Financial Advantages: Strategic financial advantages are currently difficult to assess due to the limited financial data. A comprehensive understanding of its competitive advantages and market positioning is crucial for evaluating its ability to outperform its competitors.</w:t>
      </w:r>
    </w:p>
    <w:p>
      <w:pPr>
        <w:pStyle w:val="Heading1"/>
      </w:pPr>
      <w:r>
        <w:t>5.0 STRATEGIC FINANCIAL RECOMMENDATIONS</w:t>
      </w:r>
    </w:p>
    <w:p>
      <w:pPr>
        <w:pStyle w:val="ListBullet"/>
        <w:spacing w:after="120"/>
        <w:ind w:left="720"/>
      </w:pPr>
      <w:r>
        <w:t>Financial Management Priorities: A key financial management priority should be to enhance transparency by providing comprehensive financial disclosures, including liquidity and solvency information. This priority is based on the identified patterns in financial performance metrics.</w:t>
      </w:r>
    </w:p>
    <w:p>
      <w:pPr>
        <w:pStyle w:val="ListBullet"/>
        <w:spacing w:after="120"/>
        <w:ind w:left="720"/>
      </w:pPr>
      <w:r>
        <w:t>Investment Considerations: Investment considerations should focus on evaluating the company's long-term growth potential and its ability to generate sustainable profits. This consideration is justified by the revenue model characteristics observed in financial data.</w:t>
      </w:r>
    </w:p>
    <w:p>
      <w:pPr>
        <w:pStyle w:val="ListBullet"/>
        <w:spacing w:after="120"/>
        <w:ind w:left="720"/>
      </w:pPr>
      <w:r>
        <w:t>Risk Mitigation Strategies: Risk mitigation strategies should focus on addressing potential financial risks, such as high debt levels or reliance on a single revenue stream. Risk assessment indicates based on financial structure.</w:t>
      </w:r>
    </w:p>
    <w:p>
      <w:pPr>
        <w:spacing w:after="120" w:line="276" w:lineRule="auto"/>
      </w:pPr>
      <w:r>
        <w:t>DaVita presents a profile of a potentially strong and efficient organization. However, a comprehensive assessment is hindered by the absence of key financial details. Further investigation into its liquidity, solvency, and market dynamics is necessary to fully evaluate its financial health and strategic positioning.</w:t>
      </w:r>
    </w:p>
    <w:p>
      <w:pPr>
        <w:pStyle w:val="ListNumber"/>
        <w:spacing w:after="120"/>
        <w:ind w:left="720"/>
      </w:pPr>
      <w:r>
        <w:t>1. Based on comprehensive financial ratio analysis of Davita, the company exhibits strong operational efficiency.</w:t>
      </w:r>
    </w:p>
    <w:p>
      <w:pPr>
        <w:pStyle w:val="ListNumber"/>
        <w:spacing w:after="120"/>
        <w:ind w:left="720"/>
      </w:pPr>
      <w:r>
        <w:t>2. This efficiency assessment is justified by the operational margin patterns observed in financial data, indicating effective cost management.</w:t>
      </w:r>
    </w:p>
    <w:p>
      <w:pPr>
        <w:pStyle w:val="ListNumber"/>
        <w:spacing w:after="120"/>
        <w:ind w:left="720"/>
      </w:pPr>
      <w:r>
        <w:t>3. The company's growth potential appears promising, as evidenced by the relative positioning in financial health indicators.</w:t>
      </w:r>
    </w:p>
    <w:p>
      <w:pPr>
        <w:pStyle w:val="ListNumber"/>
        <w:spacing w:after="120"/>
        <w:ind w:left="720"/>
      </w:pPr>
      <w:r>
        <w:t>4. The stability analysis suggests a resilient business model, capable of generating substantial profits.</w:t>
      </w:r>
    </w:p>
    <w:p>
      <w:pPr>
        <w:pStyle w:val="ListNumber"/>
        <w:spacing w:after="120"/>
        <w:ind w:left="720"/>
      </w:pPr>
      <w:r>
        <w:t>5. Risk assessment indicates based on financial structure, the need for further investigation into debt levels and revenue diversification.</w:t>
      </w:r>
    </w:p>
    <w:p>
      <w:pPr>
        <w:pStyle w:val="ListNumber"/>
        <w:spacing w:after="120"/>
        <w:ind w:left="720"/>
      </w:pPr>
      <w:r>
        <w:t>6. This priority is based on the identified patterns in financial performance metrics, highlighting the need for enhanced financial transparency.</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2026-03-30 16:39:28</w:t>
      </w:r>
    </w:p>
    <w:p>
      <w:pPr>
        <w:spacing w:after="120"/>
      </w:pPr>
      <w:r>
        <w:rPr>
          <w:b/>
          <w:color w:val="000080"/>
        </w:rPr>
        <w:t xml:space="preserve">Session ID: </w:t>
      </w:r>
      <w:r>
        <w:t>bf1f9f76-6d07-42ef-b188-270f771eaf01</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