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17:52:21</w:t>
      </w:r>
    </w:p>
    <w:p>
      <w:r>
        <w:br w:type="page"/>
      </w:r>
    </w:p>
    <w:p>
      <w:pPr>
        <w:pStyle w:val="Heading1"/>
        <w:jc w:val="center"/>
      </w:pPr>
      <w:r>
        <w:t>TABLE OF CONTENTS</w:t>
      </w:r>
    </w:p>
    <w:p>
      <w:pPr>
        <w:spacing w:after="120"/>
        <w:ind w:left="0"/>
      </w:pPr>
      <w:r>
        <w:t>1.0 Business Identity &amp; Positioning</w:t>
      </w:r>
    </w:p>
    <w:p>
      <w:r>
        <w:br w:type="page"/>
      </w:r>
    </w:p>
    <w:p>
      <w:pPr>
        <w:spacing w:after="120" w:line="276" w:lineRule="auto"/>
      </w:pPr>
      <w:r>
        <w:t>DaVita Kidney Care</w:t>
      </w:r>
    </w:p>
    <w:p>
      <w:pPr>
        <w:pStyle w:val="Heading1"/>
      </w:pPr>
      <w:r>
        <w:t>EXECUTIVE SUMMARY</w:t>
      </w:r>
    </w:p>
    <w:p>
      <w:pPr>
        <w:spacing w:after="120" w:line="276" w:lineRule="auto"/>
      </w:pPr>
      <w:r>
        <w:t>DaVita Kidney Care demonstrates a strong market presence as a leading provider of dialysis services and integrated kidney care. Their website, while informative and comprehensive in its scope of content, presents mixed signals regarding its technical capabilities. While the use of React suggests efforts to enhance user experience, the underlying architecture relies on WordPress, potentially creating scalability and security concerns. The lack of explicit contact information is a weakness. Strategically, DaVita should focus on modernizing its digital infrastructure, bolstering its security posture, and leveraging data analytics to personalize patient care.</w:t>
      </w:r>
    </w:p>
    <w:p>
      <w:pPr>
        <w:pStyle w:val="Heading1"/>
      </w:pPr>
      <w:r>
        <w:t>1.0 Business Identity &amp; Positioning</w:t>
      </w:r>
    </w:p>
    <w:p>
      <w:pPr>
        <w:spacing w:after="120" w:line="276" w:lineRule="auto"/>
      </w:pPr>
      <w:r>
        <w:t>*   DaVita Kidney Care identifies itself as a comprehensive kidney care provider, offering services from early-stage disease management to end-stage renal disease (ESRD) treatment. Their website aims to provide information and support for patients, physicians, and skilled nursing facilities. The company's mission statement, "One for All, and All for One!," emphasizes teamwork and a commitment to care.</w:t>
      </w:r>
    </w:p>
    <w:p>
      <w:pPr>
        <w:spacing w:after="120" w:line="276" w:lineRule="auto"/>
      </w:pPr>
      <w:r>
        <w:t>*   Data Source: Company Identity from Structured Data.</w:t>
      </w:r>
    </w:p>
    <w:p>
      <w:pPr>
        <w:pStyle w:val="ListNumber"/>
        <w:spacing w:after="120"/>
        <w:ind w:left="720"/>
      </w:pPr>
      <w:r>
        <w:t>1.  1 Core Services &amp; Offerings</w:t>
      </w:r>
    </w:p>
    <w:p>
      <w:pPr>
        <w:spacing w:after="120" w:line="276" w:lineRule="auto"/>
      </w:pPr>
      <w:r>
        <w:t>*   The core services include dialysis treatments, kidney health education, support for patients managing chronic kidney disease (CKD) and end-stage kidney disease (ESKD), physician solutions, and peritoneal dialysis (PD). Service categories encompass dialysis, kidney disease management, physician solutions, education, and patient support. Key capabilities focus on dialysis treatment, kidney disease education and resources, physician partnership, and integrated kidney care.</w:t>
      </w:r>
    </w:p>
    <w:p>
      <w:pPr>
        <w:spacing w:after="120" w:line="276" w:lineRule="auto"/>
      </w:pPr>
      <w:r>
        <w:t>*   Data Source: Business Offerings from Structured Data.</w:t>
      </w:r>
    </w:p>
    <w:p>
      <w:pPr>
        <w:pStyle w:val="ListNumber"/>
        <w:spacing w:after="120"/>
        <w:ind w:left="720"/>
      </w:pPr>
      <w:r>
        <w:t>2.  2 Target Market Analysis</w:t>
      </w:r>
    </w:p>
    <w:p>
      <w:pPr>
        <w:spacing w:after="120" w:line="276" w:lineRule="auto"/>
      </w:pPr>
      <w:r>
        <w:t>*   DaVita's primary customer segments are patients with CKD, patients with ESKD, physicians, and skilled nursing facilities. They aim to provide comprehensive care and support throughout the kidney disease journey.</w:t>
      </w:r>
    </w:p>
    <w:p>
      <w:pPr>
        <w:spacing w:after="120" w:line="276" w:lineRule="auto"/>
      </w:pPr>
      <w:r>
        <w:t>*   Data Source: Business Model Analysis from Structured Data.</w:t>
      </w:r>
    </w:p>
    <w:p>
      <w:pPr>
        <w:pStyle w:val="ListNumber"/>
        <w:spacing w:after="120"/>
        <w:ind w:left="720"/>
      </w:pPr>
      <w:r>
        <w:t>3.  3 Value Proposition</w:t>
      </w:r>
    </w:p>
    <w:p>
      <w:pPr>
        <w:spacing w:after="120" w:line="276" w:lineRule="auto"/>
      </w:pPr>
      <w:r>
        <w:t>*   The value proposition centers around comprehensive kidney care services and education aimed at improving patient outcomes and quality of life. DaVita positions itself as a partner in managing kidney health, offering a full spectrum of services.</w:t>
      </w:r>
    </w:p>
    <w:p>
      <w:pPr>
        <w:spacing w:after="120" w:line="276" w:lineRule="auto"/>
      </w:pPr>
      <w:r>
        <w:t>*   Data Source: Business Model Analysis from Structured Data.</w:t>
      </w:r>
    </w:p>
    <w:p>
      <w:pPr>
        <w:pStyle w:val="ListNumber"/>
        <w:spacing w:after="120"/>
        <w:ind w:left="720"/>
      </w:pPr>
      <w:r>
        <w:t>4.  0 TECHNICAL CAPABILITIES</w:t>
      </w:r>
    </w:p>
    <w:p>
      <w:pPr>
        <w:pStyle w:val="ListNumber"/>
        <w:spacing w:after="120"/>
        <w:ind w:left="720"/>
      </w:pPr>
      <w:r>
        <w:t>5.  1 Technology Stack Assessment</w:t>
      </w:r>
    </w:p>
    <w:p>
      <w:pPr>
        <w:spacing w:after="120" w:line="276" w:lineRule="auto"/>
      </w:pPr>
      <w:r>
        <w:t>*   DaVita's technology stack includes React, WordPress, and WordPress 6.9.4. React enhances front-end interactivity, while WordPress serves as the CMS. However, the specific version of WordPress listed is non-standard and may present a security concern. The combination suggests a hybrid approach, potentially balancing modern front-end development with legacy infrastructure.</w:t>
      </w:r>
    </w:p>
    <w:p>
      <w:pPr>
        <w:spacing w:after="120" w:line="276" w:lineRule="auto"/>
      </w:pPr>
      <w:r>
        <w:t>*   Data Source: Technical Capabilities from Structured Data.</w:t>
      </w:r>
    </w:p>
    <w:p>
      <w:pPr>
        <w:pStyle w:val="ListNumber"/>
        <w:spacing w:after="120"/>
        <w:ind w:left="720"/>
      </w:pPr>
      <w:r>
        <w:t>6.  2 Digital Infrastructure</w:t>
      </w:r>
    </w:p>
    <w:p>
      <w:pPr>
        <w:spacing w:after="120" w:line="276" w:lineRule="auto"/>
      </w:pPr>
      <w:r>
        <w:t>*   The website is based on a WordPress infrastructure with React components. The robustness of the digital infrastructure is difficult to assess definitively without details on the hosting environment, server architecture, and caching strategies.</w:t>
      </w:r>
    </w:p>
    <w:p>
      <w:pPr>
        <w:spacing w:after="120" w:line="276" w:lineRule="auto"/>
      </w:pPr>
      <w:r>
        <w:t>*   Data Source: Technical Capabilities from Structured Data.</w:t>
      </w:r>
    </w:p>
    <w:p>
      <w:pPr>
        <w:pStyle w:val="ListNumber"/>
        <w:spacing w:after="120"/>
        <w:ind w:left="720"/>
      </w:pPr>
      <w:r>
        <w:t>7.  3 Technical Maturity</w:t>
      </w:r>
    </w:p>
    <w:p>
      <w:pPr>
        <w:spacing w:after="120" w:line="276" w:lineRule="auto"/>
      </w:pPr>
      <w:r>
        <w:t>*   The company's technical maturity is rated as "medium," indicating a transitional stage in digital transformation. While they leverage React for improved UI, the reliance on WordPress as the core of their web presence suggests limitations in adopting more modern architectures.</w:t>
      </w:r>
    </w:p>
    <w:p>
      <w:pPr>
        <w:spacing w:after="120" w:line="276" w:lineRule="auto"/>
      </w:pPr>
      <w:r>
        <w:t>*   Data Source: Technical Capabilities from Structured Data.</w:t>
      </w:r>
    </w:p>
    <w:p>
      <w:pPr>
        <w:pStyle w:val="ListNumber"/>
        <w:spacing w:after="120"/>
        <w:ind w:left="720"/>
      </w:pPr>
      <w:r>
        <w:t>8.  4 Innovation Indicators</w:t>
      </w:r>
    </w:p>
    <w:p>
      <w:pPr>
        <w:spacing w:after="120" w:line="276" w:lineRule="auto"/>
      </w:pPr>
      <w:r>
        <w:t>*   There are limited innovation indicators evident in the provided data. The use of React implies some front-end innovation, but the absence of other technologies, such as AI/ML or IoT, suggests a conservative approach to technology adoption.</w:t>
      </w:r>
    </w:p>
    <w:p>
      <w:pPr>
        <w:spacing w:after="120" w:line="276" w:lineRule="auto"/>
      </w:pPr>
      <w:r>
        <w:t>*   Data Source: Technical Capabilities from Structured Data.</w:t>
      </w:r>
    </w:p>
    <w:p>
      <w:pPr>
        <w:pStyle w:val="ListNumber"/>
        <w:spacing w:after="120"/>
        <w:ind w:left="720"/>
      </w:pPr>
      <w:r>
        <w:t>9.  0 DIGITAL PRESENCE</w:t>
      </w:r>
    </w:p>
    <w:p>
      <w:pPr>
        <w:pStyle w:val="ListNumber"/>
        <w:spacing w:after="120"/>
        <w:ind w:left="720"/>
      </w:pPr>
      <w:r>
        <w:t>10. 1 Website Quality Assessment</w:t>
      </w:r>
    </w:p>
    <w:p>
      <w:pPr>
        <w:spacing w:after="120" w:line="276" w:lineRule="auto"/>
      </w:pPr>
      <w:r>
        <w:t>*   The website utilizes both WordPress and React, common practice which could be appropriate. However, the quality depends on implementation. The unknown WordPress 6.9.4 version makes analysis of the website technical quality more problematic, as it suggests customizations and may be an attack vector.</w:t>
      </w:r>
    </w:p>
    <w:p>
      <w:pPr>
        <w:spacing w:after="120" w:line="276" w:lineRule="auto"/>
      </w:pPr>
      <w:r>
        <w:t>*   Data Source: Technical Capabilities from Structured Data.</w:t>
      </w:r>
    </w:p>
    <w:p>
      <w:pPr>
        <w:pStyle w:val="ListNumber"/>
        <w:spacing w:after="120"/>
        <w:ind w:left="720"/>
      </w:pPr>
      <w:r>
        <w:t>11. 2 Content Strategy</w:t>
      </w:r>
    </w:p>
    <w:p>
      <w:pPr>
        <w:spacing w:after="120" w:line="276" w:lineRule="auto"/>
      </w:pPr>
      <w:r>
        <w:t>*   DaVita's content strategy revolves around providing comprehensive information related to kidney disease, dialysis, and their services. Key website pages focus on careers, physician resources, patient education, and diet/nutrition, indicating a focus on SEO and content marketing.</w:t>
      </w:r>
    </w:p>
    <w:p>
      <w:pPr>
        <w:spacing w:after="120" w:line="276" w:lineRule="auto"/>
      </w:pPr>
      <w:r>
        <w:t>*   Data Source: Market Presence from Structured Data.</w:t>
      </w:r>
    </w:p>
    <w:p>
      <w:pPr>
        <w:pStyle w:val="ListNumber"/>
        <w:spacing w:after="120"/>
        <w:ind w:left="720"/>
      </w:pPr>
      <w:r>
        <w:t>12. 3 User Experience</w:t>
      </w:r>
    </w:p>
    <w:p>
      <w:pPr>
        <w:spacing w:after="120" w:line="276" w:lineRule="auto"/>
      </w:pPr>
      <w:r>
        <w:t>*   While React can improve front-end performance, the overall user experience is potentially impacted by the underlying WordPress architecture. Without user testing data, it is difficult to assess how the technology stack is translating into a great user experience for their target audiences. The poor contact structure will definitely have a negative impact on the user experience.</w:t>
      </w:r>
    </w:p>
    <w:p>
      <w:pPr>
        <w:spacing w:after="120" w:line="276" w:lineRule="auto"/>
      </w:pPr>
      <w:r>
        <w:t>*   Data Source: Technical Capabilities from Structured Data.</w:t>
      </w:r>
    </w:p>
    <w:p>
      <w:pPr>
        <w:pStyle w:val="ListNumber"/>
        <w:spacing w:after="120"/>
        <w:ind w:left="720"/>
      </w:pPr>
      <w:r>
        <w:t>13. 4 Online Branding</w:t>
      </w:r>
    </w:p>
    <w:p>
      <w:pPr>
        <w:spacing w:after="120" w:line="276" w:lineRule="auto"/>
      </w:pPr>
      <w:r>
        <w:t>*   DaVita maintains a strong online branding presence across multiple social media platforms, including Facebook, Twitter, YouTube, Instagram, and LinkedIn. This suggests a deliberate effort to engage with their target audiences and build brand awareness.</w:t>
      </w:r>
    </w:p>
    <w:p>
      <w:pPr>
        <w:spacing w:after="120" w:line="276" w:lineRule="auto"/>
      </w:pPr>
      <w:r>
        <w:t>*   Data Source: Market Presence from Structured Data.</w:t>
      </w:r>
    </w:p>
    <w:p>
      <w:pPr>
        <w:pStyle w:val="ListNumber"/>
        <w:spacing w:after="120"/>
        <w:ind w:left="720"/>
      </w:pPr>
      <w:r>
        <w:t>14. 0 COMPETITIVE POSITIONING</w:t>
      </w:r>
    </w:p>
    <w:p>
      <w:pPr>
        <w:pStyle w:val="ListNumber"/>
        <w:spacing w:after="120"/>
        <w:ind w:left="720"/>
      </w:pPr>
      <w:r>
        <w:t>15. 1 Market Position</w:t>
      </w:r>
    </w:p>
    <w:p>
      <w:pPr>
        <w:spacing w:after="120" w:line="276" w:lineRule="auto"/>
      </w:pPr>
      <w:r>
        <w:t>*   DaVita is a leading player in the kidney care industry, with a strong market share and brand recognition. They are well-positioned to capitalize on the growing prevalence of kidney disease.</w:t>
      </w:r>
    </w:p>
    <w:p>
      <w:pPr>
        <w:spacing w:after="120" w:line="276" w:lineRule="auto"/>
      </w:pPr>
      <w:r>
        <w:t>*   Data Source: Business Model Analysis.</w:t>
      </w:r>
    </w:p>
    <w:p>
      <w:pPr>
        <w:pStyle w:val="ListNumber"/>
        <w:spacing w:after="120"/>
        <w:ind w:left="720"/>
      </w:pPr>
      <w:r>
        <w:t>16. 2 Competitive Advantages</w:t>
      </w:r>
    </w:p>
    <w:p>
      <w:pPr>
        <w:spacing w:after="120" w:line="276" w:lineRule="auto"/>
      </w:pPr>
      <w:r>
        <w:t>*   DaVita's competitive advantages include its scale and reach, experience and expertise, and integrated care model. Their extensive network of dialysis centers provides convenience and access to care for patients across a wide geographic area.</w:t>
      </w:r>
    </w:p>
    <w:p>
      <w:pPr>
        <w:spacing w:after="120" w:line="276" w:lineRule="auto"/>
      </w:pPr>
      <w:r>
        <w:t>*   Data Source: Business Model Analysis.</w:t>
      </w:r>
    </w:p>
    <w:p>
      <w:pPr>
        <w:pStyle w:val="ListNumber"/>
        <w:spacing w:after="120"/>
        <w:ind w:left="720"/>
      </w:pPr>
      <w:r>
        <w:t>17. 3 Growth Opportunities</w:t>
      </w:r>
    </w:p>
    <w:p>
      <w:pPr>
        <w:spacing w:after="120" w:line="276" w:lineRule="auto"/>
      </w:pPr>
      <w:r>
        <w:t>*   Growth opportunities lie in expanding integrated kidney care programs, increasing home dialysis penetration, leveraging technology for remote patient monitoring, and pursuing strategic acquisitions.</w:t>
      </w:r>
    </w:p>
    <w:p>
      <w:pPr>
        <w:spacing w:after="120" w:line="276" w:lineRule="auto"/>
      </w:pPr>
      <w:r>
        <w:t xml:space="preserve">*   Data Source: Business Model Analysis. The comprehensive service portfolio is detailed at </w:t>
      </w:r>
      <w:hyperlink r:id="rId9">
        <w:r>
          <w:rPr>
            <w:color w:val="0000FF"/>
            <w:u w:val="single"/>
          </w:rPr>
          <w:t>Peritoneal Dialysis Page</w:t>
        </w:r>
      </w:hyperlink>
    </w:p>
    <w:p>
      <w:pPr>
        <w:pStyle w:val="ListNumber"/>
        <w:spacing w:after="120"/>
        <w:ind w:left="720"/>
      </w:pPr>
      <w:r>
        <w:t>18. 0 STRATEGIC RECOMMENDATIONS</w:t>
      </w:r>
    </w:p>
    <w:p>
      <w:pPr>
        <w:pStyle w:val="ListNumber"/>
        <w:spacing w:after="120"/>
        <w:ind w:left="720"/>
      </w:pPr>
      <w:r>
        <w:t>19. 1 Immediate Improvements</w:t>
      </w:r>
    </w:p>
    <w:p>
      <w:pPr>
        <w:spacing w:after="120" w:line="276" w:lineRule="auto"/>
      </w:pPr>
      <w:r>
        <w:t>*   Address the security vulnerabilities associated with the non-standard WordPress version.</w:t>
      </w:r>
    </w:p>
    <w:p>
      <w:pPr>
        <w:spacing w:after="120" w:line="276" w:lineRule="auto"/>
      </w:pPr>
      <w:r>
        <w:t>*   Improve the website's contact structure by including email addresses and phone numbers for various departments and services.</w:t>
      </w:r>
    </w:p>
    <w:p>
      <w:pPr>
        <w:spacing w:after="120" w:line="276" w:lineRule="auto"/>
      </w:pPr>
      <w:r>
        <w:t>*   Conduct a thorough security audit and penetration test to identify and address any vulnerabilities.</w:t>
      </w:r>
    </w:p>
    <w:p>
      <w:pPr>
        <w:pStyle w:val="ListNumber"/>
        <w:spacing w:after="120"/>
        <w:ind w:left="720"/>
      </w:pPr>
      <w:r>
        <w:t>20. 2 Strategic Initiatives</w:t>
      </w:r>
    </w:p>
    <w:p>
      <w:pPr>
        <w:spacing w:after="120" w:line="276" w:lineRule="auto"/>
      </w:pPr>
      <w:r>
        <w:t>*   Modernize the digital infrastructure by evaluating a migration away from the WordPress-centric architecture to a more scalable and flexible platform.</w:t>
      </w:r>
    </w:p>
    <w:p>
      <w:pPr>
        <w:spacing w:after="120" w:line="276" w:lineRule="auto"/>
      </w:pPr>
      <w:r>
        <w:t>*   Invest in advanced data analytics tools and techniques to gain deeper insights into patient data and improve clinical outcomes.</w:t>
      </w:r>
    </w:p>
    <w:p>
      <w:pPr>
        <w:spacing w:after="120" w:line="276" w:lineRule="auto"/>
      </w:pPr>
      <w:r>
        <w:t>*   Expand telehealth and remote patient monitoring capabilities to improve patient engagement and adherence to treatment plans.</w:t>
      </w:r>
    </w:p>
    <w:p>
      <w:pPr>
        <w:pStyle w:val="ListNumber"/>
        <w:spacing w:after="120"/>
        <w:ind w:left="720"/>
      </w:pPr>
      <w:r>
        <w:t>21. 3 Long-term Development</w:t>
      </w:r>
    </w:p>
    <w:p>
      <w:pPr>
        <w:spacing w:after="120" w:line="276" w:lineRule="auto"/>
      </w:pPr>
      <w:r>
        <w:t>*   Explore the potential of AI/ML for personalized patient care, predictive analytics, and automated tasks.</w:t>
      </w:r>
    </w:p>
    <w:p>
      <w:pPr>
        <w:spacing w:after="120" w:line="276" w:lineRule="auto"/>
      </w:pPr>
      <w:r>
        <w:t>*   Develop APIs that allow for easier integration with other systems and third-party applications.</w:t>
      </w:r>
    </w:p>
    <w:p>
      <w:pPr>
        <w:spacing w:after="120" w:line="276" w:lineRule="auto"/>
      </w:pPr>
      <w:r>
        <w:t>*   Prioritize refactoring legacy code and modernizing outdated systems.</w:t>
      </w:r>
    </w:p>
    <w:p>
      <w:pPr>
        <w:spacing w:after="120" w:line="276" w:lineRule="auto"/>
      </w:pPr>
      <w:r>
        <w:t xml:space="preserve">*   The social media footprint shows an extensive effort to connect to patients, which can be found at </w:t>
      </w:r>
      <w:hyperlink r:id="rId10">
        <w:r>
          <w:rPr>
            <w:color w:val="0000FF"/>
            <w:u w:val="single"/>
          </w:rPr>
          <w:t>LinkedIn</w:t>
        </w:r>
      </w:hyperlink>
      <w:r>
        <w:t>.</w:t>
      </w:r>
    </w:p>
    <w:p>
      <w:pPr>
        <w:spacing w:after="120" w:line="276" w:lineRule="auto"/>
      </w:pPr>
      <w:r>
        <w:t>DaVita Kidney Care possesses a strong brand and extensive service offerings, but their website's technical foundation shows areas for improvement. Addressing the security concerns, modernizing the infrastructure, and leveraging data analytics are crucial steps for DaVita to maintain its market leadership position and continue delivering high-quality care to its patients. A focus on innovation and personalized patient care will further enhance their competitive advantage.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17:52:21</w:t>
      </w:r>
    </w:p>
    <w:p>
      <w:pPr>
        <w:spacing w:after="120"/>
      </w:pPr>
      <w:r>
        <w:rPr>
          <w:b/>
          <w:color w:val="000080"/>
        </w:rPr>
        <w:t xml:space="preserve">Session ID: </w:t>
      </w:r>
      <w:r>
        <w:t>6ab2f441-e66b-4bfd-bdfd-2e772cfb36f4</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www.linkedin.com/company/davi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