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Target Company Report: Tcs</w:t>
      </w:r>
    </w:p>
    <w:p>
      <w:pPr>
        <w:spacing w:before="1000"/>
        <w:jc w:val="center"/>
      </w:pPr>
      <w:r>
        <w:t>September 25, 2025</w:t>
      </w:r>
    </w:p>
    <w:p>
      <w:r>
        <w:br w:type="page"/>
      </w:r>
    </w:p>
    <w:p>
      <w:pPr>
        <w:spacing w:after="160"/>
      </w:pPr>
      <w:r>
        <w:t>```markdown</w:t>
      </w:r>
    </w:p>
    <w:p>
      <w:pPr>
        <w:pStyle w:val="Heading2"/>
      </w:pPr>
      <w:r>
        <w:t>Tata Consultancy Services: Performance, Challenges, and Strategy - A Detailed Report</w:t>
      </w:r>
    </w:p>
    <w:p>
      <w:pPr>
        <w:spacing w:after="160"/>
      </w:pPr>
      <w:r>
        <w:t>This report is based on the Q1 FY26 Earnings Conference Call transcript, providing insights into TCS's business performance, challenges, and strategic focus.</w:t>
      </w:r>
    </w:p>
    <w:p>
      <w:pPr>
        <w:spacing w:after="160"/>
      </w:pPr>
      <w:r>
        <w:rPr>
          <w:b/>
        </w:rPr>
        <w:t>I. Business Performance:</w:t>
      </w:r>
    </w:p>
    <w:p>
      <w:pPr>
        <w:spacing w:after="160"/>
      </w:pPr>
      <w:r>
        <w:t xml:space="preserve">*   </w:t>
      </w:r>
      <w:r>
        <w:rPr>
          <w:b/>
        </w:rPr>
        <w:t>Q1 FY26 Revenue:</w:t>
      </w:r>
      <w:r>
        <w:t xml:space="preserve"> ₹63,437 crores (Indian Rupees), a year-on-year growth of 1.3%. In dollar terms, the revenue was $7,421 million, a year-on-year decline of 1.1%. In constant currency terms, revenue declined by 3.1% year-on-year.</w:t>
      </w:r>
    </w:p>
    <w:p>
      <w:pPr>
        <w:spacing w:after="160"/>
      </w:pPr>
      <w:r>
        <w:t xml:space="preserve">*   </w:t>
      </w:r>
      <w:r>
        <w:rPr>
          <w:b/>
        </w:rPr>
        <w:t>Operating Margin:</w:t>
      </w:r>
      <w:r>
        <w:t xml:space="preserve"> 24.5%, reflecting a sequential improvement of 30 basis points.</w:t>
      </w:r>
    </w:p>
    <w:p>
      <w:pPr>
        <w:spacing w:after="160"/>
      </w:pPr>
      <w:r>
        <w:t xml:space="preserve">*   </w:t>
      </w:r>
      <w:r>
        <w:rPr>
          <w:b/>
        </w:rPr>
        <w:t>Net Margin:</w:t>
      </w:r>
      <w:r>
        <w:t xml:space="preserve"> 20.1%.</w:t>
      </w:r>
    </w:p>
    <w:p>
      <w:pPr>
        <w:spacing w:after="160"/>
      </w:pPr>
      <w:r>
        <w:t xml:space="preserve">*   </w:t>
      </w:r>
      <w:r>
        <w:rPr>
          <w:b/>
        </w:rPr>
        <w:t>Total Contract Value (TCV):</w:t>
      </w:r>
      <w:r>
        <w:t xml:space="preserve"> $9.4 billion, up 13.2% year-on-year. North America TCV was $4.4 billion, BFSI TCV was $2.5 billion, and Consumer Business Group contributed $1.6 billion.</w:t>
      </w:r>
    </w:p>
    <w:p>
      <w:pPr>
        <w:spacing w:after="160"/>
      </w:pPr>
      <w:r>
        <w:t xml:space="preserve">*   </w:t>
      </w:r>
      <w:r>
        <w:rPr>
          <w:b/>
        </w:rPr>
        <w:t>Earnings Per Share (EPS):</w:t>
      </w:r>
      <w:r>
        <w:t xml:space="preserve"> Grew 6% year-on-year.</w:t>
      </w:r>
    </w:p>
    <w:p>
      <w:pPr>
        <w:spacing w:after="160"/>
      </w:pPr>
      <w:r>
        <w:t xml:space="preserve">*   </w:t>
      </w:r>
      <w:r>
        <w:rPr>
          <w:b/>
        </w:rPr>
        <w:t>Accounts Receivable:</w:t>
      </w:r>
      <w:r>
        <w:t xml:space="preserve"> 75 days DSO (Days Sales Outstanding) in dollar terms, up five days year-on-year.</w:t>
      </w:r>
    </w:p>
    <w:p>
      <w:pPr>
        <w:spacing w:after="160"/>
      </w:pPr>
      <w:r>
        <w:t xml:space="preserve">*   </w:t>
      </w:r>
      <w:r>
        <w:rPr>
          <w:b/>
        </w:rPr>
        <w:t>Net Cash from Operations:</w:t>
      </w:r>
      <w:r>
        <w:t xml:space="preserve"> $1.5 billion, a cash conversion of 100.3% of net income.</w:t>
      </w:r>
    </w:p>
    <w:p>
      <w:pPr>
        <w:spacing w:after="160"/>
      </w:pPr>
      <w:r>
        <w:t xml:space="preserve">*   </w:t>
      </w:r>
      <w:r>
        <w:rPr>
          <w:b/>
        </w:rPr>
        <w:t>Free Cash Flows:</w:t>
      </w:r>
      <w:r>
        <w:t xml:space="preserve"> $1.3 billion.</w:t>
      </w:r>
    </w:p>
    <w:p>
      <w:pPr>
        <w:spacing w:after="160"/>
      </w:pPr>
      <w:r>
        <w:t xml:space="preserve">*   </w:t>
      </w:r>
      <w:r>
        <w:rPr>
          <w:b/>
        </w:rPr>
        <w:t>Invested Funds:</w:t>
      </w:r>
      <w:r>
        <w:t xml:space="preserve"> $5.7 billion at the end of the period.</w:t>
      </w:r>
    </w:p>
    <w:p>
      <w:pPr>
        <w:spacing w:after="160"/>
      </w:pPr>
      <w:r>
        <w:t xml:space="preserve">*   </w:t>
      </w:r>
      <w:r>
        <w:rPr>
          <w:b/>
        </w:rPr>
        <w:t>Interim Dividend:</w:t>
      </w:r>
      <w:r>
        <w:t xml:space="preserve"> ₹11 per share recommended by the Board.</w:t>
      </w:r>
    </w:p>
    <w:p>
      <w:pPr>
        <w:spacing w:after="160"/>
      </w:pPr>
      <w:r>
        <w:rPr>
          <w:b/>
        </w:rPr>
        <w:t>II. Challenges:</w:t>
      </w:r>
    </w:p>
    <w:p>
      <w:pPr>
        <w:spacing w:after="160"/>
      </w:pPr>
      <w:r>
        <w:t xml:space="preserve">*   </w:t>
      </w:r>
      <w:r>
        <w:rPr>
          <w:b/>
        </w:rPr>
        <w:t>Delays in Decision-Making and Project Starts:</w:t>
      </w:r>
      <w:r>
        <w:t xml:space="preserve"> A trend of delays in decision-making and project starts with respect to discretionary investments has continued and intensified. This reflects a cautious approach by clients in the face of economic uncertainty.</w:t>
      </w:r>
    </w:p>
    <w:p>
      <w:pPr>
        <w:spacing w:after="160"/>
      </w:pPr>
      <w:r>
        <w:t xml:space="preserve">*   </w:t>
      </w:r>
      <w:r>
        <w:rPr>
          <w:b/>
        </w:rPr>
        <w:t>Global Business Disruptions:</w:t>
      </w:r>
      <w:r>
        <w:t xml:space="preserve"> Global businesses were disrupted due to conflicts, economic uncertainties, and supply chain issues. These disruptions impact project timelines and overall business confidence.</w:t>
      </w:r>
    </w:p>
    <w:p>
      <w:pPr>
        <w:spacing w:after="160"/>
      </w:pPr>
      <w:r>
        <w:t xml:space="preserve">*   </w:t>
      </w:r>
      <w:r>
        <w:rPr>
          <w:b/>
        </w:rPr>
        <w:t>Cost Pressures:</w:t>
      </w:r>
      <w:r>
        <w:t xml:space="preserve"> Customers are experiencing cost pressures, causing project pauses, deferrals, and decision delays, resulting in less than expected revenue conversion. This highlights the need for TCS to offer cost-effective solutions and demonstrate clear ROI.</w:t>
      </w:r>
    </w:p>
    <w:p>
      <w:pPr>
        <w:spacing w:after="160"/>
      </w:pPr>
      <w:r>
        <w:t xml:space="preserve">*   </w:t>
      </w:r>
      <w:r>
        <w:rPr>
          <w:b/>
        </w:rPr>
        <w:t>Softness in Specific Sectors:</w:t>
      </w:r>
      <w:r>
        <w:t xml:space="preserve"> The Consumer Business Group was significantly affected due to widespread industry challenges resulting in funding delays and project postponements. The U.S. insurance sector also showed continued softness. This necessitates diversification and targeted strategies for vulnerable sectors.</w:t>
      </w:r>
    </w:p>
    <w:p>
      <w:pPr>
        <w:spacing w:after="160"/>
      </w:pPr>
      <w:r>
        <w:t xml:space="preserve">*   </w:t>
      </w:r>
      <w:r>
        <w:rPr>
          <w:b/>
        </w:rPr>
        <w:t>Reduced Spending and Capital Investments:</w:t>
      </w:r>
      <w:r>
        <w:t xml:space="preserve"> The Energy, Resources, and Utilities (ERU) vertical faced reduced spending and capital investments due to policy changes and geopolitical tensions. TCS needs to adapt to the changing landscape and explore new opportunities within the ERU sector, such as sustainable transformation initiatives.</w:t>
      </w:r>
    </w:p>
    <w:p>
      <w:pPr>
        <w:spacing w:after="160"/>
      </w:pPr>
      <w:r>
        <w:t xml:space="preserve">*   </w:t>
      </w:r>
      <w:r>
        <w:rPr>
          <w:b/>
        </w:rPr>
        <w:t>Regulatory Scrutiny and Demand Changes:</w:t>
      </w:r>
      <w:r>
        <w:t xml:space="preserve"> The MedTech industry is witnessing regulatory scrutiny, demand changes, cost pressures, regional consolidation, new business models, and higher customer expectations, putting pressure on supply chains to cut costs. TCS must provide solutions that address these challenges, such as compliance and supply chain optimization.</w:t>
      </w:r>
    </w:p>
    <w:p>
      <w:pPr>
        <w:spacing w:after="160"/>
      </w:pPr>
      <w:r>
        <w:t xml:space="preserve">*   </w:t>
      </w:r>
      <w:r>
        <w:rPr>
          <w:b/>
        </w:rPr>
        <w:t>Medicaid Finding Reduction:</w:t>
      </w:r>
      <w:r>
        <w:t xml:space="preserve"> The recent passage of the “Big Beautiful Bill” in the U.S., including Medicaid finding reduction, is expected to severely impact the earnings of Medicaid-focused insurers and hospital operators. TCS needs to anticipate and mitigate the impact of these policy changes on its healthcare clients.</w:t>
      </w:r>
    </w:p>
    <w:p>
      <w:pPr>
        <w:spacing w:after="160"/>
      </w:pPr>
      <w:r>
        <w:rPr>
          <w:b/>
        </w:rPr>
        <w:t>III. Strategy:</w:t>
      </w:r>
    </w:p>
    <w:p>
      <w:pPr>
        <w:spacing w:after="160"/>
      </w:pPr>
      <w:r>
        <w:t xml:space="preserve">*   </w:t>
      </w:r>
      <w:r>
        <w:rPr>
          <w:b/>
        </w:rPr>
        <w:t>Focus on Being a Perpetually Adaptive Enterprise:</w:t>
      </w:r>
      <w:r>
        <w:t xml:space="preserve"> TCS aims to be a dependable partner that helps clients withstand short-term disruptions while executing their transformation strategy for long-term value creation. This involves agility and responsiveness to changing client needs.</w:t>
      </w:r>
    </w:p>
    <w:p>
      <w:pPr>
        <w:spacing w:after="160"/>
      </w:pPr>
      <w:r>
        <w:t xml:space="preserve">*   </w:t>
      </w:r>
      <w:r>
        <w:rPr>
          <w:b/>
        </w:rPr>
        <w:t>Cost Optimization and Efficiency-Led Transformation:</w:t>
      </w:r>
      <w:r>
        <w:t xml:space="preserve"> Enterprises remain focused on cost optimization, vendor consolidation, and efficiency-led technology transformation. TCS is well-positioned to capitalize on this trend by offering solutions that drive cost savings and improve operational efficiency.</w:t>
      </w:r>
    </w:p>
    <w:p>
      <w:pPr>
        <w:spacing w:after="160"/>
      </w:pPr>
      <w:r>
        <w:t xml:space="preserve">*   </w:t>
      </w:r>
      <w:r>
        <w:rPr>
          <w:b/>
        </w:rPr>
        <w:t>Scaling AI Adoption:</w:t>
      </w:r>
      <w:r>
        <w:t xml:space="preserve"> Enterprises are focused on scaling AI adoption across applications, workflows, and data performance. TCS's investment in AI skills and solutions aligns perfectly with this demand.</w:t>
      </w:r>
    </w:p>
    <w:p>
      <w:pPr>
        <w:spacing w:after="160"/>
      </w:pPr>
      <w:r>
        <w:t xml:space="preserve">*   </w:t>
      </w:r>
      <w:r>
        <w:rPr>
          <w:b/>
        </w:rPr>
        <w:t>Integrated Digital Solutions:</w:t>
      </w:r>
      <w:r>
        <w:t xml:space="preserve"> TCS is focusing on providing integrated digital solutions that enhance customer experience, ensure compliance, and enable scalable operations across various segments. This holistic approach is crucial for addressing complex client challenges.</w:t>
      </w:r>
    </w:p>
    <w:p>
      <w:pPr>
        <w:spacing w:after="160"/>
      </w:pPr>
      <w:r>
        <w:t xml:space="preserve">*   </w:t>
      </w:r>
      <w:r>
        <w:rPr>
          <w:b/>
        </w:rPr>
        <w:t>Legacy and Mainframe Modernization:</w:t>
      </w:r>
      <w:r>
        <w:t xml:space="preserve"> Banks are actively pursuing legacy and mainframe modernization to streamline operations and improve system resilience. TCS can leverage its expertise in this area to help banks modernize their infrastructure.</w:t>
      </w:r>
    </w:p>
    <w:p>
      <w:pPr>
        <w:spacing w:after="160"/>
      </w:pPr>
      <w:r>
        <w:t xml:space="preserve">*   </w:t>
      </w:r>
      <w:r>
        <w:rPr>
          <w:b/>
        </w:rPr>
        <w:t>AI-Infused Solutions:</w:t>
      </w:r>
      <w:r>
        <w:t xml:space="preserve"> TCS integrates expertise in deploying technology blended with contextual knowledge of enterprise, data, business processing, industry strength, and change management. This unique blend of skills is a key differentiator for TCS.</w:t>
      </w:r>
    </w:p>
    <w:p>
      <w:pPr>
        <w:spacing w:after="160"/>
      </w:pPr>
      <w:r>
        <w:t xml:space="preserve">*   </w:t>
      </w:r>
      <w:r>
        <w:rPr>
          <w:b/>
        </w:rPr>
        <w:t>Investment in Emerging Technologies:</w:t>
      </w:r>
      <w:r>
        <w:t xml:space="preserve"> TCS associates invested 15 million hours in building expertise in emerging technologies, with 114,000 people having higher-order AI skills. This demonstrates TCS's commitment to staying at the forefront of technological innovation.</w:t>
      </w:r>
    </w:p>
    <w:p>
      <w:pPr>
        <w:spacing w:after="160"/>
      </w:pPr>
      <w:r>
        <w:t xml:space="preserve">*   </w:t>
      </w:r>
      <w:r>
        <w:rPr>
          <w:b/>
        </w:rPr>
        <w:t>Vendor Consolidation:</w:t>
      </w:r>
      <w:r>
        <w:t xml:space="preserve"> Leading firms in the U.S., U.K., Europe, and Japan are consolidating vendors and business services while leveraging AI. TCS can benefit from this trend by offering a comprehensive suite of services and demonstrating its value as a strategic partner.</w:t>
      </w:r>
    </w:p>
    <w:p>
      <w:pPr>
        <w:spacing w:after="160"/>
      </w:pPr>
      <w:r>
        <w:t xml:space="preserve">*   </w:t>
      </w:r>
      <w:r>
        <w:rPr>
          <w:b/>
        </w:rPr>
        <w:t>AI-Led Business Transformation:</w:t>
      </w:r>
      <w:r>
        <w:t xml:space="preserve"> Customers’ spend is clustering around AI-led business transformation, AI-enabled SDLC/IT-Ops, and data-platform modernization. TCS's offerings in these areas are well-aligned with customer demand.</w:t>
      </w:r>
    </w:p>
    <w:p>
      <w:pPr>
        <w:spacing w:after="160"/>
      </w:pPr>
      <w:r>
        <w:t xml:space="preserve">*   </w:t>
      </w:r>
      <w:r>
        <w:rPr>
          <w:b/>
        </w:rPr>
        <w:t>New Offerings in Agentic AI:</w:t>
      </w:r>
      <w:r>
        <w:t xml:space="preserve"> TCS is leaning into the AI inflection with new offerings in Agentic AI and AI infusion in services, expanding its WisdomNext platform with agentic AI capabilities. This proactive approach to AI innovation positions TCS as a leader in the field.</w:t>
      </w:r>
    </w:p>
    <w:p>
      <w:pPr>
        <w:spacing w:after="160"/>
      </w:pPr>
      <w:r>
        <w:t xml:space="preserve">*   </w:t>
      </w:r>
      <w:r>
        <w:rPr>
          <w:b/>
        </w:rPr>
        <w:t>Strategic Partnerships:</w:t>
      </w:r>
      <w:r>
        <w:t xml:space="preserve"> TCS is building strong partnerships within its technology ecosystem. These partnerships enhance TCS's capabilities and allow it to offer a wider range of solutions to its clients.</w:t>
      </w:r>
    </w:p>
    <w:p>
      <w:pPr>
        <w:spacing w:after="160"/>
      </w:pPr>
      <w:r>
        <w:t xml:space="preserve">*   </w:t>
      </w:r>
      <w:r>
        <w:rPr>
          <w:b/>
        </w:rPr>
        <w:t>Product and Platform-Based Solutions:</w:t>
      </w:r>
      <w:r>
        <w:t xml:space="preserve"> TCS continues to develop bespoke solutions for clients using its portfolio of products and platforms like ignio, TCS BaNCS, TCS ADD, and TCS Cognix. These platforms provide a foundation for delivering customized solutions.</w:t>
      </w:r>
    </w:p>
    <w:p>
      <w:pPr>
        <w:spacing w:after="160"/>
      </w:pPr>
      <w:r>
        <w:t xml:space="preserve">*   </w:t>
      </w:r>
      <w:r>
        <w:rPr>
          <w:b/>
        </w:rPr>
        <w:t>Precision Marketing:</w:t>
      </w:r>
      <w:r>
        <w:t xml:space="preserve"> TCS Interactive is enhancing customer experience and marketing through “Creative Engineering powered by AI,” executing precision-marketing campaigns using the AI-powered TwinX digital-twin platform. This demonstrates TCS's commitment to innovation in marketing and customer experience.</w:t>
      </w:r>
    </w:p>
    <w:p>
      <w:pPr>
        <w:spacing w:after="160"/>
      </w:pPr>
      <w:r>
        <w:t xml:space="preserve">*   </w:t>
      </w:r>
      <w:r>
        <w:rPr>
          <w:b/>
        </w:rPr>
        <w:t>Sustainable Transformation:</w:t>
      </w:r>
      <w:r>
        <w:t xml:space="preserve"> TCS is working on transformative engagements like rebalancing of supply chain and grid optimization in the ERU vertical. This reflects TCS's commitment to sustainability and its ability to address complex challenges in the ERU sector.</w:t>
      </w:r>
    </w:p>
    <w:p>
      <w:pPr>
        <w:spacing w:after="160"/>
      </w:pPr>
      <w:r>
        <w:t xml:space="preserve">*   </w:t>
      </w:r>
      <w:r>
        <w:rPr>
          <w:b/>
        </w:rPr>
        <w:t>Talent Transformation:</w:t>
      </w:r>
      <w:r>
        <w:t xml:space="preserve"> TCS is broadening its leadership in emerging technologies and aiming to bring more seamless integration across its service offerings. Investing in talent and fostering collaboration are crucial for TCS's continued success.</w:t>
      </w:r>
    </w:p>
    <w:p>
      <w:pPr>
        <w:spacing w:after="160"/>
      </w:pPr>
      <w:r>
        <w:rPr>
          <w:b/>
        </w:rPr>
        <w:t>IV. Demand Drivers:</w:t>
      </w:r>
    </w:p>
    <w:p>
      <w:pPr>
        <w:spacing w:after="160"/>
      </w:pPr>
      <w:r>
        <w:t xml:space="preserve">*   </w:t>
      </w:r>
      <w:r>
        <w:rPr>
          <w:b/>
        </w:rPr>
        <w:t>BFSI:</w:t>
      </w:r>
      <w:r>
        <w:t xml:space="preserve"> Rapid advancements in GenAI adoption, platform modernization, and automation are driving growth. Clients are focusing on regulatory readiness, data governance, and cost efficiency through technology rationalization. TCS's expertise in these areas makes it a valuable partner for BFSI clients.</w:t>
      </w:r>
    </w:p>
    <w:p>
      <w:pPr>
        <w:spacing w:after="160"/>
      </w:pPr>
      <w:r>
        <w:t xml:space="preserve">*   </w:t>
      </w:r>
      <w:r>
        <w:rPr>
          <w:b/>
        </w:rPr>
        <w:t>CBG:</w:t>
      </w:r>
      <w:r>
        <w:t xml:space="preserve"> Transformative programs are being worked on across all industry segments, with a focus on product information ecosystem overhaul and data-driven merchandising. TCS can help CBG clients optimize their product information and improve their merchandising strategies.</w:t>
      </w:r>
    </w:p>
    <w:p>
      <w:pPr>
        <w:spacing w:after="160"/>
      </w:pPr>
      <w:r>
        <w:t xml:space="preserve">*   </w:t>
      </w:r>
      <w:r>
        <w:rPr>
          <w:b/>
        </w:rPr>
        <w:t>Manufacturing:</w:t>
      </w:r>
      <w:r>
        <w:t xml:space="preserve"> Clients are aiming to lower their overall technology debt and are investing in initiatives intended to prepare their technology infrastructure for future demands. TCS can assist manufacturing clients in modernizing their infrastructure and reducing their technology debt.</w:t>
      </w:r>
    </w:p>
    <w:p>
      <w:pPr>
        <w:spacing w:after="160"/>
      </w:pPr>
      <w:r>
        <w:t xml:space="preserve">*   </w:t>
      </w:r>
      <w:r>
        <w:rPr>
          <w:b/>
        </w:rPr>
        <w:t>Life Sciences and Healthcare:</w:t>
      </w:r>
      <w:r>
        <w:t xml:space="preserve"> Companies are prioritizing R&amp;D, profit margin, and operational efficiency, consolidating vendors and business services while leveraging AI. TCS's AI-powered solutions can help life sciences and healthcare companies improve their R&amp;D, profitability, and efficiency.</w:t>
      </w:r>
    </w:p>
    <w:p>
      <w:pPr>
        <w:spacing w:after="160"/>
      </w:pPr>
      <w:r>
        <w:t xml:space="preserve">*   </w:t>
      </w:r>
      <w:r>
        <w:rPr>
          <w:b/>
        </w:rPr>
        <w:t>ERU:</w:t>
      </w:r>
      <w:r>
        <w:t xml:space="preserve"> Transformative engagements like rebalancing of supply chain and grid optimization are being pursued. TCS's expertise in these areas positions it as a leader in the ERU sector.</w:t>
      </w:r>
    </w:p>
    <w:p>
      <w:pPr>
        <w:spacing w:after="160"/>
      </w:pPr>
      <w:r>
        <w:t xml:space="preserve">*   </w:t>
      </w:r>
      <w:r>
        <w:rPr>
          <w:b/>
        </w:rPr>
        <w:t>Tech SS:</w:t>
      </w:r>
      <w:r>
        <w:t xml:space="preserve"> AI has established itself as a fundamental driver of product innovation, with enterprises prioritizing targeted technology transformations that deliver operational efficiencies and cost savings. TCS can help Tech SS clients leverage AI to drive product innovation and improve efficiency.</w:t>
      </w:r>
    </w:p>
    <w:p>
      <w:pPr>
        <w:spacing w:after="160"/>
      </w:pPr>
      <w:r>
        <w:t xml:space="preserve">*   </w:t>
      </w:r>
      <w:r>
        <w:rPr>
          <w:b/>
        </w:rPr>
        <w:t>CMI:</w:t>
      </w:r>
      <w:r>
        <w:t xml:space="preserve"> AI-driven innovation helps CMI companies rethink business models and diversify revenue streams, transforming every stage of the workflow, including strategic decision-making, content generation, and audience personalization. TCS can help CMI clients leverage AI to transform their business models and workflows.</w:t>
      </w:r>
    </w:p>
    <w:p>
      <w:pPr>
        <w:spacing w:after="160"/>
      </w:pPr>
      <w:r>
        <w:rPr>
          <w:b/>
        </w:rPr>
        <w:t>V. Key Takeaways:</w:t>
      </w:r>
    </w:p>
    <w:p>
      <w:pPr>
        <w:spacing w:after="160"/>
      </w:pPr>
      <w:r>
        <w:t>*   TCS is facing short-term headwinds due to global economic uncertainties and project delays, but remains confident in the robustness of demand and its business model in the medium to long term.</w:t>
      </w:r>
    </w:p>
    <w:p>
      <w:pPr>
        <w:spacing w:after="160"/>
      </w:pPr>
      <w:r>
        <w:t>*   The company is strategically investing in AI and other emerging technologies to drive growth and provide innovative solutions to its clients.</w:t>
      </w:r>
    </w:p>
    <w:p>
      <w:pPr>
        <w:spacing w:after="160"/>
      </w:pPr>
      <w:r>
        <w:t>*   TCS is focused on maintaining strong client relationships and positioning itself as a strategic partner for its clients' transformation journeys.</w:t>
      </w:r>
    </w:p>
    <w:p>
      <w:pPr>
        <w:spacing w:after="160"/>
      </w:pPr>
      <w:r>
        <w:t>This report provides a comprehensive overview of TCS's current situation based on the Q1 FY26 earnings call transcript. While direct LinkedIn insights and website content integration were limited by tool constraints, the report has been enhanced with industry context and inferences to provide a more complete picture of TCS's performance, challenges, and strategic direction.</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