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0"/>
          <w:szCs w:val="30"/>
        </w:rPr>
        <w:t xml:space="preserve">STOCK MARKET FUNDAMENTALS</w:t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A one-page primer for Data Analysts, with a financial-statement analysis of Tata Consultancy Services (TCS)</w:t>
      </w:r>
    </w:p>
    <w:p>
      <w:pPr>
        <w:pBdr>
          <w:bottom w:val="single" w:color="2E74B5" w:sz="6" w:space="2"/>
        </w:pBdr>
        <w:spacing w:after="60" w:before="160"/>
      </w:pPr>
      <w:r>
        <w:rPr>
          <w:b/>
          <w:bCs/>
          <w:caps/>
          <w:color w:val="1F3864"/>
          <w:sz w:val="20"/>
          <w:szCs w:val="20"/>
        </w:rPr>
        <w:t xml:space="preserve">1. Core Market Concepts</w:t>
      </w:r>
    </w:p>
    <w:p>
      <w:pPr>
        <w:spacing w:after="40" w:before="100"/>
      </w:pPr>
      <w:r>
        <w:rPr>
          <w:b/>
          <w:bCs/>
          <w:color w:val="2E74B5"/>
          <w:sz w:val="18"/>
          <w:szCs w:val="18"/>
        </w:rPr>
        <w:t xml:space="preserve">The Market &amp; Its Indices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Stock Market: </w:t>
      </w:r>
      <w:r>
        <w:rPr>
          <w:sz w:val="17"/>
          <w:szCs w:val="17"/>
        </w:rPr>
        <w:t xml:space="preserve">A regulated marketplace where shares (ownership units) of listed companies are bought and sold. In India it is regulated by SEBI (Securities and Exchange Board of India).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NSE &amp; BSE: </w:t>
      </w:r>
      <w:r>
        <w:rPr>
          <w:sz w:val="17"/>
          <w:szCs w:val="17"/>
        </w:rPr>
        <w:t xml:space="preserve">The National Stock Exchange and Bombay Stock Exchange are India's two principal stock exchanges where trading is executed electronically.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Nifty &amp; Sensex: </w:t>
      </w:r>
      <w:r>
        <w:rPr>
          <w:sz w:val="17"/>
          <w:szCs w:val="17"/>
        </w:rPr>
        <w:t xml:space="preserve">Benchmark indices tracking the performance of the top listed companies — Nifty 50 (NSE, 50 large-cap stocks) and Sensex (BSE, 30 large-cap stocks) — used as barometers of overall market health.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IPO &amp; SME IPO: </w:t>
      </w:r>
      <w:r>
        <w:rPr>
          <w:sz w:val="17"/>
          <w:szCs w:val="17"/>
        </w:rPr>
        <w:t xml:space="preserve">An Initial Public Offering is the first sale of a company's shares to the public to raise capital and gain a stock-exchange listing. An SME IPO is a smaller-scale offering for small and medium enterprises, listed on dedicated SME platforms with lighter eligibility norms.</w:t>
      </w:r>
    </w:p>
    <w:p>
      <w:pPr>
        <w:spacing w:after="40" w:before="100"/>
      </w:pPr>
      <w:r>
        <w:rPr>
          <w:b/>
          <w:bCs/>
          <w:color w:val="2E74B5"/>
          <w:sz w:val="18"/>
          <w:szCs w:val="18"/>
        </w:rPr>
        <w:t xml:space="preserve">Valuation Metrics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Market Capitalization: </w:t>
      </w:r>
      <w:r>
        <w:rPr>
          <w:sz w:val="17"/>
          <w:szCs w:val="17"/>
        </w:rPr>
        <w:t xml:space="preserve">Total market value of a company's outstanding shares (Share Price × Total Shares Outstanding); used to classify firms as large-, mid-, or small-cap.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P/E Ratio (Price-to-Earnings): </w:t>
      </w:r>
      <w:r>
        <w:rPr>
          <w:sz w:val="17"/>
          <w:szCs w:val="17"/>
        </w:rPr>
        <w:t xml:space="preserve">Share Price ÷ Earnings Per Share. Shows how much investors pay for every rupee of profit; a higher P/E often signals growth expectations (or overvaluation).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P/B Ratio (Price-to-Book): </w:t>
      </w:r>
      <w:r>
        <w:rPr>
          <w:sz w:val="17"/>
          <w:szCs w:val="17"/>
        </w:rPr>
        <w:t xml:space="preserve">Share Price ÷ Book Value per Share. Compares market value to the accounting (net-worth) value of the company; useful for asset-heavy or financial-sector firms.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EPS (Earnings Per Share): </w:t>
      </w:r>
      <w:r>
        <w:rPr>
          <w:sz w:val="17"/>
          <w:szCs w:val="17"/>
        </w:rPr>
        <w:t xml:space="preserve">Net Profit ÷ Number of Outstanding Shares. A core profitability metric showing how much profit is attributable to each share.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Dividend: </w:t>
      </w:r>
      <w:r>
        <w:rPr>
          <w:sz w:val="17"/>
          <w:szCs w:val="17"/>
        </w:rPr>
        <w:t xml:space="preserve">A portion of profit distributed to shareholders, usually expressed as Dividend Per Share or Dividend Yield (Dividend ÷ Share Price).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Bonus &amp; Stock Split: </w:t>
      </w:r>
      <w:r>
        <w:rPr>
          <w:sz w:val="17"/>
          <w:szCs w:val="17"/>
        </w:rPr>
        <w:t xml:space="preserve">A bonus issue gives shareholders additional free shares from reserves (e.g., 1:1); a stock split divides each share into multiple lower-priced shares (e.g., 1:5). Both increase share count without changing overall company value or an investor's proportional stake.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Trading Volume: </w:t>
      </w:r>
      <w:r>
        <w:rPr>
          <w:sz w:val="17"/>
          <w:szCs w:val="17"/>
        </w:rPr>
        <w:t xml:space="preserve">The number of shares traded in a given period; high volume signals strong interest/liquidity and often precedes or confirms price moves.</w:t>
      </w:r>
    </w:p>
    <w:p>
      <w:pPr>
        <w:pBdr>
          <w:bottom w:val="single" w:color="2E74B5" w:sz="6" w:space="2"/>
        </w:pBdr>
        <w:spacing w:after="60" w:before="160"/>
      </w:pPr>
      <w:r>
        <w:rPr>
          <w:b/>
          <w:bCs/>
          <w:caps/>
          <w:color w:val="1F3864"/>
          <w:sz w:val="20"/>
          <w:szCs w:val="20"/>
        </w:rPr>
        <w:t xml:space="preserve">2. Company Financial Statements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Balance Sheet: </w:t>
      </w:r>
      <w:r>
        <w:rPr>
          <w:sz w:val="17"/>
          <w:szCs w:val="17"/>
        </w:rPr>
        <w:t xml:space="preserve">A snapshot at a point in time of what a company owns (Assets) and owes (Liabilities), and the residual Shareholders' Equity (Assets = Liabilities + Equity).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Profit &amp; Loss (Income) Statement: </w:t>
      </w:r>
      <w:r>
        <w:rPr>
          <w:sz w:val="17"/>
          <w:szCs w:val="17"/>
        </w:rPr>
        <w:t xml:space="preserve">Summarizes Revenue, Expenses, and resulting Net Profit over a period — shows operating performance and profitability trends.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Cash Flow Statement: </w:t>
      </w:r>
      <w:r>
        <w:rPr>
          <w:sz w:val="17"/>
          <w:szCs w:val="17"/>
        </w:rPr>
        <w:t xml:space="preserve">Tracks actual cash movement across Operating, Investing, and Financing activities — reveals whether reported profit is backed by real cash generation.</w:t>
      </w:r>
    </w:p>
    <w:p>
      <w:pPr>
        <w:spacing w:after="60"/>
      </w:pPr>
      <w:r>
        <w:rPr>
          <w:b/>
          <w:bCs/>
          <w:color w:val="1F3864"/>
          <w:sz w:val="17"/>
          <w:szCs w:val="17"/>
        </w:rPr>
        <w:t xml:space="preserve">Basic Financial Ratios: </w:t>
      </w:r>
      <w:r>
        <w:rPr>
          <w:sz w:val="17"/>
          <w:szCs w:val="17"/>
        </w:rPr>
        <w:t xml:space="preserve">Derived from the three statements to assess performance: Profitability (Net Margin, ROE, ROCE), Liquidity (Current Ratio), Leverage (Debt-to-Equity), and Efficiency (Asset Turnover).</w:t>
      </w:r>
    </w:p>
    <w:p>
      <w:pPr>
        <w:pBdr>
          <w:bottom w:val="single" w:color="2E74B5" w:sz="6" w:space="2"/>
        </w:pBdr>
        <w:spacing w:after="60" w:before="160"/>
      </w:pPr>
      <w:r>
        <w:rPr>
          <w:b/>
          <w:bCs/>
          <w:caps/>
          <w:color w:val="1F3864"/>
          <w:sz w:val="20"/>
          <w:szCs w:val="20"/>
        </w:rPr>
        <w:t xml:space="preserve">3. Case Study: Tata Consultancy Services Ltd. (NSE/BSE: TCS)</w:t>
      </w:r>
    </w:p>
    <w:p>
      <w:pPr>
        <w:spacing w:after="80"/>
      </w:pPr>
      <w:r>
        <w:rPr>
          <w:sz w:val="17"/>
          <w:szCs w:val="17"/>
        </w:rPr>
        <w:t xml:space="preserve">TCS is India's largest IT services company (Tata Group) and a Nifty 50 / Sensex constituent. Figures below are consolidated, as of FY2025 (year ended Mar-2025) and TTM (trailing twelve months) market data </w:t>
      </w:r>
      <w:r>
        <w:rPr>
          <w:i/>
          <w:iCs/>
          <w:sz w:val="17"/>
          <w:szCs w:val="17"/>
        </w:rPr>
        <w:t xml:space="preserve">— for domain-learning purposes, not investment advice.</w:t>
      </w:r>
    </w:p>
    <w:p>
      <w:pPr>
        <w:spacing w:after="40" w:before="100"/>
      </w:pPr>
      <w:r>
        <w:rPr>
          <w:b/>
          <w:bCs/>
          <w:color w:val="2E74B5"/>
          <w:sz w:val="18"/>
          <w:szCs w:val="18"/>
        </w:rPr>
        <w:t xml:space="preserve">Market &amp; Valuation Snapshot (TTM)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600"/>
        <w:gridCol w:w="2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Market Cap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₹8,42,092 Cr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P/E Ratio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15.7x</w:t>
            </w:r>
          </w:p>
        </w:tc>
      </w:tr>
      <w:tr>
        <w:tc>
          <w:tcPr>
            <w:tcW w:type="dxa" w:w="26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CMP (17-Aug-26)</w:t>
            </w:r>
          </w:p>
        </w:tc>
        <w:tc>
          <w:tcPr>
            <w:tcW w:type="dxa" w:w="21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₹2,327</w:t>
            </w:r>
          </w:p>
        </w:tc>
        <w:tc>
          <w:tcPr>
            <w:tcW w:type="dxa" w:w="26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P/B Ratio</w:t>
            </w:r>
          </w:p>
        </w:tc>
        <w:tc>
          <w:tcPr>
            <w:tcW w:type="dxa" w:w="21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7.97x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Book Value/Share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₹296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Dividend Yield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2.73%</w:t>
            </w:r>
          </w:p>
        </w:tc>
      </w:tr>
      <w:tr>
        <w:tc>
          <w:tcPr>
            <w:tcW w:type="dxa" w:w="26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ROE</w:t>
            </w:r>
          </w:p>
        </w:tc>
        <w:tc>
          <w:tcPr>
            <w:tcW w:type="dxa" w:w="21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51.8%</w:t>
            </w:r>
          </w:p>
        </w:tc>
        <w:tc>
          <w:tcPr>
            <w:tcW w:type="dxa" w:w="26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ROCE</w:t>
            </w:r>
          </w:p>
        </w:tc>
        <w:tc>
          <w:tcPr>
            <w:tcW w:type="dxa" w:w="21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63.0%</w:t>
            </w:r>
          </w:p>
        </w:tc>
      </w:tr>
    </w:tbl>
    <w:p>
      <w:pPr>
        <w:spacing w:before="100"/>
      </w:pPr>
    </w:p>
    <w:p>
      <w:pPr>
        <w:spacing w:after="40" w:before="100"/>
      </w:pPr>
      <w:r>
        <w:rPr>
          <w:b/>
          <w:bCs/>
          <w:color w:val="2E74B5"/>
          <w:sz w:val="18"/>
          <w:szCs w:val="18"/>
        </w:rPr>
        <w:t xml:space="preserve">Profit &amp; Loss Statement — FY2025 (₹ Crore)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2500"/>
        <w:gridCol w:w="15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Line Item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FY2024</w:t>
            </w:r>
          </w:p>
        </w:tc>
        <w:tc>
          <w:tcPr>
            <w:tcW w:type="dxa" w:w="2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FY2025</w:t>
            </w:r>
          </w:p>
        </w:tc>
        <w:tc>
          <w:tcPr>
            <w:tcW w:type="dxa" w:w="1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YoY</w:t>
            </w:r>
          </w:p>
        </w:tc>
      </w:tr>
      <w:tr>
        <w:tc>
          <w:tcPr>
            <w:tcW w:type="dxa" w:w="2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Revenue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2,40,893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2,55,324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+6.0%</w:t>
            </w:r>
          </w:p>
        </w:tc>
      </w:tr>
      <w:tr>
        <w:tc>
          <w:tcPr>
            <w:tcW w:type="dxa" w:w="29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Operating Profit</w:t>
            </w:r>
          </w:p>
        </w:tc>
        <w:tc>
          <w:tcPr>
            <w:tcW w:type="dxa" w:w="25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64,296</w:t>
            </w:r>
          </w:p>
        </w:tc>
        <w:tc>
          <w:tcPr>
            <w:tcW w:type="dxa" w:w="25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67,407</w:t>
            </w:r>
          </w:p>
        </w:tc>
        <w:tc>
          <w:tcPr>
            <w:tcW w:type="dxa" w:w="15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+4.8%</w:t>
            </w:r>
          </w:p>
        </w:tc>
      </w:tr>
      <w:tr>
        <w:tc>
          <w:tcPr>
            <w:tcW w:type="dxa" w:w="2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Net Profit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46,099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48,797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+5.9%</w:t>
            </w:r>
          </w:p>
        </w:tc>
      </w:tr>
      <w:tr>
        <w:tc>
          <w:tcPr>
            <w:tcW w:type="dxa" w:w="29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EPS (₹)</w:t>
            </w:r>
          </w:p>
        </w:tc>
        <w:tc>
          <w:tcPr>
            <w:tcW w:type="dxa" w:w="25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126.88</w:t>
            </w:r>
          </w:p>
        </w:tc>
        <w:tc>
          <w:tcPr>
            <w:tcW w:type="dxa" w:w="25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134.20</w:t>
            </w:r>
          </w:p>
        </w:tc>
        <w:tc>
          <w:tcPr>
            <w:tcW w:type="dxa" w:w="15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+5.8%</w:t>
            </w:r>
          </w:p>
        </w:tc>
      </w:tr>
    </w:tbl>
    <w:p>
      <w:pPr>
        <w:spacing w:before="100"/>
      </w:pPr>
    </w:p>
    <w:p>
      <w:pPr>
        <w:spacing w:after="40" w:before="100"/>
      </w:pPr>
      <w:r>
        <w:rPr>
          <w:b/>
          <w:bCs/>
          <w:color w:val="2E74B5"/>
          <w:sz w:val="18"/>
          <w:szCs w:val="18"/>
        </w:rPr>
        <w:t xml:space="preserve">Balance Sheet — as of Mar-2025 (₹ Crore)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600"/>
        <w:gridCol w:w="2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Equity Capital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362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Total Assets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1,58,649</w:t>
            </w:r>
          </w:p>
        </w:tc>
      </w:tr>
      <w:tr>
        <w:tc>
          <w:tcPr>
            <w:tcW w:type="dxa" w:w="26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Reserves &amp; Surplus</w:t>
            </w:r>
          </w:p>
        </w:tc>
        <w:tc>
          <w:tcPr>
            <w:tcW w:type="dxa" w:w="21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94,394</w:t>
            </w:r>
          </w:p>
        </w:tc>
        <w:tc>
          <w:tcPr>
            <w:tcW w:type="dxa" w:w="26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Borrowings</w:t>
            </w:r>
          </w:p>
        </w:tc>
        <w:tc>
          <w:tcPr>
            <w:tcW w:type="dxa" w:w="21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9,392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Total Liabilities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1,58,649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Fixed Assets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23,053</w:t>
            </w:r>
          </w:p>
        </w:tc>
      </w:tr>
    </w:tbl>
    <w:p>
      <w:pPr>
        <w:spacing w:before="100"/>
      </w:pPr>
    </w:p>
    <w:p>
      <w:pPr>
        <w:spacing w:after="40" w:before="100"/>
      </w:pPr>
      <w:r>
        <w:rPr>
          <w:b/>
          <w:bCs/>
          <w:color w:val="2E74B5"/>
          <w:sz w:val="18"/>
          <w:szCs w:val="18"/>
        </w:rPr>
        <w:t xml:space="preserve">Cash Flow Statement — FY2025 (₹ Crore)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000"/>
      </w:tblGrid>
      <w:tr>
        <w:trPr>
          <w:tblHeader/>
        </w:trPr>
        <w:tc>
          <w:tcPr>
            <w:tcW w:type="dxa" w:w="4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3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Cash from Operations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48,908</w:t>
            </w:r>
          </w:p>
        </w:tc>
      </w:tr>
      <w:tr>
        <w:tc>
          <w:tcPr>
            <w:tcW w:type="dxa" w:w="43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Cash from Investing</w:t>
            </w:r>
          </w:p>
        </w:tc>
        <w:tc>
          <w:tcPr>
            <w:tcW w:type="dxa" w:w="30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(2,144)</w:t>
            </w:r>
          </w:p>
        </w:tc>
      </w:tr>
      <w:tr>
        <w:tc>
          <w:tcPr>
            <w:tcW w:type="dxa" w:w="4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Cash from Financing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(47,438)</w:t>
            </w:r>
          </w:p>
        </w:tc>
      </w:tr>
      <w:tr>
        <w:tc>
          <w:tcPr>
            <w:tcW w:type="dxa" w:w="43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Free Cash Flow</w:t>
            </w:r>
          </w:p>
        </w:tc>
        <w:tc>
          <w:tcPr>
            <w:tcW w:type="dxa" w:w="30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44,994</w:t>
            </w:r>
          </w:p>
        </w:tc>
      </w:tr>
    </w:tbl>
    <w:p>
      <w:pPr>
        <w:spacing w:before="100"/>
      </w:pPr>
    </w:p>
    <w:p>
      <w:pPr>
        <w:spacing w:after="40" w:before="100"/>
      </w:pPr>
      <w:r>
        <w:rPr>
          <w:b/>
          <w:bCs/>
          <w:color w:val="2E74B5"/>
          <w:sz w:val="18"/>
          <w:szCs w:val="18"/>
        </w:rPr>
        <w:t xml:space="preserve">Key Ratios &amp;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color w:val="000000"/>
          <w:sz w:val="17"/>
          <w:szCs w:val="17"/>
        </w:rPr>
        <w:t xml:space="preserve">Profitability: 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ROE of 51.8% and ROCE of 63.0% are exceptionally high, reflecting an asset-light, cash-generative services business with strong capital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color w:val="000000"/>
          <w:sz w:val="17"/>
          <w:szCs w:val="17"/>
        </w:rPr>
        <w:t xml:space="preserve">Growth: 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Revenue and profit both grew ~6% YoY in FY2025 — steady but moderate, consistent with a mature large-cap IT exporter.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color w:val="000000"/>
          <w:sz w:val="17"/>
          <w:szCs w:val="17"/>
        </w:rPr>
        <w:t xml:space="preserve">Cash Quality: 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Operating cash flow (₹48,908 Cr) closely tracks net profit (₹48,797 Cr), a CFO/Profit ratio near 100% — a sign of high-quality, non-inflated earnings.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color w:val="000000"/>
          <w:sz w:val="17"/>
          <w:szCs w:val="17"/>
        </w:rPr>
        <w:t xml:space="preserve">Balance Sheet: 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Minimal borrowings (₹9,392 Cr) versus ₹94,756 Cr of equity capital + reserves — an almost debt-free balance sheet typical of IT services firms.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  <w:color w:val="000000"/>
          <w:sz w:val="17"/>
          <w:szCs w:val="17"/>
        </w:rPr>
        <w:t xml:space="preserve">Valuation: 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 trailing P/E of ~15.7x is below TCS's own 10-year average (~26x) and its IT-sector peer median, while the P/B of ~8x reflects the low capital base of a services model rather than overvaluation on its own.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b/>
          <w:bCs/>
          <w:i w:val="false"/>
          <w:iCs w:val="false"/>
          <w:color w:val="000000"/>
          <w:sz w:val="17"/>
          <w:szCs w:val="17"/>
        </w:rPr>
        <w:t xml:space="preserve">Shareholder Returns: 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 high dividend payout ratio (94% in FY2025) shows management returns most surplus cash to shareholders rather than reinvesting for expansion — typical of a low-capex service business.</w:t>
      </w:r>
    </w:p>
    <w:p>
      <w:pPr>
        <w:pBdr>
          <w:top w:val="single" w:color="2E74B5" w:sz="4" w:space="4"/>
        </w:pBdr>
        <w:spacing w:before="160"/>
      </w:pPr>
      <w:r>
        <w:rPr>
          <w:i/>
          <w:iCs/>
          <w:color w:val="595959"/>
          <w:sz w:val="14"/>
          <w:szCs w:val="14"/>
        </w:rPr>
        <w:t xml:space="preserve">Sources: CA Rachana Ranade – Basics of Stock Market (YouTube), Zerodha Varsity, SEBI Investor Education; company financials from Screener.in and TCS investor relations filings. This document is for domain-knowledge learning only and is not investment or trading advice.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2026-08-17T14:13:23.142Z</dcterms:created>
  <dcterms:modified xsi:type="dcterms:W3CDTF">2026-08-17T14:13:23.159Z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