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80"/>
        <w:jc w:val="center"/>
      </w:pPr>
      <w:r>
        <w:rPr>
          <w:rFonts w:ascii="Arial" w:cs="Arial" w:eastAsia="Arial" w:hAnsi="Arial"/>
          <w:b/>
          <w:bCs/>
          <w:color w:val="1A3C6E"/>
          <w:sz w:val="64"/>
          <w:szCs w:val="64"/>
        </w:rPr>
        <w:t xml:space="preserve">AI-DRIVEN REGIONAL SALES</w:t>
      </w:r>
    </w:p>
    <w:p>
      <w:pPr>
        <w:spacing w:after="200"/>
        <w:jc w:val="center"/>
      </w:pPr>
      <w:r>
        <w:rPr>
          <w:rFonts w:ascii="Arial" w:cs="Arial" w:eastAsia="Arial" w:hAnsi="Arial"/>
          <w:b/>
          <w:bCs/>
          <w:color w:val="1A3C6E"/>
          <w:sz w:val="64"/>
          <w:szCs w:val="64"/>
        </w:rPr>
        <w:t xml:space="preserve">INTELLIGENCE PLATFORM</w:t>
      </w:r>
    </w:p>
    <w:p>
      <w:pPr>
        <w:pBdr>
          <w:top w:val="single" w:color="2563EB" w:sz="12" w:space="1"/>
          <w:bottom w:val="single" w:color="2563EB" w:sz="12" w:space="1"/>
        </w:pBdr>
        <w:spacing w:after="120"/>
        <w:jc w:val="center"/>
      </w:pPr>
      <w:r>
        <w:rPr>
          <w:rFonts w:ascii="Arial" w:cs="Arial" w:eastAsia="Arial" w:hAnsi="Arial"/>
          <w:color w:val="2563EB"/>
          <w:sz w:val="26"/>
          <w:szCs w:val="26"/>
        </w:rPr>
        <w:t xml:space="preserve">Project Report  ·  ML Forecasting  ·  EDA  ·  Interactive Dashboard</w:t>
      </w:r>
    </w:p>
    <w:p>
      <w:r>
        <w:rPr>
          <w:sz w:val="22"/>
          <w:szCs w:val="22"/>
        </w:rPr>
        <w:t xml:space="preserve"/>
      </w:r>
    </w:p>
    <w:p>
      <w:r>
        <w:rPr>
          <w:sz w:val="22"/>
          <w:szCs w:val="22"/>
        </w:rPr>
        <w:t xml:space="preserve"/>
      </w:r>
    </w:p>
    <w:p>
      <w:pPr>
        <w:spacing w:after="80"/>
        <w:jc w:val="center"/>
      </w:pPr>
      <w:r>
        <w:rPr>
          <w:rFonts w:ascii="Arial" w:cs="Arial" w:eastAsia="Arial" w:hAnsi="Arial"/>
          <w:b/>
          <w:bCs/>
          <w:color w:val="111827"/>
          <w:sz w:val="28"/>
          <w:szCs w:val="28"/>
        </w:rPr>
        <w:t xml:space="preserve">Acme Co. USA — Sales Analytics Division</w:t>
      </w:r>
    </w:p>
    <w:p>
      <w:pPr>
        <w:spacing w:after="80"/>
        <w:jc w:val="center"/>
      </w:pPr>
      <w:r>
        <w:rPr>
          <w:rFonts w:ascii="Arial" w:cs="Arial" w:eastAsia="Arial" w:hAnsi="Arial"/>
          <w:color w:val="6B7280"/>
          <w:sz w:val="22"/>
          <w:szCs w:val="22"/>
        </w:rPr>
        <w:t xml:space="preserve">Dataset Period: January 2014 – December 2017</w:t>
      </w:r>
    </w:p>
    <w:p>
      <w:pPr>
        <w:spacing w:after="80"/>
        <w:jc w:val="center"/>
      </w:pPr>
      <w:r>
        <w:rPr>
          <w:rFonts w:ascii="Arial" w:cs="Arial" w:eastAsia="Arial" w:hAnsi="Arial"/>
          <w:color w:val="6B7280"/>
          <w:sz w:val="22"/>
          <w:szCs w:val="22"/>
        </w:rPr>
        <w:t xml:space="preserve">Report Date: May 2026</w:t>
      </w:r>
    </w:p>
    <w:p>
      <w:r>
        <w:rPr>
          <w:sz w:val="22"/>
          <w:szCs w:val="22"/>
        </w:rPr>
        <w:t xml:space="preserve"/>
      </w:r>
    </w:p>
    <w:p>
      <w:r>
        <w:rPr>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563EB" w:sz="1"/>
              <w:left w:val="none"/>
              <w:bottom w:val="single" w:color="2563EB" w:sz="1"/>
              <w:right w:val="none"/>
            </w:tcBorders>
            <w:shd w:fill="DBEAFE" w:val="clear"/>
            <w:tcMar>
              <w:top w:type="dxa" w:w="160"/>
              <w:left w:type="dxa" w:w="240"/>
              <w:bottom w:type="dxa" w:w="160"/>
              <w:right w:type="dxa" w:w="240"/>
            </w:tcMar>
          </w:tcPr>
          <w:p>
            <w:pPr>
              <w:spacing w:after="60"/>
              <w:jc w:val="center"/>
            </w:pPr>
            <w:r>
              <w:rPr>
                <w:rFonts w:ascii="Arial" w:cs="Arial" w:eastAsia="Arial" w:hAnsi="Arial"/>
                <w:b/>
                <w:bCs/>
                <w:color w:val="2563EB"/>
                <w:sz w:val="24"/>
                <w:szCs w:val="24"/>
              </w:rPr>
              <w:t xml:space="preserve">Executive Summary</w:t>
            </w:r>
          </w:p>
          <w:p>
            <w:pPr>
              <w:spacing w:after="60"/>
              <w:jc w:val="center"/>
            </w:pPr>
            <w:r>
              <w:rPr>
                <w:rFonts w:ascii="Arial" w:cs="Arial" w:eastAsia="Arial" w:hAnsi="Arial"/>
                <w:color w:val="111827"/>
                <w:sz w:val="20"/>
                <w:szCs w:val="20"/>
              </w:rPr>
              <w:t xml:space="preserve">This report presents the complete analysis of Acme Co.'s regional sales data across 5,000 transactions,</w:t>
            </w:r>
          </w:p>
          <w:p>
            <w:pPr>
              <w:spacing w:after="60"/>
              <w:jc w:val="center"/>
            </w:pPr>
            <w:r>
              <w:rPr>
                <w:rFonts w:ascii="Arial" w:cs="Arial" w:eastAsia="Arial" w:hAnsi="Arial"/>
                <w:color w:val="111827"/>
                <w:sz w:val="20"/>
                <w:szCs w:val="20"/>
              </w:rPr>
              <w:t xml:space="preserve">4 U.S. regions, 16 states, 8 products, and 3 sales channels, spanning 2014–2017.</w:t>
            </w:r>
          </w:p>
          <w:p>
            <w:pPr>
              <w:spacing w:after="0"/>
              <w:jc w:val="center"/>
            </w:pPr>
            <w:r>
              <w:rPr>
                <w:rFonts w:ascii="Arial" w:cs="Arial" w:eastAsia="Arial" w:hAnsi="Arial"/>
                <w:color w:val="111827"/>
                <w:sz w:val="20"/>
                <w:szCs w:val="20"/>
              </w:rPr>
              <w:t xml:space="preserve">Includes ML forecasting, NLP sentiment analysis, and interactive visualization.</w:t>
            </w:r>
          </w:p>
        </w:tc>
      </w:tr>
    </w:tbl>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1. Project Overview</w:t>
      </w:r>
    </w:p>
    <w:p>
      <w:pPr>
        <w:spacing w:after="100"/>
      </w:pPr>
      <w:r>
        <w:rPr>
          <w:rFonts w:ascii="Arial" w:cs="Arial" w:eastAsia="Arial" w:hAnsi="Arial"/>
          <w:b w:val="false"/>
          <w:bCs w:val="false"/>
          <w:color w:val="111827"/>
          <w:sz w:val="22"/>
          <w:szCs w:val="22"/>
        </w:rPr>
        <w:t xml:space="preserve">This project delivers an end-to-end AI-powered sales intelligence solution for Acme Co.'s U.S. regional operations. Using four years of transactional data (2014–2017), the platform integrates Exploratory Data Analysis, Machine Learning forecasting, NLP Sentiment Analysis, and an interactive web dashboard to provide decision-makers with deep, actionable insights.</w:t>
      </w:r>
    </w:p>
    <w:p>
      <w:r>
        <w:rPr>
          <w:sz w:val="22"/>
          <w:szCs w:val="22"/>
        </w:rPr>
        <w:t xml:space="preserve"/>
      </w:r>
    </w:p>
    <w:p>
      <w:pPr>
        <w:pStyle w:val="Heading2"/>
        <w:spacing w:after="80" w:before="280"/>
      </w:pPr>
      <w:r>
        <w:rPr>
          <w:rFonts w:ascii="Arial" w:cs="Arial" w:eastAsia="Arial" w:hAnsi="Arial"/>
          <w:b/>
          <w:bCs/>
          <w:color w:val="2563EB"/>
          <w:sz w:val="28"/>
          <w:szCs w:val="28"/>
        </w:rPr>
        <w:t xml:space="preserve">1.1 Business Problem</w:t>
      </w:r>
    </w:p>
    <w:p>
      <w:pPr>
        <w:spacing w:after="100"/>
      </w:pPr>
      <w:r>
        <w:rPr>
          <w:rFonts w:ascii="Arial" w:cs="Arial" w:eastAsia="Arial" w:hAnsi="Arial"/>
          <w:b w:val="false"/>
          <w:bCs w:val="false"/>
          <w:color w:val="111827"/>
          <w:sz w:val="22"/>
          <w:szCs w:val="22"/>
        </w:rPr>
        <w:t xml:space="preserve">Acme Co. needed a unified view of sales performance across product lines, geographies, and channels. Key questions driving this analysis:</w:t>
      </w:r>
    </w:p>
    <w:p>
      <w:pPr>
        <w:pStyle w:val="ListParagraph"/>
        <w:numPr>
          <w:ilvl w:val="0"/>
          <w:numId w:val="2"/>
        </w:numPr>
        <w:spacing w:after="80"/>
      </w:pPr>
      <w:r>
        <w:rPr>
          <w:rFonts w:ascii="Arial" w:cs="Arial" w:eastAsia="Arial" w:hAnsi="Arial"/>
          <w:sz w:val="22"/>
          <w:szCs w:val="22"/>
        </w:rPr>
        <w:t xml:space="preserve">Which regions, products, and channels drive the most revenue and profit?</w:t>
      </w:r>
    </w:p>
    <w:p>
      <w:pPr>
        <w:pStyle w:val="ListParagraph"/>
        <w:numPr>
          <w:ilvl w:val="0"/>
          <w:numId w:val="2"/>
        </w:numPr>
        <w:spacing w:after="80"/>
      </w:pPr>
      <w:r>
        <w:rPr>
          <w:rFonts w:ascii="Arial" w:cs="Arial" w:eastAsia="Arial" w:hAnsi="Arial"/>
          <w:sz w:val="22"/>
          <w:szCs w:val="22"/>
        </w:rPr>
        <w:t xml:space="preserve">Are there seasonal patterns that affect inventory and staffing decisions?</w:t>
      </w:r>
    </w:p>
    <w:p>
      <w:pPr>
        <w:pStyle w:val="ListParagraph"/>
        <w:numPr>
          <w:ilvl w:val="0"/>
          <w:numId w:val="2"/>
        </w:numPr>
        <w:spacing w:after="80"/>
      </w:pPr>
      <w:r>
        <w:rPr>
          <w:rFonts w:ascii="Arial" w:cs="Arial" w:eastAsia="Arial" w:hAnsi="Arial"/>
          <w:sz w:val="22"/>
          <w:szCs w:val="22"/>
        </w:rPr>
        <w:t xml:space="preserve">How accurately can we forecast future sales to support budget planning?</w:t>
      </w:r>
    </w:p>
    <w:p>
      <w:pPr>
        <w:pStyle w:val="ListParagraph"/>
        <w:numPr>
          <w:ilvl w:val="0"/>
          <w:numId w:val="2"/>
        </w:numPr>
        <w:spacing w:after="80"/>
      </w:pPr>
      <w:r>
        <w:rPr>
          <w:rFonts w:ascii="Arial" w:cs="Arial" w:eastAsia="Arial" w:hAnsi="Arial"/>
          <w:sz w:val="22"/>
          <w:szCs w:val="22"/>
        </w:rPr>
        <w:t xml:space="preserve">What do customer sentiment signals tell us about product reception?</w:t>
      </w:r>
    </w:p>
    <w:p>
      <w:pPr>
        <w:pStyle w:val="ListParagraph"/>
        <w:numPr>
          <w:ilvl w:val="0"/>
          <w:numId w:val="2"/>
        </w:numPr>
        <w:spacing w:after="80"/>
      </w:pPr>
      <w:r>
        <w:rPr>
          <w:rFonts w:ascii="Arial" w:cs="Arial" w:eastAsia="Arial" w:hAnsi="Arial"/>
          <w:sz w:val="22"/>
          <w:szCs w:val="22"/>
        </w:rPr>
        <w:t xml:space="preserve">Where are budget gaps widest, and which markets are underperforming?</w:t>
      </w:r>
    </w:p>
    <w:p>
      <w:r>
        <w:rPr>
          <w:sz w:val="22"/>
          <w:szCs w:val="22"/>
        </w:rPr>
        <w:t xml:space="preserve"/>
      </w:r>
    </w:p>
    <w:p>
      <w:pPr>
        <w:pStyle w:val="Heading2"/>
        <w:spacing w:after="80" w:before="280"/>
      </w:pPr>
      <w:r>
        <w:rPr>
          <w:rFonts w:ascii="Arial" w:cs="Arial" w:eastAsia="Arial" w:hAnsi="Arial"/>
          <w:b/>
          <w:bCs/>
          <w:color w:val="2563EB"/>
          <w:sz w:val="28"/>
          <w:szCs w:val="28"/>
        </w:rPr>
        <w:t xml:space="preserve">1.2 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pPr>
              <w:spacing w:after="80"/>
            </w:pPr>
            <w:r>
              <w:rPr>
                <w:rFonts w:ascii="Arial" w:cs="Arial" w:eastAsia="Arial" w:hAnsi="Arial"/>
                <w:b/>
                <w:bCs/>
                <w:color w:val="2563EB"/>
                <w:sz w:val="22"/>
                <w:szCs w:val="22"/>
              </w:rPr>
              <w:t xml:space="preserve">Data &amp; Analysis Layer</w:t>
            </w:r>
          </w:p>
          <w:p>
            <w:pPr>
              <w:spacing w:after="60"/>
            </w:pPr>
            <w:r>
              <w:rPr>
                <w:rFonts w:ascii="Arial" w:cs="Arial" w:eastAsia="Arial" w:hAnsi="Arial"/>
                <w:color w:val="111827"/>
                <w:sz w:val="21"/>
                <w:szCs w:val="21"/>
              </w:rPr>
              <w:t xml:space="preserve">5,000 transactions across 2014–2017</w:t>
            </w:r>
          </w:p>
          <w:p>
            <w:pPr>
              <w:spacing w:after="60"/>
            </w:pPr>
            <w:r>
              <w:rPr>
                <w:rFonts w:ascii="Arial" w:cs="Arial" w:eastAsia="Arial" w:hAnsi="Arial"/>
                <w:color w:val="111827"/>
                <w:sz w:val="21"/>
                <w:szCs w:val="21"/>
              </w:rPr>
              <w:t xml:space="preserve">4 U.S. regions, 16 states, 8 products</w:t>
            </w:r>
          </w:p>
          <w:p>
            <w:pPr>
              <w:spacing w:after="60"/>
            </w:pPr>
            <w:r>
              <w:rPr>
                <w:rFonts w:ascii="Arial" w:cs="Arial" w:eastAsia="Arial" w:hAnsi="Arial"/>
                <w:color w:val="111827"/>
                <w:sz w:val="21"/>
                <w:szCs w:val="21"/>
              </w:rPr>
              <w:t xml:space="preserve">3 sales channels: Wholesale, Distributor, Export</w:t>
            </w:r>
          </w:p>
          <w:p>
            <w:pPr>
              <w:spacing w:after="60"/>
            </w:pPr>
            <w:r>
              <w:rPr>
                <w:rFonts w:ascii="Arial" w:cs="Arial" w:eastAsia="Arial" w:hAnsi="Arial"/>
                <w:color w:val="111827"/>
                <w:sz w:val="21"/>
                <w:szCs w:val="21"/>
              </w:rPr>
              <w:t xml:space="preserve">50 customers, 4 sales channels</w:t>
            </w:r>
          </w:p>
          <w:p>
            <w:pPr>
              <w:spacing w:after="60"/>
            </w:pPr>
            <w:r>
              <w:rPr>
                <w:rFonts w:ascii="Arial" w:cs="Arial" w:eastAsia="Arial" w:hAnsi="Arial"/>
                <w:color w:val="111827"/>
                <w:sz w:val="21"/>
                <w:szCs w:val="21"/>
              </w:rPr>
              <w:t xml:space="preserve">Feature engineering: 15+ derived fields</w:t>
            </w:r>
          </w:p>
          <w:p>
            <w:pPr>
              <w:spacing w:after="60"/>
            </w:pPr>
            <w:r>
              <w:rPr>
                <w:rFonts w:ascii="Arial" w:cs="Arial" w:eastAsia="Arial" w:hAnsi="Arial"/>
                <w:color w:val="111827"/>
                <w:sz w:val="21"/>
                <w:szCs w:val="21"/>
              </w:rPr>
              <w:t xml:space="preserve">Rolling averages, seasonality flags, budget gap</w:t>
            </w:r>
          </w:p>
        </w:tc>
        <w:tc>
          <w:tcPr>
            <w:tcW w:type="dxa" w:w="4620"/>
            <w:tcBorders>
              <w:top w:val="single" w:color="DDDDDD" w:sz="1"/>
              <w:left w:val="single" w:color="DDDDDD" w:sz="1"/>
              <w:bottom w:val="single" w:color="DDDDDD" w:sz="1"/>
              <w:right w:val="single" w:color="DDDDDD" w:sz="1"/>
            </w:tcBorders>
            <w:shd w:fill="CCFBF1" w:val="clear"/>
            <w:tcMar>
              <w:top w:type="dxa" w:w="100"/>
              <w:left w:type="dxa" w:w="160"/>
              <w:bottom w:type="dxa" w:w="100"/>
              <w:right w:type="dxa" w:w="160"/>
            </w:tcMar>
          </w:tcPr>
          <w:p>
            <w:pPr>
              <w:spacing w:after="80"/>
            </w:pPr>
            <w:r>
              <w:rPr>
                <w:rFonts w:ascii="Arial" w:cs="Arial" w:eastAsia="Arial" w:hAnsi="Arial"/>
                <w:b/>
                <w:bCs/>
                <w:color w:val="0D9488"/>
                <w:sz w:val="22"/>
                <w:szCs w:val="22"/>
              </w:rPr>
              <w:t xml:space="preserve">AI &amp; Intelligence Layer</w:t>
            </w:r>
          </w:p>
          <w:p>
            <w:pPr>
              <w:spacing w:after="60"/>
            </w:pPr>
            <w:r>
              <w:rPr>
                <w:rFonts w:ascii="Arial" w:cs="Arial" w:eastAsia="Arial" w:hAnsi="Arial"/>
                <w:color w:val="111827"/>
                <w:sz w:val="21"/>
                <w:szCs w:val="21"/>
              </w:rPr>
              <w:t xml:space="preserve">4 ML models benchmarked (Gradient Boosting best)</w:t>
            </w:r>
          </w:p>
          <w:p>
            <w:pPr>
              <w:spacing w:after="60"/>
            </w:pPr>
            <w:r>
              <w:rPr>
                <w:rFonts w:ascii="Arial" w:cs="Arial" w:eastAsia="Arial" w:hAnsi="Arial"/>
                <w:color w:val="111827"/>
                <w:sz w:val="21"/>
                <w:szCs w:val="21"/>
              </w:rPr>
              <w:t xml:space="preserve">Cross-validated R² = 0.987 on Gradient Boosting</w:t>
            </w:r>
          </w:p>
          <w:p>
            <w:pPr>
              <w:spacing w:after="60"/>
            </w:pPr>
            <w:r>
              <w:rPr>
                <w:rFonts w:ascii="Arial" w:cs="Arial" w:eastAsia="Arial" w:hAnsi="Arial"/>
                <w:color w:val="111827"/>
                <w:sz w:val="21"/>
                <w:szCs w:val="21"/>
              </w:rPr>
              <w:t xml:space="preserve">NLP sentiment pipeline with VADER + keyword rules</w:t>
            </w:r>
          </w:p>
          <w:p>
            <w:pPr>
              <w:spacing w:after="60"/>
            </w:pPr>
            <w:r>
              <w:rPr>
                <w:rFonts w:ascii="Arial" w:cs="Arial" w:eastAsia="Arial" w:hAnsi="Arial"/>
                <w:color w:val="111827"/>
                <w:sz w:val="21"/>
                <w:szCs w:val="21"/>
              </w:rPr>
              <w:t xml:space="preserve">Regional risk scoring and anomaly detection</w:t>
            </w:r>
          </w:p>
          <w:p>
            <w:pPr>
              <w:spacing w:after="60"/>
            </w:pPr>
            <w:r>
              <w:rPr>
                <w:rFonts w:ascii="Arial" w:cs="Arial" w:eastAsia="Arial" w:hAnsi="Arial"/>
                <w:color w:val="111827"/>
                <w:sz w:val="21"/>
                <w:szCs w:val="21"/>
              </w:rPr>
              <w:t xml:space="preserve">Budget variance tracking (2017 only)</w:t>
            </w:r>
          </w:p>
          <w:p>
            <w:pPr>
              <w:spacing w:after="60"/>
            </w:pPr>
            <w:r>
              <w:rPr>
                <w:rFonts w:ascii="Arial" w:cs="Arial" w:eastAsia="Arial" w:hAnsi="Arial"/>
                <w:color w:val="111827"/>
                <w:sz w:val="21"/>
                <w:szCs w:val="21"/>
              </w:rPr>
              <w:t xml:space="preserve">Interactive Chart.js dashboard (multi-tab HTML)</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2. Dataset &amp; Data Processing</w:t>
      </w:r>
    </w:p>
    <w:p>
      <w:pPr>
        <w:pStyle w:val="Heading2"/>
        <w:spacing w:after="80" w:before="280"/>
      </w:pPr>
      <w:r>
        <w:rPr>
          <w:rFonts w:ascii="Arial" w:cs="Arial" w:eastAsia="Arial" w:hAnsi="Arial"/>
          <w:b/>
          <w:bCs/>
          <w:color w:val="2563EB"/>
          <w:sz w:val="28"/>
          <w:szCs w:val="28"/>
        </w:rPr>
        <w:t xml:space="preserve">2.1 Dataset Overview</w:t>
      </w:r>
    </w:p>
    <w:p>
      <w:pPr>
        <w:spacing w:after="100"/>
      </w:pPr>
      <w:r>
        <w:rPr>
          <w:rFonts w:ascii="Arial" w:cs="Arial" w:eastAsia="Arial" w:hAnsi="Arial"/>
          <w:b w:val="false"/>
          <w:bCs w:val="false"/>
          <w:color w:val="111827"/>
          <w:sz w:val="22"/>
          <w:szCs w:val="22"/>
        </w:rPr>
        <w:t xml:space="preserve">The dataset was synthetically generated to mirror realistic Acme Co. sales operations. It provides a statistically sound basis for all analyses while removing any data privacy concerns.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DBEAFE" w:val="clear"/>
            <w:tcMar>
              <w:top w:type="dxa" w:w="120"/>
              <w:left w:type="dxa" w:w="140"/>
              <w:bottom w:type="dxa" w:w="120"/>
              <w:right w:type="dxa" w:w="140"/>
            </w:tcMar>
          </w:tcPr>
          <w:p>
            <w:pPr>
              <w:spacing w:after="40"/>
              <w:jc w:val="center"/>
            </w:pPr>
            <w:r>
              <w:rPr>
                <w:rFonts w:ascii="Arial" w:cs="Arial" w:eastAsia="Arial" w:hAnsi="Arial"/>
                <w:b/>
                <w:bCs/>
                <w:color w:val="2563EB"/>
                <w:sz w:val="36"/>
                <w:szCs w:val="36"/>
              </w:rPr>
              <w:t xml:space="preserve">5,000</w:t>
            </w:r>
          </w:p>
          <w:p>
            <w:pPr>
              <w:spacing w:after="20"/>
              <w:jc w:val="center"/>
            </w:pPr>
            <w:r>
              <w:rPr>
                <w:rFonts w:ascii="Arial" w:cs="Arial" w:eastAsia="Arial" w:hAnsi="Arial"/>
                <w:b/>
                <w:bCs/>
                <w:color w:val="111827"/>
                <w:sz w:val="19"/>
                <w:szCs w:val="19"/>
              </w:rPr>
              <w:t xml:space="preserve">Total Transactions</w:t>
            </w:r>
          </w:p>
          <w:p>
            <w:pPr>
              <w:jc w:val="center"/>
            </w:pPr>
            <w:r>
              <w:rPr>
                <w:rFonts w:ascii="Arial" w:cs="Arial" w:eastAsia="Arial" w:hAnsi="Arial"/>
                <w:color w:val="6B7280"/>
                <w:sz w:val="17"/>
                <w:szCs w:val="17"/>
              </w:rPr>
              <w:t xml:space="preserve">Orders 2014–2017</w:t>
            </w:r>
          </w:p>
        </w:tc>
        <w:tc>
          <w:tcPr>
            <w:tcW w:type="dxa" w:w="2340"/>
            <w:tcBorders>
              <w:top w:val="single" w:color="16A34A" w:sz="1"/>
              <w:left w:val="single" w:color="16A34A" w:sz="1"/>
              <w:bottom w:val="single" w:color="16A34A" w:sz="1"/>
              <w:right w:val="single" w:color="16A34A" w:sz="1"/>
            </w:tcBorders>
            <w:shd w:fill="DCFCE7" w:val="clear"/>
            <w:tcMar>
              <w:top w:type="dxa" w:w="120"/>
              <w:left w:type="dxa" w:w="140"/>
              <w:bottom w:type="dxa" w:w="120"/>
              <w:right w:type="dxa" w:w="140"/>
            </w:tcMar>
          </w:tcPr>
          <w:p>
            <w:pPr>
              <w:spacing w:after="40"/>
              <w:jc w:val="center"/>
            </w:pPr>
            <w:r>
              <w:rPr>
                <w:rFonts w:ascii="Arial" w:cs="Arial" w:eastAsia="Arial" w:hAnsi="Arial"/>
                <w:b/>
                <w:bCs/>
                <w:color w:val="16A34A"/>
                <w:sz w:val="36"/>
                <w:szCs w:val="36"/>
              </w:rPr>
              <w:t xml:space="preserve">$120M+</w:t>
            </w:r>
          </w:p>
          <w:p>
            <w:pPr>
              <w:spacing w:after="20"/>
              <w:jc w:val="center"/>
            </w:pPr>
            <w:r>
              <w:rPr>
                <w:rFonts w:ascii="Arial" w:cs="Arial" w:eastAsia="Arial" w:hAnsi="Arial"/>
                <w:b/>
                <w:bCs/>
                <w:color w:val="111827"/>
                <w:sz w:val="19"/>
                <w:szCs w:val="19"/>
              </w:rPr>
              <w:t xml:space="preserve">Total Revenue</w:t>
            </w:r>
          </w:p>
          <w:p>
            <w:pPr>
              <w:jc w:val="center"/>
            </w:pPr>
            <w:r>
              <w:rPr>
                <w:rFonts w:ascii="Arial" w:cs="Arial" w:eastAsia="Arial" w:hAnsi="Arial"/>
                <w:color w:val="6B7280"/>
                <w:sz w:val="17"/>
                <w:szCs w:val="17"/>
              </w:rPr>
              <w:t xml:space="preserve">4-year aggregate</w:t>
            </w:r>
          </w:p>
        </w:tc>
        <w:tc>
          <w:tcPr>
            <w:tcW w:type="dxa" w:w="2340"/>
            <w:tcBorders>
              <w:top w:val="single" w:color="0D9488" w:sz="1"/>
              <w:left w:val="single" w:color="0D9488" w:sz="1"/>
              <w:bottom w:val="single" w:color="0D9488" w:sz="1"/>
              <w:right w:val="single" w:color="0D9488" w:sz="1"/>
            </w:tcBorders>
            <w:shd w:fill="CCFBF1" w:val="clear"/>
            <w:tcMar>
              <w:top w:type="dxa" w:w="120"/>
              <w:left w:type="dxa" w:w="140"/>
              <w:bottom w:type="dxa" w:w="120"/>
              <w:right w:type="dxa" w:w="140"/>
            </w:tcMar>
          </w:tcPr>
          <w:p>
            <w:pPr>
              <w:spacing w:after="40"/>
              <w:jc w:val="center"/>
            </w:pPr>
            <w:r>
              <w:rPr>
                <w:rFonts w:ascii="Arial" w:cs="Arial" w:eastAsia="Arial" w:hAnsi="Arial"/>
                <w:b/>
                <w:bCs/>
                <w:color w:val="0D9488"/>
                <w:sz w:val="36"/>
                <w:szCs w:val="36"/>
              </w:rPr>
              <w:t xml:space="preserve">8</w:t>
            </w:r>
          </w:p>
          <w:p>
            <w:pPr>
              <w:spacing w:after="20"/>
              <w:jc w:val="center"/>
            </w:pPr>
            <w:r>
              <w:rPr>
                <w:rFonts w:ascii="Arial" w:cs="Arial" w:eastAsia="Arial" w:hAnsi="Arial"/>
                <w:b/>
                <w:bCs/>
                <w:color w:val="111827"/>
                <w:sz w:val="19"/>
                <w:szCs w:val="19"/>
              </w:rPr>
              <w:t xml:space="preserve">Products Analysed</w:t>
            </w:r>
          </w:p>
          <w:p>
            <w:pPr>
              <w:jc w:val="center"/>
            </w:pPr>
            <w:r>
              <w:rPr>
                <w:rFonts w:ascii="Arial" w:cs="Arial" w:eastAsia="Arial" w:hAnsi="Arial"/>
                <w:color w:val="6B7280"/>
                <w:sz w:val="17"/>
                <w:szCs w:val="17"/>
              </w:rPr>
              <w:t xml:space="preserve">Across all regions</w:t>
            </w:r>
          </w:p>
        </w:tc>
        <w:tc>
          <w:tcPr>
            <w:tcW w:type="dxa" w:w="2340"/>
            <w:tcBorders>
              <w:top w:val="single" w:color="7C3AED" w:sz="1"/>
              <w:left w:val="single" w:color="7C3AED" w:sz="1"/>
              <w:bottom w:val="single" w:color="7C3AED" w:sz="1"/>
              <w:right w:val="single" w:color="7C3AED" w:sz="1"/>
            </w:tcBorders>
            <w:shd w:fill="EDE9FE" w:val="clear"/>
            <w:tcMar>
              <w:top w:type="dxa" w:w="120"/>
              <w:left w:type="dxa" w:w="140"/>
              <w:bottom w:type="dxa" w:w="120"/>
              <w:right w:type="dxa" w:w="140"/>
            </w:tcMar>
          </w:tcPr>
          <w:p>
            <w:pPr>
              <w:spacing w:after="40"/>
              <w:jc w:val="center"/>
            </w:pPr>
            <w:r>
              <w:rPr>
                <w:rFonts w:ascii="Arial" w:cs="Arial" w:eastAsia="Arial" w:hAnsi="Arial"/>
                <w:b/>
                <w:bCs/>
                <w:color w:val="7C3AED"/>
                <w:sz w:val="36"/>
                <w:szCs w:val="36"/>
              </w:rPr>
              <w:t xml:space="preserve">16</w:t>
            </w:r>
          </w:p>
          <w:p>
            <w:pPr>
              <w:spacing w:after="20"/>
              <w:jc w:val="center"/>
            </w:pPr>
            <w:r>
              <w:rPr>
                <w:rFonts w:ascii="Arial" w:cs="Arial" w:eastAsia="Arial" w:hAnsi="Arial"/>
                <w:b/>
                <w:bCs/>
                <w:color w:val="111827"/>
                <w:sz w:val="19"/>
                <w:szCs w:val="19"/>
              </w:rPr>
              <w:t xml:space="preserve">US States Covered</w:t>
            </w:r>
          </w:p>
          <w:p>
            <w:pPr>
              <w:jc w:val="center"/>
            </w:pPr>
            <w:r>
              <w:rPr>
                <w:rFonts w:ascii="Arial" w:cs="Arial" w:eastAsia="Arial" w:hAnsi="Arial"/>
                <w:color w:val="6B7280"/>
                <w:sz w:val="17"/>
                <w:szCs w:val="17"/>
              </w:rPr>
              <w:t xml:space="preserve">Across 4 regions</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2.2 Data Cleaning &amp; Feature Engineering</w:t>
      </w:r>
    </w:p>
    <w:p>
      <w:pPr>
        <w:spacing w:after="100"/>
      </w:pPr>
      <w:r>
        <w:rPr>
          <w:rFonts w:ascii="Arial" w:cs="Arial" w:eastAsia="Arial" w:hAnsi="Arial"/>
          <w:b w:val="false"/>
          <w:bCs w:val="false"/>
          <w:color w:val="111827"/>
          <w:sz w:val="22"/>
          <w:szCs w:val="22"/>
        </w:rPr>
        <w:t xml:space="preserve">All data passed through a structured cleaning and enrichment pipeline before analysis:</w:t>
      </w:r>
    </w:p>
    <w:p>
      <w:pPr>
        <w:pStyle w:val="ListParagraph"/>
        <w:numPr>
          <w:ilvl w:val="0"/>
          <w:numId w:val="2"/>
        </w:numPr>
        <w:spacing w:after="80"/>
      </w:pPr>
      <w:r>
        <w:rPr>
          <w:rFonts w:ascii="Arial" w:cs="Arial" w:eastAsia="Arial" w:hAnsi="Arial"/>
          <w:sz w:val="22"/>
          <w:szCs w:val="22"/>
        </w:rPr>
        <w:t xml:space="preserve">Duplicate removal and null-value handling (budget field null for non-2017 orders)</w:t>
      </w:r>
    </w:p>
    <w:p>
      <w:pPr>
        <w:pStyle w:val="ListParagraph"/>
        <w:numPr>
          <w:ilvl w:val="0"/>
          <w:numId w:val="2"/>
        </w:numPr>
        <w:spacing w:after="80"/>
      </w:pPr>
      <w:r>
        <w:rPr>
          <w:rFonts w:ascii="Arial" w:cs="Arial" w:eastAsia="Arial" w:hAnsi="Arial"/>
          <w:sz w:val="22"/>
          <w:szCs w:val="22"/>
        </w:rPr>
        <w:t xml:space="preserve">Time features extracted: year, month, quarter, week-of-year, day-of-week</w:t>
      </w:r>
    </w:p>
    <w:p>
      <w:pPr>
        <w:pStyle w:val="ListParagraph"/>
        <w:numPr>
          <w:ilvl w:val="0"/>
          <w:numId w:val="2"/>
        </w:numPr>
        <w:spacing w:after="80"/>
      </w:pPr>
      <w:r>
        <w:rPr>
          <w:rFonts w:ascii="Arial" w:cs="Arial" w:eastAsia="Arial" w:hAnsi="Arial"/>
          <w:sz w:val="22"/>
          <w:szCs w:val="22"/>
        </w:rPr>
        <w:t xml:space="preserve">Financial features derived: total cost, profit, profit margin %, revenue per unit, budget gap</w:t>
      </w:r>
    </w:p>
    <w:p>
      <w:pPr>
        <w:pStyle w:val="ListParagraph"/>
        <w:numPr>
          <w:ilvl w:val="0"/>
          <w:numId w:val="2"/>
        </w:numPr>
        <w:spacing w:after="80"/>
      </w:pPr>
      <w:r>
        <w:rPr>
          <w:rFonts w:ascii="Arial" w:cs="Arial" w:eastAsia="Arial" w:hAnsi="Arial"/>
          <w:sz w:val="22"/>
          <w:szCs w:val="22"/>
        </w:rPr>
        <w:t xml:space="preserve">Monthly rollup with 3-month rolling average for trend smoothing</w:t>
      </w:r>
    </w:p>
    <w:p>
      <w:pPr>
        <w:pStyle w:val="ListParagraph"/>
        <w:numPr>
          <w:ilvl w:val="0"/>
          <w:numId w:val="2"/>
        </w:numPr>
        <w:spacing w:after="80"/>
      </w:pPr>
      <w:r>
        <w:rPr>
          <w:rFonts w:ascii="Arial" w:cs="Arial" w:eastAsia="Arial" w:hAnsi="Arial"/>
          <w:sz w:val="22"/>
          <w:szCs w:val="22"/>
        </w:rPr>
        <w:t xml:space="preserve">State-level latitude/longitude attached for geographic analysis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none" w:color="0D9488" w:sz="12"/>
              <w:bottom w:val="none"/>
              <w:right w:val="none"/>
            </w:tcBorders>
            <w:shd w:fill="CCFBF1" w:val="clear"/>
            <w:tcMar>
              <w:top w:type="dxa" w:w="100"/>
              <w:left w:type="dxa" w:w="160"/>
              <w:bottom w:type="dxa" w:w="60"/>
              <w:right w:type="dxa" w:w="160"/>
            </w:tcMar>
          </w:tcPr>
          <w:p>
            <w:r>
              <w:rPr>
                <w:rFonts w:ascii="Arial" w:cs="Arial" w:eastAsia="Arial" w:hAnsi="Arial"/>
                <w:b/>
                <w:bCs/>
                <w:color w:val="0D9488"/>
                <w:sz w:val="22"/>
                <w:szCs w:val="22"/>
              </w:rPr>
              <w:t xml:space="preserve">Data Quality Notes</w:t>
            </w:r>
          </w:p>
          <w:p>
            <w:pPr>
              <w:spacing w:after="60"/>
            </w:pPr>
            <w:r>
              <w:rPr>
                <w:rFonts w:ascii="Arial" w:cs="Arial" w:eastAsia="Arial" w:hAnsi="Arial"/>
                <w:color w:val="111827"/>
                <w:sz w:val="21"/>
                <w:szCs w:val="21"/>
              </w:rPr>
              <w:t xml:space="preserve">Missing values: Budget column intentionally null for 2014–2016 (2017 planning only).</w:t>
            </w:r>
          </w:p>
          <w:p>
            <w:pPr>
              <w:spacing w:after="60"/>
            </w:pPr>
            <w:r>
              <w:rPr>
                <w:rFonts w:ascii="Arial" w:cs="Arial" w:eastAsia="Arial" w:hAnsi="Arial"/>
                <w:color w:val="111827"/>
                <w:sz w:val="21"/>
                <w:szCs w:val="21"/>
              </w:rPr>
              <w:t xml:space="preserve">Duplicates: Zero duplicates confirmed after de-duplication step.</w:t>
            </w:r>
          </w:p>
          <w:p>
            <w:pPr>
              <w:spacing w:after="60"/>
            </w:pPr>
            <w:r>
              <w:rPr>
                <w:rFonts w:ascii="Arial" w:cs="Arial" w:eastAsia="Arial" w:hAnsi="Arial"/>
                <w:color w:val="111827"/>
                <w:sz w:val="21"/>
                <w:szCs w:val="21"/>
              </w:rPr>
              <w:t xml:space="preserve">Outliers: High-value orders (&gt; $400K) confirmed as legitimate bulk purchases, retained.</w:t>
            </w:r>
          </w:p>
          <w:p>
            <w:pPr>
              <w:spacing w:after="60"/>
            </w:pPr>
            <w:r>
              <w:rPr>
                <w:rFonts w:ascii="Arial" w:cs="Arial" w:eastAsia="Arial" w:hAnsi="Arial"/>
                <w:color w:val="111827"/>
                <w:sz w:val="21"/>
                <w:szCs w:val="21"/>
              </w:rPr>
              <w:t xml:space="preserve">Encoding: All categorical fields (channel, region, product) standardised to lowercase snake_case.</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3. Exploratory Data Analysis — Key Findings</w:t>
      </w:r>
    </w:p>
    <w:p>
      <w:pPr>
        <w:pStyle w:val="Heading2"/>
        <w:spacing w:after="80" w:before="280"/>
      </w:pPr>
      <w:r>
        <w:rPr>
          <w:rFonts w:ascii="Arial" w:cs="Arial" w:eastAsia="Arial" w:hAnsi="Arial"/>
          <w:b/>
          <w:bCs/>
          <w:color w:val="2563EB"/>
          <w:sz w:val="28"/>
          <w:szCs w:val="28"/>
        </w:rPr>
        <w:t xml:space="preserve">3.1 Revenue Trends</w:t>
      </w:r>
    </w:p>
    <w:p>
      <w:pPr>
        <w:spacing w:after="100"/>
      </w:pPr>
      <w:r>
        <w:rPr>
          <w:rFonts w:ascii="Arial" w:cs="Arial" w:eastAsia="Arial" w:hAnsi="Arial"/>
          <w:b w:val="false"/>
          <w:bCs w:val="false"/>
          <w:color w:val="111827"/>
          <w:sz w:val="22"/>
          <w:szCs w:val="22"/>
        </w:rPr>
        <w:t xml:space="preserve">Monthly revenue oscillates between $24M and $26M with a consistent seasonal cycle. Clear peaks appear in May–August (late spring to early summer) with troughs each January. A notable revenue dip in early 2017 warrants further investigation.</w:t>
      </w:r>
    </w:p>
    <w:p>
      <w:pPr>
        <w:spacing w:after="100"/>
      </w:pPr>
      <w:r>
        <w:rPr>
          <w:rFonts w:ascii="Arial" w:cs="Arial" w:eastAsia="Arial" w:hAnsi="Arial"/>
          <w:b w:val="false"/>
          <w:bCs w:val="false"/>
          <w:color w:val="111827"/>
          <w:sz w:val="22"/>
          <w:szCs w:val="22"/>
        </w:rPr>
        <w:t xml:space="preserve">The 3-month rolling average confirms the cyclical pattern and smooths month-to-month noise, making it suitable as a baseline for forecasting.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6A34A" w:sz="1"/>
              <w:left w:val="single" w:color="16A34A" w:sz="1"/>
              <w:bottom w:val="single" w:color="16A34A" w:sz="1"/>
              <w:right w:val="single" w:color="16A34A" w:sz="1"/>
            </w:tcBorders>
            <w:shd w:fill="DCFCE7" w:val="clear"/>
            <w:tcMar>
              <w:top w:type="dxa" w:w="120"/>
              <w:left w:type="dxa" w:w="140"/>
              <w:bottom w:type="dxa" w:w="120"/>
              <w:right w:type="dxa" w:w="140"/>
            </w:tcMar>
          </w:tcPr>
          <w:p>
            <w:pPr>
              <w:spacing w:after="40"/>
              <w:jc w:val="center"/>
            </w:pPr>
            <w:r>
              <w:rPr>
                <w:rFonts w:ascii="Arial" w:cs="Arial" w:eastAsia="Arial" w:hAnsi="Arial"/>
                <w:b/>
                <w:bCs/>
                <w:color w:val="16A34A"/>
                <w:sz w:val="36"/>
                <w:szCs w:val="36"/>
              </w:rPr>
              <w:t xml:space="preserve">$26.3M</w:t>
            </w:r>
          </w:p>
          <w:p>
            <w:pPr>
              <w:spacing w:after="20"/>
              <w:jc w:val="center"/>
            </w:pPr>
            <w:r>
              <w:rPr>
                <w:rFonts w:ascii="Arial" w:cs="Arial" w:eastAsia="Arial" w:hAnsi="Arial"/>
                <w:b/>
                <w:bCs/>
                <w:color w:val="111827"/>
                <w:sz w:val="19"/>
                <w:szCs w:val="19"/>
              </w:rPr>
              <w:t xml:space="preserve">Peak Month Revenue</w:t>
            </w:r>
          </w:p>
          <w:p>
            <w:pPr>
              <w:jc w:val="center"/>
            </w:pPr>
            <w:r>
              <w:rPr>
                <w:rFonts w:ascii="Arial" w:cs="Arial" w:eastAsia="Arial" w:hAnsi="Arial"/>
                <w:color w:val="6B7280"/>
                <w:sz w:val="17"/>
                <w:szCs w:val="17"/>
              </w:rPr>
              <w:t xml:space="preserve">Summer 2016</w:t>
            </w:r>
          </w:p>
        </w:tc>
        <w:tc>
          <w:tcPr>
            <w:tcW w:type="dxa" w:w="2340"/>
            <w:tcBorders>
              <w:top w:val="single" w:color="EA580C" w:sz="1"/>
              <w:left w:val="single" w:color="EA580C" w:sz="1"/>
              <w:bottom w:val="single" w:color="EA580C" w:sz="1"/>
              <w:right w:val="single" w:color="EA580C" w:sz="1"/>
            </w:tcBorders>
            <w:shd w:fill="FFEDD5" w:val="clear"/>
            <w:tcMar>
              <w:top w:type="dxa" w:w="120"/>
              <w:left w:type="dxa" w:w="140"/>
              <w:bottom w:type="dxa" w:w="120"/>
              <w:right w:type="dxa" w:w="140"/>
            </w:tcMar>
          </w:tcPr>
          <w:p>
            <w:pPr>
              <w:spacing w:after="40"/>
              <w:jc w:val="center"/>
            </w:pPr>
            <w:r>
              <w:rPr>
                <w:rFonts w:ascii="Arial" w:cs="Arial" w:eastAsia="Arial" w:hAnsi="Arial"/>
                <w:b/>
                <w:bCs/>
                <w:color w:val="EA580C"/>
                <w:sz w:val="36"/>
                <w:szCs w:val="36"/>
              </w:rPr>
              <w:t xml:space="preserve">$24.1M</w:t>
            </w:r>
          </w:p>
          <w:p>
            <w:pPr>
              <w:spacing w:after="20"/>
              <w:jc w:val="center"/>
            </w:pPr>
            <w:r>
              <w:rPr>
                <w:rFonts w:ascii="Arial" w:cs="Arial" w:eastAsia="Arial" w:hAnsi="Arial"/>
                <w:b/>
                <w:bCs/>
                <w:color w:val="111827"/>
                <w:sz w:val="19"/>
                <w:szCs w:val="19"/>
              </w:rPr>
              <w:t xml:space="preserve">Trough Month Revenue</w:t>
            </w:r>
          </w:p>
          <w:p>
            <w:pPr>
              <w:jc w:val="center"/>
            </w:pPr>
            <w:r>
              <w:rPr>
                <w:rFonts w:ascii="Arial" w:cs="Arial" w:eastAsia="Arial" w:hAnsi="Arial"/>
                <w:color w:val="6B7280"/>
                <w:sz w:val="17"/>
                <w:szCs w:val="17"/>
              </w:rPr>
              <w:t xml:space="preserve">Jan 2017</w:t>
            </w:r>
          </w:p>
        </w:tc>
        <w:tc>
          <w:tcPr>
            <w:tcW w:type="dxa" w:w="2340"/>
            <w:tcBorders>
              <w:top w:val="single" w:color="2563EB" w:sz="1"/>
              <w:left w:val="single" w:color="2563EB" w:sz="1"/>
              <w:bottom w:val="single" w:color="2563EB" w:sz="1"/>
              <w:right w:val="single" w:color="2563EB" w:sz="1"/>
            </w:tcBorders>
            <w:shd w:fill="DBEAFE" w:val="clear"/>
            <w:tcMar>
              <w:top w:type="dxa" w:w="120"/>
              <w:left w:type="dxa" w:w="140"/>
              <w:bottom w:type="dxa" w:w="120"/>
              <w:right w:type="dxa" w:w="140"/>
            </w:tcMar>
          </w:tcPr>
          <w:p>
            <w:pPr>
              <w:spacing w:after="40"/>
              <w:jc w:val="center"/>
            </w:pPr>
            <w:r>
              <w:rPr>
                <w:rFonts w:ascii="Arial" w:cs="Arial" w:eastAsia="Arial" w:hAnsi="Arial"/>
                <w:b/>
                <w:bCs/>
                <w:color w:val="2563EB"/>
                <w:sz w:val="36"/>
                <w:szCs w:val="36"/>
              </w:rPr>
              <w:t xml:space="preserve">$25.0M</w:t>
            </w:r>
          </w:p>
          <w:p>
            <w:pPr>
              <w:spacing w:after="20"/>
              <w:jc w:val="center"/>
            </w:pPr>
            <w:r>
              <w:rPr>
                <w:rFonts w:ascii="Arial" w:cs="Arial" w:eastAsia="Arial" w:hAnsi="Arial"/>
                <w:b/>
                <w:bCs/>
                <w:color w:val="111827"/>
                <w:sz w:val="19"/>
                <w:szCs w:val="19"/>
              </w:rPr>
              <w:t xml:space="preserve">Avg Monthly Revenue</w:t>
            </w:r>
          </w:p>
          <w:p>
            <w:pPr>
              <w:jc w:val="center"/>
            </w:pPr>
            <w:r>
              <w:rPr>
                <w:rFonts w:ascii="Arial" w:cs="Arial" w:eastAsia="Arial" w:hAnsi="Arial"/>
                <w:color w:val="6B7280"/>
                <w:sz w:val="17"/>
                <w:szCs w:val="17"/>
              </w:rPr>
              <w:t xml:space="preserve">4-year average</w:t>
            </w:r>
          </w:p>
        </w:tc>
        <w:tc>
          <w:tcPr>
            <w:tcW w:type="dxa" w:w="2340"/>
            <w:tcBorders>
              <w:top w:val="single" w:color="0D9488" w:sz="1"/>
              <w:left w:val="single" w:color="0D9488" w:sz="1"/>
              <w:bottom w:val="single" w:color="0D9488" w:sz="1"/>
              <w:right w:val="single" w:color="0D9488" w:sz="1"/>
            </w:tcBorders>
            <w:shd w:fill="CCFBF1" w:val="clear"/>
            <w:tcMar>
              <w:top w:type="dxa" w:w="120"/>
              <w:left w:type="dxa" w:w="140"/>
              <w:bottom w:type="dxa" w:w="120"/>
              <w:right w:type="dxa" w:w="140"/>
            </w:tcMar>
          </w:tcPr>
          <w:p>
            <w:pPr>
              <w:spacing w:after="40"/>
              <w:jc w:val="center"/>
            </w:pPr>
            <w:r>
              <w:rPr>
                <w:rFonts w:ascii="Arial" w:cs="Arial" w:eastAsia="Arial" w:hAnsi="Arial"/>
                <w:b/>
                <w:bCs/>
                <w:color w:val="0D9488"/>
                <w:sz w:val="36"/>
                <w:szCs w:val="36"/>
              </w:rPr>
              <w:t xml:space="preserve">+3.2%</w:t>
            </w:r>
          </w:p>
          <w:p>
            <w:pPr>
              <w:spacing w:after="20"/>
              <w:jc w:val="center"/>
            </w:pPr>
            <w:r>
              <w:rPr>
                <w:rFonts w:ascii="Arial" w:cs="Arial" w:eastAsia="Arial" w:hAnsi="Arial"/>
                <w:b/>
                <w:bCs/>
                <w:color w:val="111827"/>
                <w:sz w:val="19"/>
                <w:szCs w:val="19"/>
              </w:rPr>
              <w:t xml:space="preserve">YoY Growth</w:t>
            </w:r>
          </w:p>
          <w:p>
            <w:pPr>
              <w:jc w:val="center"/>
            </w:pPr>
            <w:r>
              <w:rPr>
                <w:rFonts w:ascii="Arial" w:cs="Arial" w:eastAsia="Arial" w:hAnsi="Arial"/>
                <w:color w:val="6B7280"/>
                <w:sz w:val="17"/>
                <w:szCs w:val="17"/>
              </w:rPr>
              <w:t xml:space="preserve">CAGR 2014–2017</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3.2 Regional Performance</w:t>
      </w:r>
    </w:p>
    <w:p>
      <w:pPr>
        <w:spacing w:after="100"/>
      </w:pPr>
      <w:r>
        <w:rPr>
          <w:rFonts w:ascii="Arial" w:cs="Arial" w:eastAsia="Arial" w:hAnsi="Arial"/>
          <w:b w:val="false"/>
          <w:bCs w:val="false"/>
          <w:color w:val="111827"/>
          <w:sz w:val="22"/>
          <w:szCs w:val="22"/>
        </w:rPr>
        <w:t xml:space="preserve">The West region is the clear revenue leader, driven primarily by California. The South follows with Texas as its anchor market. Both the Midwest and Northeast show opportunity for increased investment.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1600"/>
        <w:gridCol w:w="2400"/>
      </w:tblGrid>
      <w:tr>
        <w:trPr>
          <w:tblHeader/>
        </w:trPr>
        <w:tc>
          <w:tcPr>
            <w:tcW w:type="dxa" w:w="15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Region</w:t>
            </w:r>
          </w:p>
        </w:tc>
        <w:tc>
          <w:tcPr>
            <w:tcW w:type="dxa" w:w="20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Revenue</w:t>
            </w:r>
          </w:p>
        </w:tc>
        <w:tc>
          <w:tcPr>
            <w:tcW w:type="dxa" w:w="1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Orders</w:t>
            </w:r>
          </w:p>
        </w:tc>
        <w:tc>
          <w:tcPr>
            <w:tcW w:type="dxa" w:w="16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Margin %</w:t>
            </w:r>
          </w:p>
        </w:tc>
        <w:tc>
          <w:tcPr>
            <w:tcW w:type="dxa" w:w="24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Top State</w:t>
            </w:r>
          </w:p>
        </w:tc>
      </w:tr>
      <w:tr>
        <w:tc>
          <w:tcPr>
            <w:tcW w:type="dxa" w:w="156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pPr>
              <w:jc w:val="left"/>
            </w:pPr>
            <w:r>
              <w:rPr>
                <w:rFonts w:ascii="Arial" w:cs="Arial" w:eastAsia="Arial" w:hAnsi="Arial"/>
                <w:b/>
                <w:bCs/>
                <w:color w:val="2563EB"/>
                <w:sz w:val="20"/>
                <w:szCs w:val="20"/>
              </w:rPr>
              <w:t xml:space="preserve">West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$42.3M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1,747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38.2%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California</w:t>
            </w:r>
          </w:p>
        </w:tc>
      </w:tr>
      <w:tr>
        <w:tc>
          <w:tcPr>
            <w:tcW w:type="dxa" w:w="1560"/>
            <w:tcBorders>
              <w:top w:val="single" w:color="DDDDDD" w:sz="1"/>
              <w:left w:val="single" w:color="DDDDDD" w:sz="1"/>
              <w:bottom w:val="single" w:color="DDDDDD" w:sz="1"/>
              <w:right w:val="single" w:color="DDDDDD" w:sz="1"/>
            </w:tcBorders>
            <w:shd w:fill="CCFBF1" w:val="clear"/>
            <w:tcMar>
              <w:top w:type="dxa" w:w="80"/>
              <w:left w:type="dxa" w:w="140"/>
              <w:bottom w:type="dxa" w:w="80"/>
              <w:right w:type="dxa" w:w="140"/>
            </w:tcMar>
          </w:tcPr>
          <w:p>
            <w:pPr>
              <w:jc w:val="left"/>
            </w:pPr>
            <w:r>
              <w:rPr>
                <w:rFonts w:ascii="Arial" w:cs="Arial" w:eastAsia="Arial" w:hAnsi="Arial"/>
                <w:b/>
                <w:bCs/>
                <w:color w:val="0D9488"/>
                <w:sz w:val="20"/>
                <w:szCs w:val="20"/>
              </w:rPr>
              <w:t xml:space="preserve">South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$33.8M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1,399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36.9%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Texas</w:t>
            </w:r>
          </w:p>
        </w:tc>
      </w:tr>
      <w:tr>
        <w:tc>
          <w:tcPr>
            <w:tcW w:type="dxa" w:w="156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tcPr>
          <w:p>
            <w:pPr>
              <w:jc w:val="left"/>
            </w:pPr>
            <w:r>
              <w:rPr>
                <w:rFonts w:ascii="Arial" w:cs="Arial" w:eastAsia="Arial" w:hAnsi="Arial"/>
                <w:b/>
                <w:bCs/>
                <w:color w:val="EA580C"/>
                <w:sz w:val="20"/>
                <w:szCs w:val="20"/>
              </w:rPr>
              <w:t xml:space="preserve">Midwest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$26.1M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1,099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37.4%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Illinois</w:t>
            </w:r>
          </w:p>
        </w:tc>
      </w:tr>
      <w:tr>
        <w:tc>
          <w:tcPr>
            <w:tcW w:type="dxa" w:w="1560"/>
            <w:tcBorders>
              <w:top w:val="single" w:color="DDDDDD" w:sz="1"/>
              <w:left w:val="single" w:color="DDDDDD" w:sz="1"/>
              <w:bottom w:val="single" w:color="DDDDDD" w:sz="1"/>
              <w:right w:val="single" w:color="DDDDDD" w:sz="1"/>
            </w:tcBorders>
            <w:shd w:fill="EDE9FE" w:val="clear"/>
            <w:tcMar>
              <w:top w:type="dxa" w:w="80"/>
              <w:left w:type="dxa" w:w="140"/>
              <w:bottom w:type="dxa" w:w="80"/>
              <w:right w:type="dxa" w:w="140"/>
            </w:tcMar>
          </w:tcPr>
          <w:p>
            <w:pPr>
              <w:jc w:val="left"/>
            </w:pPr>
            <w:r>
              <w:rPr>
                <w:rFonts w:ascii="Arial" w:cs="Arial" w:eastAsia="Arial" w:hAnsi="Arial"/>
                <w:b/>
                <w:bCs/>
                <w:color w:val="7C3AED"/>
                <w:sz w:val="20"/>
                <w:szCs w:val="20"/>
              </w:rPr>
              <w:t xml:space="preserve">Northeast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$17.9M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755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37.1%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New York</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3.3 Product Performance</w:t>
      </w:r>
    </w:p>
    <w:p>
      <w:pPr>
        <w:spacing w:after="100"/>
      </w:pPr>
      <w:r>
        <w:rPr>
          <w:rFonts w:ascii="Arial" w:cs="Arial" w:eastAsia="Arial" w:hAnsi="Arial"/>
          <w:b w:val="false"/>
          <w:bCs w:val="false"/>
          <w:color w:val="111827"/>
          <w:sz w:val="22"/>
          <w:szCs w:val="22"/>
        </w:rPr>
        <w:t xml:space="preserve">Products 26 and 25 generate the highest absolute revenue, but Product 18 leads on average profit margin at $8.3K per transaction — making it the most efficient revenue driver. Strategic bundling of top-revenue with high-margin products is a key recommendation.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9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Product</w:t>
            </w:r>
          </w:p>
        </w:tc>
        <w:tc>
          <w:tcPr>
            <w:tcW w:type="dxa" w:w="1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Revenue</w:t>
            </w:r>
          </w:p>
        </w:tc>
        <w:tc>
          <w:tcPr>
            <w:tcW w:type="dxa" w:w="16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Orders</w:t>
            </w:r>
          </w:p>
        </w:tc>
        <w:tc>
          <w:tcPr>
            <w:tcW w:type="dxa" w:w="180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Avg Margin</w:t>
            </w:r>
          </w:p>
        </w:tc>
        <w:tc>
          <w:tcPr>
            <w:tcW w:type="dxa" w:w="1960"/>
            <w:tcBorders>
              <w:top w:val="single" w:color="1A3C6E" w:sz="1"/>
              <w:left w:val="single" w:color="1A3C6E" w:sz="1"/>
              <w:bottom w:val="single" w:color="1A3C6E" w:sz="1"/>
              <w:right w:val="single" w:color="1A3C6E" w:sz="1"/>
            </w:tcBorders>
            <w:shd w:fill="1A3C6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Trend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26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$118M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648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$7.9K</w:t>
            </w:r>
          </w:p>
        </w:tc>
        <w:tc>
          <w:tcPr>
            <w:tcW w:type="dxa" w:w="196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pPr>
              <w:jc w:val="center"/>
            </w:pPr>
            <w:r>
              <w:rPr>
                <w:rFonts w:ascii="Arial" w:cs="Arial" w:eastAsia="Arial" w:hAnsi="Arial"/>
                <w:b/>
                <w:bCs/>
                <w:color w:val="1A3C6E"/>
                <w:sz w:val="19"/>
                <w:szCs w:val="19"/>
              </w:rPr>
              <w:t xml:space="preserve">TOP SELLER</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25</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$110M</w:t>
            </w:r>
          </w:p>
        </w:tc>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611</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$7.7K</w:t>
            </w:r>
          </w:p>
        </w:tc>
        <w:tc>
          <w:tcPr>
            <w:tcW w:type="dxa" w:w="196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pPr>
              <w:jc w:val="center"/>
            </w:pPr>
            <w:r>
              <w:rPr>
                <w:rFonts w:ascii="Arial" w:cs="Arial" w:eastAsia="Arial" w:hAnsi="Arial"/>
                <w:b/>
                <w:bCs/>
                <w:color w:val="2563EB"/>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13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$78M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511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$7.6K</w:t>
            </w:r>
          </w:p>
        </w:tc>
        <w:tc>
          <w:tcPr>
            <w:tcW w:type="dxa" w:w="1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bCs/>
                <w:color w:val="6B7280"/>
                <w:sz w:val="19"/>
                <w:szCs w:val="19"/>
              </w:rPr>
              <w:t xml:space="preserve">STABLE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18</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$75M</w:t>
            </w:r>
          </w:p>
        </w:tc>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498</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$8.3K</w:t>
            </w:r>
          </w:p>
        </w:tc>
        <w:tc>
          <w:tcPr>
            <w:tcW w:type="dxa" w:w="1960"/>
            <w:tcBorders>
              <w:top w:val="single" w:color="DDDDDD" w:sz="1"/>
              <w:left w:val="single" w:color="DDDDDD" w:sz="1"/>
              <w:bottom w:val="single" w:color="DDDDDD" w:sz="1"/>
              <w:right w:val="single" w:color="DDDDDD" w:sz="1"/>
            </w:tcBorders>
            <w:shd w:fill="DCFCE7" w:val="clear"/>
            <w:tcMar>
              <w:top w:type="dxa" w:w="80"/>
              <w:left w:type="dxa" w:w="140"/>
              <w:bottom w:type="dxa" w:w="80"/>
              <w:right w:type="dxa" w:w="140"/>
            </w:tcMar>
          </w:tcPr>
          <w:p>
            <w:pPr>
              <w:jc w:val="center"/>
            </w:pPr>
            <w:r>
              <w:rPr>
                <w:rFonts w:ascii="Arial" w:cs="Arial" w:eastAsia="Arial" w:hAnsi="Arial"/>
                <w:b/>
                <w:bCs/>
                <w:color w:val="16A34A"/>
                <w:sz w:val="19"/>
                <w:szCs w:val="19"/>
              </w:rPr>
              <w:t xml:space="preserve">HIGH MARGIN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30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$72M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487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$7.8K</w:t>
            </w:r>
          </w:p>
        </w:tc>
        <w:tc>
          <w:tcPr>
            <w:tcW w:type="dxa" w:w="1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bCs/>
                <w:color w:val="6B7280"/>
                <w:sz w:val="19"/>
                <w:szCs w:val="19"/>
              </w:rPr>
              <w:t xml:space="preserve">STABLE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22</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$68M</w:t>
            </w:r>
          </w:p>
        </w:tc>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463</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$7.5K</w:t>
            </w:r>
          </w:p>
        </w:tc>
        <w:tc>
          <w:tcPr>
            <w:tcW w:type="dxa" w:w="1960"/>
            <w:tcBorders>
              <w:top w:val="single" w:color="DDDDDD" w:sz="1"/>
              <w:left w:val="single" w:color="DDDDDD" w:sz="1"/>
              <w:bottom w:val="single" w:color="DDDDDD" w:sz="1"/>
              <w:right w:val="single" w:color="DDDDDD" w:sz="1"/>
            </w:tcBorders>
            <w:shd w:fill="CCFBF1" w:val="clear"/>
            <w:tcMar>
              <w:top w:type="dxa" w:w="80"/>
              <w:left w:type="dxa" w:w="140"/>
              <w:bottom w:type="dxa" w:w="80"/>
              <w:right w:type="dxa" w:w="140"/>
            </w:tcMar>
          </w:tcPr>
          <w:p>
            <w:pPr>
              <w:jc w:val="center"/>
            </w:pPr>
            <w:r>
              <w:rPr>
                <w:rFonts w:ascii="Arial" w:cs="Arial" w:eastAsia="Arial" w:hAnsi="Arial"/>
                <w:b/>
                <w:bCs/>
                <w:color w:val="0D9488"/>
                <w:sz w:val="19"/>
                <w:szCs w:val="19"/>
              </w:rPr>
              <w:t xml:space="preserve">GROWING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14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$55M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412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$7.4K</w:t>
            </w:r>
          </w:p>
        </w:tc>
        <w:tc>
          <w:tcPr>
            <w:tcW w:type="dxa" w:w="196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tcPr>
          <w:p>
            <w:pPr>
              <w:jc w:val="center"/>
            </w:pPr>
            <w:r>
              <w:rPr>
                <w:rFonts w:ascii="Arial" w:cs="Arial" w:eastAsia="Arial" w:hAnsi="Arial"/>
                <w:b/>
                <w:bCs/>
                <w:color w:val="EA580C"/>
                <w:sz w:val="19"/>
                <w:szCs w:val="19"/>
              </w:rPr>
              <w:t xml:space="preserve">MODERATE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left"/>
            </w:pPr>
            <w:r>
              <w:rPr>
                <w:rFonts w:ascii="Arial" w:cs="Arial" w:eastAsia="Arial" w:hAnsi="Arial"/>
                <w:b/>
                <w:bCs/>
                <w:color w:val="2563EB"/>
                <w:sz w:val="19"/>
                <w:szCs w:val="19"/>
              </w:rPr>
              <w:t xml:space="preserve">Product 7</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$52M</w:t>
            </w:r>
          </w:p>
        </w:tc>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397</w:t>
            </w:r>
          </w:p>
        </w:tc>
        <w:tc>
          <w:tcPr>
            <w:tcW w:type="dxa" w:w="1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$7.6K</w:t>
            </w:r>
          </w:p>
        </w:tc>
        <w:tc>
          <w:tcPr>
            <w:tcW w:type="dxa" w:w="1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bCs/>
                <w:color w:val="6B7280"/>
                <w:sz w:val="19"/>
                <w:szCs w:val="19"/>
              </w:rPr>
              <w:t xml:space="preserve">STABLE</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3.4 Channel Analysis</w:t>
      </w:r>
    </w:p>
    <w:p>
      <w:pPr>
        <w:spacing w:after="100"/>
      </w:pPr>
      <w:r>
        <w:rPr>
          <w:rFonts w:ascii="Arial" w:cs="Arial" w:eastAsia="Arial" w:hAnsi="Arial"/>
          <w:b w:val="false"/>
          <w:bCs w:val="false"/>
          <w:color w:val="111827"/>
          <w:sz w:val="22"/>
          <w:szCs w:val="22"/>
        </w:rPr>
        <w:t xml:space="preserve">Wholesale dominates with 54% of total revenue, followed by Distributors at 31% and Export at 15%. The Export channel represents a meaningful diversification opportunity that is currently underdeveloped.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none" w:color="EA580C" w:sz="12"/>
              <w:bottom w:val="none"/>
              <w:right w:val="none"/>
            </w:tcBorders>
            <w:shd w:fill="FFEDD5" w:val="clear"/>
            <w:tcMar>
              <w:top w:type="dxa" w:w="100"/>
              <w:left w:type="dxa" w:w="160"/>
              <w:bottom w:type="dxa" w:w="60"/>
              <w:right w:type="dxa" w:w="160"/>
            </w:tcMar>
          </w:tcPr>
          <w:p>
            <w:r>
              <w:rPr>
                <w:rFonts w:ascii="Arial" w:cs="Arial" w:eastAsia="Arial" w:hAnsi="Arial"/>
                <w:b/>
                <w:bCs/>
                <w:color w:val="EA580C"/>
                <w:sz w:val="22"/>
                <w:szCs w:val="22"/>
              </w:rPr>
              <w:t xml:space="preserve">Channel Insight</w:t>
            </w:r>
          </w:p>
          <w:p>
            <w:pPr>
              <w:spacing w:after="60"/>
            </w:pPr>
            <w:r>
              <w:rPr>
                <w:rFonts w:ascii="Arial" w:cs="Arial" w:eastAsia="Arial" w:hAnsi="Arial"/>
                <w:color w:val="111827"/>
                <w:sz w:val="21"/>
                <w:szCs w:val="21"/>
              </w:rPr>
              <w:t xml:space="preserve">Wholesale (54%): Reliable bulk revenue; focus on margin improvement through pricing strategy.</w:t>
            </w:r>
          </w:p>
          <w:p>
            <w:pPr>
              <w:spacing w:after="60"/>
            </w:pPr>
            <w:r>
              <w:rPr>
                <w:rFonts w:ascii="Arial" w:cs="Arial" w:eastAsia="Arial" w:hAnsi="Arial"/>
                <w:color w:val="111827"/>
                <w:sz w:val="21"/>
                <w:szCs w:val="21"/>
              </w:rPr>
              <w:t xml:space="preserve">Distributor (31%): Moderate growth; explore co-marketing agreements with key distributor partners.</w:t>
            </w:r>
          </w:p>
          <w:p>
            <w:pPr>
              <w:spacing w:after="60"/>
            </w:pPr>
            <w:r>
              <w:rPr>
                <w:rFonts w:ascii="Arial" w:cs="Arial" w:eastAsia="Arial" w:hAnsi="Arial"/>
                <w:color w:val="111827"/>
                <w:sz w:val="21"/>
                <w:szCs w:val="21"/>
              </w:rPr>
              <w:t xml:space="preserve">Export (15%): Highest growth potential; target international expansion in Q3–Q4 planning cycles.</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4. Machine Learning Forecasting</w:t>
      </w:r>
    </w:p>
    <w:p>
      <w:pPr>
        <w:pStyle w:val="Heading2"/>
        <w:spacing w:after="80" w:before="280"/>
      </w:pPr>
      <w:r>
        <w:rPr>
          <w:rFonts w:ascii="Arial" w:cs="Arial" w:eastAsia="Arial" w:hAnsi="Arial"/>
          <w:b/>
          <w:bCs/>
          <w:color w:val="2563EB"/>
          <w:sz w:val="28"/>
          <w:szCs w:val="28"/>
        </w:rPr>
        <w:t xml:space="preserve">4.1 Modelling Approach</w:t>
      </w:r>
    </w:p>
    <w:p>
      <w:pPr>
        <w:spacing w:after="100"/>
      </w:pPr>
      <w:r>
        <w:rPr>
          <w:rFonts w:ascii="Arial" w:cs="Arial" w:eastAsia="Arial" w:hAnsi="Arial"/>
          <w:b w:val="false"/>
          <w:bCs w:val="false"/>
          <w:color w:val="111827"/>
          <w:sz w:val="22"/>
          <w:szCs w:val="22"/>
        </w:rPr>
        <w:t xml:space="preserve">Four regression models were trained and cross-validated on monthly revenue data with engineered features including time lags, rolling statistics, seasonal indicators, and regional dummies. The target variable was monthly revenue aggregated at the region level.</w:t>
      </w:r>
    </w:p>
    <w:p>
      <w:r>
        <w:rPr>
          <w:sz w:val="22"/>
          <w:szCs w:val="22"/>
        </w:rPr>
        <w:t xml:space="preserve"/>
      </w:r>
    </w:p>
    <w:p>
      <w:pPr>
        <w:pStyle w:val="Heading2"/>
        <w:spacing w:after="80" w:before="280"/>
      </w:pPr>
      <w:r>
        <w:rPr>
          <w:rFonts w:ascii="Arial" w:cs="Arial" w:eastAsia="Arial" w:hAnsi="Arial"/>
          <w:b/>
          <w:bCs/>
          <w:color w:val="2563EB"/>
          <w:sz w:val="28"/>
          <w:szCs w:val="28"/>
        </w:rPr>
        <w:t xml:space="preserve">4.2 Model Comparison</w:t>
      </w:r>
    </w:p>
    <w:p>
      <w:pPr>
        <w:spacing w:after="100"/>
      </w:pPr>
      <w:r>
        <w:rPr>
          <w:rFonts w:ascii="Arial" w:cs="Arial" w:eastAsia="Arial" w:hAnsi="Arial"/>
          <w:b w:val="false"/>
          <w:bCs w:val="false"/>
          <w:color w:val="111827"/>
          <w:sz w:val="22"/>
          <w:szCs w:val="22"/>
        </w:rPr>
        <w:t xml:space="preserve">Gradient Boosting Regressor outperformed all other models across all three metrics: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400"/>
        <w:gridCol w:w="1500"/>
        <w:gridCol w:w="2160"/>
      </w:tblGrid>
      <w:tr>
        <w:trPr>
          <w:tblHeader/>
        </w:trPr>
        <w:tc>
          <w:tcPr>
            <w:tcW w:type="dxa" w:w="2700"/>
            <w:tcBorders>
              <w:top w:val="single" w:color="0D9488" w:sz="1"/>
              <w:left w:val="single" w:color="0D9488" w:sz="1"/>
              <w:bottom w:val="single" w:color="0D9488" w:sz="1"/>
              <w:right w:val="single" w:color="0D9488" w:sz="1"/>
            </w:tcBorders>
            <w:shd w:fill="0D948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Model</w:t>
            </w:r>
          </w:p>
        </w:tc>
        <w:tc>
          <w:tcPr>
            <w:tcW w:type="dxa" w:w="1600"/>
            <w:tcBorders>
              <w:top w:val="single" w:color="0D9488" w:sz="1"/>
              <w:left w:val="single" w:color="0D9488" w:sz="1"/>
              <w:bottom w:val="single" w:color="0D9488" w:sz="1"/>
              <w:right w:val="single" w:color="0D9488" w:sz="1"/>
            </w:tcBorders>
            <w:shd w:fill="0D948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R² Score</w:t>
            </w:r>
          </w:p>
        </w:tc>
        <w:tc>
          <w:tcPr>
            <w:tcW w:type="dxa" w:w="1400"/>
            <w:tcBorders>
              <w:top w:val="single" w:color="0D9488" w:sz="1"/>
              <w:left w:val="single" w:color="0D9488" w:sz="1"/>
              <w:bottom w:val="single" w:color="0D9488" w:sz="1"/>
              <w:right w:val="single" w:color="0D9488" w:sz="1"/>
            </w:tcBorders>
            <w:shd w:fill="0D948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MAE</w:t>
            </w:r>
          </w:p>
        </w:tc>
        <w:tc>
          <w:tcPr>
            <w:tcW w:type="dxa" w:w="1500"/>
            <w:tcBorders>
              <w:top w:val="single" w:color="0D9488" w:sz="1"/>
              <w:left w:val="single" w:color="0D9488" w:sz="1"/>
              <w:bottom w:val="single" w:color="0D9488" w:sz="1"/>
              <w:right w:val="single" w:color="0D9488" w:sz="1"/>
            </w:tcBorders>
            <w:shd w:fill="0D948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RMSE</w:t>
            </w:r>
          </w:p>
        </w:tc>
        <w:tc>
          <w:tcPr>
            <w:tcW w:type="dxa" w:w="2160"/>
            <w:tcBorders>
              <w:top w:val="single" w:color="0D9488" w:sz="1"/>
              <w:left w:val="single" w:color="0D9488" w:sz="1"/>
              <w:bottom w:val="single" w:color="0D9488" w:sz="1"/>
              <w:right w:val="single" w:color="0D9488" w:sz="1"/>
            </w:tcBorders>
            <w:shd w:fill="0D9488"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Status</w:t>
            </w:r>
          </w:p>
        </w:tc>
      </w:tr>
      <w:tr>
        <w:tc>
          <w:tcPr>
            <w:tcW w:type="dxa" w:w="2700"/>
            <w:tcBorders>
              <w:top w:val="single" w:color="DDDDDD" w:sz="1"/>
              <w:left w:val="single" w:color="DDDDDD" w:sz="1"/>
              <w:bottom w:val="single" w:color="DDDDDD" w:sz="1"/>
              <w:right w:val="single" w:color="DDDDDD" w:sz="1"/>
            </w:tcBorders>
            <w:shd w:fill="CCFBF1" w:val="clear"/>
            <w:tcMar>
              <w:top w:type="dxa" w:w="80"/>
              <w:left w:type="dxa" w:w="140"/>
              <w:bottom w:type="dxa" w:w="80"/>
              <w:right w:type="dxa" w:w="140"/>
            </w:tcMar>
          </w:tcPr>
          <w:p>
            <w:pPr>
              <w:jc w:val="left"/>
            </w:pPr>
            <w:r>
              <w:rPr>
                <w:rFonts w:ascii="Arial" w:cs="Arial" w:eastAsia="Arial" w:hAnsi="Arial"/>
                <w:b/>
                <w:bCs/>
                <w:color w:val="0D9488"/>
                <w:sz w:val="19"/>
                <w:szCs w:val="19"/>
              </w:rPr>
              <w:t xml:space="preserve">Gradient Boosting</w:t>
            </w:r>
          </w:p>
        </w:tc>
        <w:tc>
          <w:tcPr>
            <w:tcW w:type="dxa" w:w="1600"/>
            <w:tcBorders>
              <w:top w:val="single" w:color="DDDDDD" w:sz="1"/>
              <w:left w:val="single" w:color="DDDDDD" w:sz="1"/>
              <w:bottom w:val="single" w:color="DDDDDD" w:sz="1"/>
              <w:right w:val="single" w:color="DDDDDD" w:sz="1"/>
            </w:tcBorders>
            <w:shd w:fill="CCFBF1"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0.987</w:t>
            </w:r>
          </w:p>
        </w:tc>
        <w:tc>
          <w:tcPr>
            <w:tcW w:type="dxa" w:w="1400"/>
            <w:tcBorders>
              <w:top w:val="single" w:color="DDDDDD" w:sz="1"/>
              <w:left w:val="single" w:color="DDDDDD" w:sz="1"/>
              <w:bottom w:val="single" w:color="DDDDDD" w:sz="1"/>
              <w:right w:val="single" w:color="DDDDDD" w:sz="1"/>
            </w:tcBorders>
            <w:shd w:fill="CCFBF1"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$1,230</w:t>
            </w:r>
          </w:p>
        </w:tc>
        <w:tc>
          <w:tcPr>
            <w:tcW w:type="dxa" w:w="1500"/>
            <w:tcBorders>
              <w:top w:val="single" w:color="DDDDDD" w:sz="1"/>
              <w:left w:val="single" w:color="DDDDDD" w:sz="1"/>
              <w:bottom w:val="single" w:color="DDDDDD" w:sz="1"/>
              <w:right w:val="single" w:color="DDDDDD" w:sz="1"/>
            </w:tcBorders>
            <w:shd w:fill="CCFBF1"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$1,580</w:t>
            </w:r>
          </w:p>
        </w:tc>
        <w:tc>
          <w:tcPr>
            <w:tcW w:type="dxa" w:w="2160"/>
            <w:tcBorders>
              <w:top w:val="single" w:color="DDDDDD" w:sz="1"/>
              <w:left w:val="single" w:color="DDDDDD" w:sz="1"/>
              <w:bottom w:val="single" w:color="DDDDDD" w:sz="1"/>
              <w:right w:val="single" w:color="DDDDDD" w:sz="1"/>
            </w:tcBorders>
            <w:shd w:fill="DCFCE7" w:val="clear"/>
            <w:tcMar>
              <w:top w:type="dxa" w:w="80"/>
              <w:left w:type="dxa" w:w="140"/>
              <w:bottom w:type="dxa" w:w="80"/>
              <w:right w:type="dxa" w:w="140"/>
            </w:tcMar>
          </w:tcPr>
          <w:p>
            <w:pPr>
              <w:jc w:val="center"/>
            </w:pPr>
            <w:r>
              <w:rPr>
                <w:rFonts w:ascii="Arial" w:cs="Arial" w:eastAsia="Arial" w:hAnsi="Arial"/>
                <w:b/>
                <w:bCs/>
                <w:color w:val="16A34A"/>
                <w:sz w:val="19"/>
                <w:szCs w:val="19"/>
              </w:rPr>
              <w:t xml:space="preserve">BEST MODEL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0D9488"/>
                <w:sz w:val="19"/>
                <w:szCs w:val="19"/>
              </w:rPr>
              <w:t xml:space="preserve">Random Forest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0.981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$1,410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$1,750</w:t>
            </w:r>
          </w:p>
        </w:tc>
        <w:tc>
          <w:tcPr>
            <w:tcW w:type="dxa" w:w="216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pPr>
              <w:jc w:val="center"/>
            </w:pPr>
            <w:r>
              <w:rPr>
                <w:rFonts w:ascii="Arial" w:cs="Arial" w:eastAsia="Arial" w:hAnsi="Arial"/>
                <w:b/>
                <w:bCs/>
                <w:color w:val="2563EB"/>
                <w:sz w:val="19"/>
                <w:szCs w:val="19"/>
              </w:rPr>
              <w:t xml:space="preserve">RUNNER-UP</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0D9488"/>
                <w:sz w:val="19"/>
                <w:szCs w:val="19"/>
              </w:rPr>
              <w:t xml:space="preserve">Ridge Regression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0.943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$2,050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$2,470</w:t>
            </w:r>
          </w:p>
        </w:tc>
        <w:tc>
          <w:tcPr>
            <w:tcW w:type="dxa" w:w="2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bCs/>
                <w:color w:val="6B7280"/>
                <w:sz w:val="19"/>
                <w:szCs w:val="19"/>
              </w:rPr>
              <w:t xml:space="preserve">BASELINE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0D9488"/>
                <w:sz w:val="19"/>
                <w:szCs w:val="19"/>
              </w:rPr>
              <w:t xml:space="preserve">Linear Regression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0.921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$2,380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19"/>
                <w:szCs w:val="19"/>
              </w:rPr>
              <w:t xml:space="preserve">$2,890</w:t>
            </w:r>
          </w:p>
        </w:tc>
        <w:tc>
          <w:tcPr>
            <w:tcW w:type="dxa" w:w="21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pPr>
              <w:jc w:val="center"/>
            </w:pPr>
            <w:r>
              <w:rPr>
                <w:rFonts w:ascii="Arial" w:cs="Arial" w:eastAsia="Arial" w:hAnsi="Arial"/>
                <w:b/>
                <w:bCs/>
                <w:color w:val="6B7280"/>
                <w:sz w:val="19"/>
                <w:szCs w:val="19"/>
              </w:rPr>
              <w:t xml:space="preserve">BASELINE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none" w:color="16A34A" w:sz="12"/>
              <w:bottom w:val="none"/>
              <w:right w:val="none"/>
            </w:tcBorders>
            <w:shd w:fill="DCFCE7" w:val="clear"/>
            <w:tcMar>
              <w:top w:type="dxa" w:w="100"/>
              <w:left w:type="dxa" w:w="160"/>
              <w:bottom w:type="dxa" w:w="60"/>
              <w:right w:type="dxa" w:w="160"/>
            </w:tcMar>
          </w:tcPr>
          <w:p>
            <w:r>
              <w:rPr>
                <w:rFonts w:ascii="Arial" w:cs="Arial" w:eastAsia="Arial" w:hAnsi="Arial"/>
                <w:b/>
                <w:bCs/>
                <w:color w:val="16A34A"/>
                <w:sz w:val="22"/>
                <w:szCs w:val="22"/>
              </w:rPr>
              <w:t xml:space="preserve">Why Gradient Boosting Wins</w:t>
            </w:r>
          </w:p>
          <w:p>
            <w:pPr>
              <w:spacing w:after="60"/>
            </w:pPr>
            <w:r>
              <w:rPr>
                <w:rFonts w:ascii="Arial" w:cs="Arial" w:eastAsia="Arial" w:hAnsi="Arial"/>
                <w:color w:val="111827"/>
                <w:sz w:val="21"/>
                <w:szCs w:val="21"/>
              </w:rPr>
              <w:t xml:space="preserve">R² = 0.987: Explains 98.7% of variance in monthly revenue — near-perfect fit.</w:t>
            </w:r>
          </w:p>
          <w:p>
            <w:pPr>
              <w:spacing w:after="60"/>
            </w:pPr>
            <w:r>
              <w:rPr>
                <w:rFonts w:ascii="Arial" w:cs="Arial" w:eastAsia="Arial" w:hAnsi="Arial"/>
                <w:color w:val="111827"/>
                <w:sz w:val="21"/>
                <w:szCs w:val="21"/>
              </w:rPr>
              <w:t xml:space="preserve">MAE = $1,230: Average prediction error under $1.3K per month — suitable for operational planning.</w:t>
            </w:r>
          </w:p>
          <w:p>
            <w:pPr>
              <w:spacing w:after="60"/>
            </w:pPr>
            <w:r>
              <w:rPr>
                <w:rFonts w:ascii="Arial" w:cs="Arial" w:eastAsia="Arial" w:hAnsi="Arial"/>
                <w:color w:val="111827"/>
                <w:sz w:val="21"/>
                <w:szCs w:val="21"/>
              </w:rPr>
              <w:t xml:space="preserve">Captures non-linear seasonal interactions that linear models miss.</w:t>
            </w:r>
          </w:p>
          <w:p>
            <w:pPr>
              <w:spacing w:after="60"/>
            </w:pPr>
            <w:r>
              <w:rPr>
                <w:rFonts w:ascii="Arial" w:cs="Arial" w:eastAsia="Arial" w:hAnsi="Arial"/>
                <w:color w:val="111827"/>
                <w:sz w:val="21"/>
                <w:szCs w:val="21"/>
              </w:rPr>
              <w:t xml:space="preserve">Robust to outliers via the boosting ensemble mechanism.</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4.3 Feature Importance</w:t>
      </w:r>
    </w:p>
    <w:p>
      <w:pPr>
        <w:spacing w:after="100"/>
      </w:pPr>
      <w:r>
        <w:rPr>
          <w:rFonts w:ascii="Arial" w:cs="Arial" w:eastAsia="Arial" w:hAnsi="Arial"/>
          <w:b w:val="false"/>
          <w:bCs w:val="false"/>
          <w:color w:val="111827"/>
          <w:sz w:val="22"/>
          <w:szCs w:val="22"/>
        </w:rPr>
        <w:t xml:space="preserve">The top predictive features identified by Gradient Boosting:</w:t>
      </w:r>
    </w:p>
    <w:p>
      <w:pPr>
        <w:pStyle w:val="ListParagraph"/>
        <w:numPr>
          <w:ilvl w:val="0"/>
          <w:numId w:val="2"/>
        </w:numPr>
        <w:spacing w:after="80"/>
      </w:pPr>
      <w:r>
        <w:rPr>
          <w:rFonts w:ascii="Arial" w:cs="Arial" w:eastAsia="Arial" w:hAnsi="Arial"/>
          <w:sz w:val="22"/>
          <w:szCs w:val="22"/>
        </w:rPr>
        <w:t xml:space="preserve">rolling_3m_revenue — most predictive; captures momentum</w:t>
      </w:r>
    </w:p>
    <w:p>
      <w:pPr>
        <w:pStyle w:val="ListParagraph"/>
        <w:numPr>
          <w:ilvl w:val="0"/>
          <w:numId w:val="2"/>
        </w:numPr>
        <w:spacing w:after="80"/>
      </w:pPr>
      <w:r>
        <w:rPr>
          <w:rFonts w:ascii="Arial" w:cs="Arial" w:eastAsia="Arial" w:hAnsi="Arial"/>
          <w:sz w:val="22"/>
          <w:szCs w:val="22"/>
        </w:rPr>
        <w:t xml:space="preserve">month_num — seasonal cycle encoder</w:t>
      </w:r>
    </w:p>
    <w:p>
      <w:pPr>
        <w:pStyle w:val="ListParagraph"/>
        <w:numPr>
          <w:ilvl w:val="0"/>
          <w:numId w:val="2"/>
        </w:numPr>
        <w:spacing w:after="80"/>
      </w:pPr>
      <w:r>
        <w:rPr>
          <w:rFonts w:ascii="Arial" w:cs="Arial" w:eastAsia="Arial" w:hAnsi="Arial"/>
          <w:sz w:val="22"/>
          <w:szCs w:val="22"/>
        </w:rPr>
        <w:t xml:space="preserve">quarter — quarterly business cycle</w:t>
      </w:r>
    </w:p>
    <w:p>
      <w:pPr>
        <w:pStyle w:val="ListParagraph"/>
        <w:numPr>
          <w:ilvl w:val="0"/>
          <w:numId w:val="2"/>
        </w:numPr>
        <w:spacing w:after="80"/>
      </w:pPr>
      <w:r>
        <w:rPr>
          <w:rFonts w:ascii="Arial" w:cs="Arial" w:eastAsia="Arial" w:hAnsi="Arial"/>
          <w:sz w:val="22"/>
          <w:szCs w:val="22"/>
        </w:rPr>
        <w:t xml:space="preserve">us_region (encoded) — regional sales differences</w:t>
      </w:r>
    </w:p>
    <w:p>
      <w:pPr>
        <w:pStyle w:val="ListParagraph"/>
        <w:numPr>
          <w:ilvl w:val="0"/>
          <w:numId w:val="2"/>
        </w:numPr>
        <w:spacing w:after="80"/>
      </w:pPr>
      <w:r>
        <w:rPr>
          <w:rFonts w:ascii="Arial" w:cs="Arial" w:eastAsia="Arial" w:hAnsi="Arial"/>
          <w:sz w:val="22"/>
          <w:szCs w:val="22"/>
        </w:rPr>
        <w:t xml:space="preserve">year — secular growth trend</w:t>
      </w:r>
    </w:p>
    <w:p>
      <w:pPr>
        <w:pStyle w:val="ListParagraph"/>
        <w:numPr>
          <w:ilvl w:val="0"/>
          <w:numId w:val="2"/>
        </w:numPr>
        <w:spacing w:after="80"/>
      </w:pPr>
      <w:r>
        <w:rPr>
          <w:rFonts w:ascii="Arial" w:cs="Arial" w:eastAsia="Arial" w:hAnsi="Arial"/>
          <w:sz w:val="22"/>
          <w:szCs w:val="22"/>
        </w:rPr>
        <w:t xml:space="preserve">week_of_year — captures intra-quarter fluctuation</w:t>
      </w:r>
    </w:p>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5. NLP Sentiment Analysis</w:t>
      </w:r>
    </w:p>
    <w:p>
      <w:pPr>
        <w:pStyle w:val="Heading2"/>
        <w:spacing w:after="80" w:before="280"/>
      </w:pPr>
      <w:r>
        <w:rPr>
          <w:rFonts w:ascii="Arial" w:cs="Arial" w:eastAsia="Arial" w:hAnsi="Arial"/>
          <w:b/>
          <w:bCs/>
          <w:color w:val="2563EB"/>
          <w:sz w:val="28"/>
          <w:szCs w:val="28"/>
        </w:rPr>
        <w:t xml:space="preserve">5.1 Methodology</w:t>
      </w:r>
    </w:p>
    <w:p>
      <w:pPr>
        <w:spacing w:after="100"/>
      </w:pPr>
      <w:r>
        <w:rPr>
          <w:rFonts w:ascii="Arial" w:cs="Arial" w:eastAsia="Arial" w:hAnsi="Arial"/>
          <w:b w:val="false"/>
          <w:bCs w:val="false"/>
          <w:color w:val="111827"/>
          <w:sz w:val="22"/>
          <w:szCs w:val="22"/>
        </w:rPr>
        <w:t xml:space="preserve">A VADER-based NLP pipeline was applied to synthesised customer feedback and product review data. Sentiment scores were computed at the product and channel level to surface early warning signals for customer dissatisfaction.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DDDDDD" w:sz="1"/>
              <w:left w:val="single" w:color="DDDDDD" w:sz="1"/>
              <w:bottom w:val="single" w:color="DDDDDD" w:sz="1"/>
              <w:right w:val="single" w:color="DDDDDD" w:sz="1"/>
            </w:tcBorders>
            <w:shd w:fill="DBEAFE" w:val="clear"/>
            <w:tcMar>
              <w:top w:type="dxa" w:w="100"/>
              <w:left w:type="dxa" w:w="160"/>
              <w:bottom w:type="dxa" w:w="100"/>
              <w:right w:type="dxa" w:w="160"/>
            </w:tcMar>
          </w:tcPr>
          <w:p>
            <w:pPr>
              <w:spacing w:after="80"/>
            </w:pPr>
            <w:r>
              <w:rPr>
                <w:rFonts w:ascii="Arial" w:cs="Arial" w:eastAsia="Arial" w:hAnsi="Arial"/>
                <w:b/>
                <w:bCs/>
                <w:color w:val="2563EB"/>
                <w:sz w:val="22"/>
                <w:szCs w:val="22"/>
              </w:rPr>
              <w:t xml:space="preserve">Sentiment Distribution</w:t>
            </w:r>
          </w:p>
          <w:p>
            <w:pPr>
              <w:spacing w:after="60"/>
            </w:pPr>
            <w:r>
              <w:rPr>
                <w:rFonts w:ascii="Arial" w:cs="Arial" w:eastAsia="Arial" w:hAnsi="Arial"/>
                <w:color w:val="111827"/>
                <w:sz w:val="21"/>
                <w:szCs w:val="21"/>
              </w:rPr>
              <w:t xml:space="preserve">Positive: 62% of reviews</w:t>
            </w:r>
          </w:p>
          <w:p>
            <w:pPr>
              <w:spacing w:after="60"/>
            </w:pPr>
            <w:r>
              <w:rPr>
                <w:rFonts w:ascii="Arial" w:cs="Arial" w:eastAsia="Arial" w:hAnsi="Arial"/>
                <w:color w:val="111827"/>
                <w:sz w:val="21"/>
                <w:szCs w:val="21"/>
              </w:rPr>
              <w:t xml:space="preserve">Neutral: 24% of reviews</w:t>
            </w:r>
          </w:p>
          <w:p>
            <w:pPr>
              <w:spacing w:after="60"/>
            </w:pPr>
            <w:r>
              <w:rPr>
                <w:rFonts w:ascii="Arial" w:cs="Arial" w:eastAsia="Arial" w:hAnsi="Arial"/>
                <w:color w:val="111827"/>
                <w:sz w:val="21"/>
                <w:szCs w:val="21"/>
              </w:rPr>
              <w:t xml:space="preserve">Negative: 14% of reviews</w:t>
            </w:r>
          </w:p>
          <w:p>
            <w:pPr>
              <w:spacing w:after="60"/>
            </w:pPr>
            <w:r>
              <w:rPr>
                <w:rFonts w:ascii="Arial" w:cs="Arial" w:eastAsia="Arial" w:hAnsi="Arial"/>
                <w:color w:val="111827"/>
                <w:sz w:val="21"/>
                <w:szCs w:val="21"/>
              </w:rPr>
              <w:t xml:space="preserve">Compound score range: -1.0 to +1.0</w:t>
            </w:r>
          </w:p>
        </w:tc>
        <w:tc>
          <w:tcPr>
            <w:tcW w:type="dxa" w:w="4620"/>
            <w:tcBorders>
              <w:top w:val="single" w:color="DDDDDD" w:sz="1"/>
              <w:left w:val="single" w:color="DDDDDD" w:sz="1"/>
              <w:bottom w:val="single" w:color="DDDDDD" w:sz="1"/>
              <w:right w:val="single" w:color="DDDDDD" w:sz="1"/>
            </w:tcBorders>
            <w:shd w:fill="CCFBF1" w:val="clear"/>
            <w:tcMar>
              <w:top w:type="dxa" w:w="100"/>
              <w:left w:type="dxa" w:w="160"/>
              <w:bottom w:type="dxa" w:w="100"/>
              <w:right w:type="dxa" w:w="160"/>
            </w:tcMar>
          </w:tcPr>
          <w:p>
            <w:pPr>
              <w:spacing w:after="80"/>
            </w:pPr>
            <w:r>
              <w:rPr>
                <w:rFonts w:ascii="Arial" w:cs="Arial" w:eastAsia="Arial" w:hAnsi="Arial"/>
                <w:b/>
                <w:bCs/>
                <w:color w:val="0D9488"/>
                <w:sz w:val="22"/>
                <w:szCs w:val="22"/>
              </w:rPr>
              <w:t xml:space="preserve">Top Positive Signals</w:t>
            </w:r>
          </w:p>
          <w:p>
            <w:pPr>
              <w:spacing w:after="60"/>
            </w:pPr>
            <w:r>
              <w:rPr>
                <w:rFonts w:ascii="Arial" w:cs="Arial" w:eastAsia="Arial" w:hAnsi="Arial"/>
                <w:color w:val="111827"/>
                <w:sz w:val="21"/>
                <w:szCs w:val="21"/>
              </w:rPr>
              <w:t xml:space="preserve">Product quality mentions: 38% of positives</w:t>
            </w:r>
          </w:p>
          <w:p>
            <w:pPr>
              <w:spacing w:after="60"/>
            </w:pPr>
            <w:r>
              <w:rPr>
                <w:rFonts w:ascii="Arial" w:cs="Arial" w:eastAsia="Arial" w:hAnsi="Arial"/>
                <w:color w:val="111827"/>
                <w:sz w:val="21"/>
                <w:szCs w:val="21"/>
              </w:rPr>
              <w:t xml:space="preserve">Delivery speed: 22% of positives</w:t>
            </w:r>
          </w:p>
          <w:p>
            <w:pPr>
              <w:spacing w:after="60"/>
            </w:pPr>
            <w:r>
              <w:rPr>
                <w:rFonts w:ascii="Arial" w:cs="Arial" w:eastAsia="Arial" w:hAnsi="Arial"/>
                <w:color w:val="111827"/>
                <w:sz w:val="21"/>
                <w:szCs w:val="21"/>
              </w:rPr>
              <w:t xml:space="preserve">Price-value perception: 19% of positives</w:t>
            </w:r>
          </w:p>
          <w:p>
            <w:pPr>
              <w:spacing w:after="60"/>
            </w:pPr>
            <w:r>
              <w:rPr>
                <w:rFonts w:ascii="Arial" w:cs="Arial" w:eastAsia="Arial" w:hAnsi="Arial"/>
                <w:color w:val="111827"/>
                <w:sz w:val="21"/>
                <w:szCs w:val="21"/>
              </w:rPr>
              <w:t xml:space="preserve">Customer service: 21% of positives</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5.2 Product-Level Sentiment</w:t>
      </w:r>
    </w:p>
    <w:p>
      <w:pPr>
        <w:pStyle w:val="ListParagraph"/>
        <w:numPr>
          <w:ilvl w:val="0"/>
          <w:numId w:val="2"/>
        </w:numPr>
        <w:spacing w:after="80"/>
      </w:pPr>
      <w:r>
        <w:rPr>
          <w:rFonts w:ascii="Arial" w:cs="Arial" w:eastAsia="Arial" w:hAnsi="Arial"/>
          <w:sz w:val="22"/>
          <w:szCs w:val="22"/>
        </w:rPr>
        <w:t xml:space="preserve">Products 18 &amp; 28 — consistently positive; customers cite quality and value</w:t>
      </w:r>
    </w:p>
    <w:p>
      <w:pPr>
        <w:pStyle w:val="ListParagraph"/>
        <w:numPr>
          <w:ilvl w:val="0"/>
          <w:numId w:val="2"/>
        </w:numPr>
        <w:spacing w:after="80"/>
      </w:pPr>
      <w:r>
        <w:rPr>
          <w:rFonts w:ascii="Arial" w:cs="Arial" w:eastAsia="Arial" w:hAnsi="Arial"/>
          <w:sz w:val="22"/>
          <w:szCs w:val="22"/>
        </w:rPr>
        <w:t xml:space="preserve">Products 14 &amp; 7 — mixed sentiment; pricing concerns and delivery delays flagged</w:t>
      </w:r>
    </w:p>
    <w:p>
      <w:pPr>
        <w:pStyle w:val="ListParagraph"/>
        <w:numPr>
          <w:ilvl w:val="0"/>
          <w:numId w:val="2"/>
        </w:numPr>
        <w:spacing w:after="80"/>
      </w:pPr>
      <w:r>
        <w:rPr>
          <w:rFonts w:ascii="Arial" w:cs="Arial" w:eastAsia="Arial" w:hAnsi="Arial"/>
          <w:sz w:val="22"/>
          <w:szCs w:val="22"/>
        </w:rPr>
        <w:t xml:space="preserve">Product 30 — neutral to positive; "meets expectations" pattern</w:t>
      </w:r>
    </w:p>
    <w:p>
      <w:pPr>
        <w:pStyle w:val="ListParagraph"/>
        <w:numPr>
          <w:ilvl w:val="0"/>
          <w:numId w:val="2"/>
        </w:numPr>
        <w:spacing w:after="80"/>
      </w:pPr>
      <w:r>
        <w:rPr>
          <w:rFonts w:ascii="Arial" w:cs="Arial" w:eastAsia="Arial" w:hAnsi="Arial"/>
          <w:sz w:val="22"/>
          <w:szCs w:val="22"/>
        </w:rPr>
        <w:t xml:space="preserve">All products — no sustained negative trend detected; risk level LOW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none" w:color="7C3AED" w:sz="12"/>
              <w:bottom w:val="none"/>
              <w:right w:val="none"/>
            </w:tcBorders>
            <w:shd w:fill="EDE9FE" w:val="clear"/>
            <w:tcMar>
              <w:top w:type="dxa" w:w="100"/>
              <w:left w:type="dxa" w:w="160"/>
              <w:bottom w:type="dxa" w:w="60"/>
              <w:right w:type="dxa" w:w="160"/>
            </w:tcMar>
          </w:tcPr>
          <w:p>
            <w:r>
              <w:rPr>
                <w:rFonts w:ascii="Arial" w:cs="Arial" w:eastAsia="Arial" w:hAnsi="Arial"/>
                <w:b/>
                <w:bCs/>
                <w:color w:val="7C3AED"/>
                <w:sz w:val="22"/>
                <w:szCs w:val="22"/>
              </w:rPr>
              <w:t xml:space="preserve">Recommended Sentiment Action</w:t>
            </w:r>
          </w:p>
          <w:p>
            <w:pPr>
              <w:spacing w:after="60"/>
            </w:pPr>
            <w:r>
              <w:rPr>
                <w:rFonts w:ascii="Arial" w:cs="Arial" w:eastAsia="Arial" w:hAnsi="Arial"/>
                <w:color w:val="111827"/>
                <w:sz w:val="21"/>
                <w:szCs w:val="21"/>
              </w:rPr>
              <w:t xml:space="preserve">Implement real-time sentiment monitoring on customer support tickets and online reviews.</w:t>
            </w:r>
          </w:p>
          <w:p>
            <w:pPr>
              <w:spacing w:after="60"/>
            </w:pPr>
            <w:r>
              <w:rPr>
                <w:rFonts w:ascii="Arial" w:cs="Arial" w:eastAsia="Arial" w:hAnsi="Arial"/>
                <w:color w:val="111827"/>
                <w:sz w:val="21"/>
                <w:szCs w:val="21"/>
              </w:rPr>
              <w:t xml:space="preserve">Set threshold alerts: compound score &lt; -0.3 triggers escalation to account management.</w:t>
            </w:r>
          </w:p>
          <w:p>
            <w:pPr>
              <w:spacing w:after="60"/>
            </w:pPr>
            <w:r>
              <w:rPr>
                <w:rFonts w:ascii="Arial" w:cs="Arial" w:eastAsia="Arial" w:hAnsi="Arial"/>
                <w:color w:val="111827"/>
                <w:sz w:val="21"/>
                <w:szCs w:val="21"/>
              </w:rPr>
              <w:t xml:space="preserve">Feed negative sentiment signals into Product 14 and Product 7 pricing review cycles.</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6. Interactive Dashboard</w:t>
      </w:r>
    </w:p>
    <w:p>
      <w:pPr>
        <w:pStyle w:val="Heading2"/>
        <w:spacing w:after="80" w:before="280"/>
      </w:pPr>
      <w:r>
        <w:rPr>
          <w:rFonts w:ascii="Arial" w:cs="Arial" w:eastAsia="Arial" w:hAnsi="Arial"/>
          <w:b/>
          <w:bCs/>
          <w:color w:val="2563EB"/>
          <w:sz w:val="28"/>
          <w:szCs w:val="28"/>
        </w:rPr>
        <w:t xml:space="preserve">6.1 Dashboard Overview</w:t>
      </w:r>
    </w:p>
    <w:p>
      <w:pPr>
        <w:spacing w:after="100"/>
      </w:pPr>
      <w:r>
        <w:rPr>
          <w:rFonts w:ascii="Arial" w:cs="Arial" w:eastAsia="Arial" w:hAnsi="Arial"/>
          <w:b w:val="false"/>
          <w:bCs w:val="false"/>
          <w:color w:val="111827"/>
          <w:sz w:val="22"/>
          <w:szCs w:val="22"/>
        </w:rPr>
        <w:t xml:space="preserve">The AI_Sales_Intelligence_Dashboard.html file delivers a dark-themed, multi-tab interactive dashboard built with Chart.js. It is fully self-contained and runs in any modern browser without a backend server.</w:t>
      </w:r>
    </w:p>
    <w:p>
      <w:r>
        <w:rPr>
          <w:sz w:val="22"/>
          <w:szCs w:val="22"/>
        </w:rPr>
        <w:t xml:space="preserve"/>
      </w:r>
    </w:p>
    <w:p>
      <w:pPr>
        <w:pStyle w:val="Heading2"/>
        <w:spacing w:after="80" w:before="280"/>
      </w:pPr>
      <w:r>
        <w:rPr>
          <w:rFonts w:ascii="Arial" w:cs="Arial" w:eastAsia="Arial" w:hAnsi="Arial"/>
          <w:b/>
          <w:bCs/>
          <w:color w:val="2563EB"/>
          <w:sz w:val="28"/>
          <w:szCs w:val="28"/>
        </w:rPr>
        <w:t xml:space="preserve">6.2 Dashboard Tabs</w:t>
      </w:r>
    </w:p>
    <w:p>
      <w:pPr>
        <w:pStyle w:val="ListParagraph"/>
        <w:numPr>
          <w:ilvl w:val="0"/>
          <w:numId w:val="2"/>
        </w:numPr>
        <w:spacing w:after="80"/>
      </w:pPr>
      <w:r>
        <w:rPr>
          <w:rFonts w:ascii="Arial" w:cs="Arial" w:eastAsia="Arial" w:hAnsi="Arial"/>
          <w:sz w:val="22"/>
          <w:szCs w:val="22"/>
        </w:rPr>
        <w:t xml:space="preserve">Overview — KPI cards (Total Revenue, Orders, Profit, Margin %, Top Region, Top Product)</w:t>
      </w:r>
    </w:p>
    <w:p>
      <w:pPr>
        <w:pStyle w:val="ListParagraph"/>
        <w:numPr>
          <w:ilvl w:val="0"/>
          <w:numId w:val="2"/>
        </w:numPr>
        <w:spacing w:after="80"/>
      </w:pPr>
      <w:r>
        <w:rPr>
          <w:rFonts w:ascii="Arial" w:cs="Arial" w:eastAsia="Arial" w:hAnsi="Arial"/>
          <w:sz w:val="22"/>
          <w:szCs w:val="22"/>
        </w:rPr>
        <w:t xml:space="preserve">Regional Analysis — Bar charts for revenue and profit margin by region; progress bars</w:t>
      </w:r>
    </w:p>
    <w:p>
      <w:pPr>
        <w:pStyle w:val="ListParagraph"/>
        <w:numPr>
          <w:ilvl w:val="0"/>
          <w:numId w:val="2"/>
        </w:numPr>
        <w:spacing w:after="80"/>
      </w:pPr>
      <w:r>
        <w:rPr>
          <w:rFonts w:ascii="Arial" w:cs="Arial" w:eastAsia="Arial" w:hAnsi="Arial"/>
          <w:sz w:val="22"/>
          <w:szCs w:val="22"/>
        </w:rPr>
        <w:t xml:space="preserve">Product Performance — Revenue vs margin scatter; top products horizontal bar chart</w:t>
      </w:r>
    </w:p>
    <w:p>
      <w:pPr>
        <w:pStyle w:val="ListParagraph"/>
        <w:numPr>
          <w:ilvl w:val="0"/>
          <w:numId w:val="2"/>
        </w:numPr>
        <w:spacing w:after="80"/>
      </w:pPr>
      <w:r>
        <w:rPr>
          <w:rFonts w:ascii="Arial" w:cs="Arial" w:eastAsia="Arial" w:hAnsi="Arial"/>
          <w:sz w:val="22"/>
          <w:szCs w:val="22"/>
        </w:rPr>
        <w:t xml:space="preserve">ML Forecasting — Model comparison cards; actual vs predicted revenue line chart</w:t>
      </w:r>
    </w:p>
    <w:p>
      <w:pPr>
        <w:pStyle w:val="ListParagraph"/>
        <w:numPr>
          <w:ilvl w:val="0"/>
          <w:numId w:val="2"/>
        </w:numPr>
        <w:spacing w:after="80"/>
      </w:pPr>
      <w:r>
        <w:rPr>
          <w:rFonts w:ascii="Arial" w:cs="Arial" w:eastAsia="Arial" w:hAnsi="Arial"/>
          <w:sz w:val="22"/>
          <w:szCs w:val="22"/>
        </w:rPr>
        <w:t xml:space="preserve">Insights — AI-generated strategic insight panels with highlighted recommendations</w:t>
      </w:r>
    </w:p>
    <w:p>
      <w:r>
        <w:rPr>
          <w:sz w:val="22"/>
          <w:szCs w:val="22"/>
        </w:rPr>
        <w:t xml:space="preserve"/>
      </w:r>
    </w:p>
    <w:p>
      <w:pPr>
        <w:pStyle w:val="Heading2"/>
        <w:spacing w:after="80" w:before="280"/>
      </w:pPr>
      <w:r>
        <w:rPr>
          <w:rFonts w:ascii="Arial" w:cs="Arial" w:eastAsia="Arial" w:hAnsi="Arial"/>
          <w:b/>
          <w:bCs/>
          <w:color w:val="2563EB"/>
          <w:sz w:val="28"/>
          <w:szCs w:val="28"/>
        </w:rPr>
        <w:t xml:space="preserve">6.3 Power BI Report</w:t>
      </w:r>
    </w:p>
    <w:p>
      <w:pPr>
        <w:spacing w:after="100"/>
      </w:pPr>
      <w:r>
        <w:rPr>
          <w:rFonts w:ascii="Arial" w:cs="Arial" w:eastAsia="Arial" w:hAnsi="Arial"/>
          <w:b w:val="false"/>
          <w:bCs w:val="false"/>
          <w:color w:val="111827"/>
          <w:sz w:val="22"/>
          <w:szCs w:val="22"/>
        </w:rPr>
        <w:t xml:space="preserve">The SALES_REPORT.pbix file is designed for executive presentation in Power BI Desktop or Service. It complements the HTML dashboard by providing drill-through capability, row-level security, and scheduled data refresh support for live environments.</w:t>
      </w:r>
    </w:p>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7. Project File Inventory</w:t>
      </w:r>
    </w:p>
    <w:p>
      <w:pPr>
        <w:spacing w:after="100"/>
      </w:pPr>
      <w:r>
        <w:rPr>
          <w:rFonts w:ascii="Arial" w:cs="Arial" w:eastAsia="Arial" w:hAnsi="Arial"/>
          <w:b w:val="false"/>
          <w:bCs w:val="false"/>
          <w:color w:val="111827"/>
          <w:sz w:val="22"/>
          <w:szCs w:val="22"/>
        </w:rPr>
        <w:t xml:space="preserve">The following files constitute the complete deliverable for this project: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19"/>
                <w:szCs w:val="19"/>
              </w:rPr>
              <w:t xml:space="preserve">File</w:t>
            </w:r>
          </w:p>
        </w:tc>
        <w:tc>
          <w:tcPr>
            <w:tcW w:type="dxa" w:w="2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19"/>
                <w:szCs w:val="19"/>
              </w:rPr>
              <w:t xml:space="preserve">Type</w:t>
            </w:r>
          </w:p>
        </w:tc>
        <w:tc>
          <w:tcPr>
            <w:tcW w:type="dxa" w:w="43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7C3AED"/>
                <w:sz w:val="20"/>
                <w:szCs w:val="20"/>
              </w:rPr>
              <w:t xml:space="preserve">AI_Forecasting_MultiModal_Platform.ipynb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Jupyter Notebook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18"/>
                <w:szCs w:val="18"/>
              </w:rPr>
              <w:t xml:space="preserve">Full ML pipeline: data generation, EDA, regional intelligence, Random Forest &amp; Gradient Boosting forecasting, NLP sentiment analysis, and dashboard summary.</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7C3AED"/>
                <w:sz w:val="20"/>
                <w:szCs w:val="20"/>
              </w:rPr>
              <w:t xml:space="preserve">EDA_Regional_Sales_Analysis.ipynb</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Jupyter Notebook</w:t>
            </w:r>
          </w:p>
        </w:tc>
        <w:tc>
          <w:tcPr>
            <w:tcW w:type="dxa" w:w="4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18"/>
                <w:szCs w:val="18"/>
              </w:rPr>
              <w:t xml:space="preserve">Standalone EDA notebook covering data profiling, cleaning, feature engineering, bivariate analysis, outlier detection, correlation, and channel/region segmentation.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7C3AED"/>
                <w:sz w:val="20"/>
                <w:szCs w:val="20"/>
              </w:rPr>
              <w:t xml:space="preserve">AI_Sales_Intelligence_Dashboard.html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HTML Dashboard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18"/>
                <w:szCs w:val="18"/>
              </w:rPr>
              <w:t xml:space="preserve">Interactive multi-tab web dashboard built with Chart.js: KPI cards, regional charts, product performance, ML model comparison, and strategic insights panels.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7C3AED"/>
                <w:sz w:val="20"/>
                <w:szCs w:val="20"/>
              </w:rPr>
              <w:t xml:space="preserve">SALES_REPORT.pbix</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Power BI Report</w:t>
            </w:r>
          </w:p>
        </w:tc>
        <w:tc>
          <w:tcPr>
            <w:tcW w:type="dxa" w:w="4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18"/>
                <w:szCs w:val="18"/>
              </w:rPr>
              <w:t xml:space="preserve">Power BI report file for executive presentation; intended for import into Power BI Desktop or Service for further drill-down and sharing.</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8. GitHub Repository Setup Guide</w:t>
      </w:r>
    </w:p>
    <w:p>
      <w:pPr>
        <w:pStyle w:val="Heading2"/>
        <w:spacing w:after="80" w:before="280"/>
      </w:pPr>
      <w:r>
        <w:rPr>
          <w:rFonts w:ascii="Arial" w:cs="Arial" w:eastAsia="Arial" w:hAnsi="Arial"/>
          <w:b/>
          <w:bCs/>
          <w:color w:val="2563EB"/>
          <w:sz w:val="28"/>
          <w:szCs w:val="28"/>
        </w:rPr>
        <w:t xml:space="preserve">8.1 Recommended Repository Structure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292E" w:sz="1"/>
              <w:left w:val="single" w:color="24292E" w:sz="1"/>
              <w:bottom w:val="single" w:color="24292E" w:sz="1"/>
              <w:right w:val="single" w:color="24292E" w:sz="1"/>
            </w:tcBorders>
            <w:shd w:fill="0D1117" w:val="clear"/>
            <w:tcMar>
              <w:top w:type="dxa" w:w="120"/>
              <w:left w:type="dxa" w:w="200"/>
              <w:bottom w:type="dxa" w:w="120"/>
              <w:right w:type="dxa" w:w="200"/>
            </w:tcMar>
          </w:tcPr>
          <w:p>
            <w:pPr>
              <w:spacing w:after="40"/>
            </w:pPr>
            <w:r>
              <w:rPr>
                <w:rFonts w:ascii="Courier New" w:cs="Courier New" w:eastAsia="Courier New" w:hAnsi="Courier New"/>
                <w:color w:val="7EE787"/>
                <w:sz w:val="19"/>
                <w:szCs w:val="19"/>
              </w:rPr>
              <w:t xml:space="preserve">sales-intelligence-platform/</w:t>
            </w:r>
          </w:p>
          <w:p>
            <w:pPr>
              <w:spacing w:after="40"/>
            </w:pPr>
            <w:r>
              <w:rPr>
                <w:rFonts w:ascii="Courier New" w:cs="Courier New" w:eastAsia="Courier New" w:hAnsi="Courier New"/>
                <w:color w:val="7EE787"/>
                <w:sz w:val="19"/>
                <w:szCs w:val="19"/>
              </w:rPr>
              <w:t xml:space="preserve">├── notebooks/</w:t>
            </w:r>
          </w:p>
          <w:p>
            <w:pPr>
              <w:spacing w:after="40"/>
            </w:pPr>
            <w:r>
              <w:rPr>
                <w:rFonts w:ascii="Courier New" w:cs="Courier New" w:eastAsia="Courier New" w:hAnsi="Courier New"/>
                <w:color w:val="7EE787"/>
                <w:sz w:val="19"/>
                <w:szCs w:val="19"/>
              </w:rPr>
              <w:t xml:space="preserve">│   ├── AI_Forecasting_MultiModal_Platform.ipynb</w:t>
            </w:r>
          </w:p>
          <w:p>
            <w:pPr>
              <w:spacing w:after="40"/>
            </w:pPr>
            <w:r>
              <w:rPr>
                <w:rFonts w:ascii="Courier New" w:cs="Courier New" w:eastAsia="Courier New" w:hAnsi="Courier New"/>
                <w:color w:val="7EE787"/>
                <w:sz w:val="19"/>
                <w:szCs w:val="19"/>
              </w:rPr>
              <w:t xml:space="preserve">│   └── EDA_Regional_Sales_Analysis.ipynb</w:t>
            </w:r>
          </w:p>
          <w:p>
            <w:pPr>
              <w:spacing w:after="40"/>
            </w:pPr>
            <w:r>
              <w:rPr>
                <w:rFonts w:ascii="Courier New" w:cs="Courier New" w:eastAsia="Courier New" w:hAnsi="Courier New"/>
                <w:color w:val="7EE787"/>
                <w:sz w:val="19"/>
                <w:szCs w:val="19"/>
              </w:rPr>
              <w:t xml:space="preserve">├── dashboard/</w:t>
            </w:r>
          </w:p>
          <w:p>
            <w:pPr>
              <w:spacing w:after="40"/>
            </w:pPr>
            <w:r>
              <w:rPr>
                <w:rFonts w:ascii="Courier New" w:cs="Courier New" w:eastAsia="Courier New" w:hAnsi="Courier New"/>
                <w:color w:val="7EE787"/>
                <w:sz w:val="19"/>
                <w:szCs w:val="19"/>
              </w:rPr>
              <w:t xml:space="preserve">│   └── AI_Sales_Intelligence_Dashboard.html</w:t>
            </w:r>
          </w:p>
          <w:p>
            <w:pPr>
              <w:spacing w:after="40"/>
            </w:pPr>
            <w:r>
              <w:rPr>
                <w:rFonts w:ascii="Courier New" w:cs="Courier New" w:eastAsia="Courier New" w:hAnsi="Courier New"/>
                <w:color w:val="7EE787"/>
                <w:sz w:val="19"/>
                <w:szCs w:val="19"/>
              </w:rPr>
              <w:t xml:space="preserve">├── reports/</w:t>
            </w:r>
          </w:p>
          <w:p>
            <w:pPr>
              <w:spacing w:after="40"/>
            </w:pPr>
            <w:r>
              <w:rPr>
                <w:rFonts w:ascii="Courier New" w:cs="Courier New" w:eastAsia="Courier New" w:hAnsi="Courier New"/>
                <w:color w:val="7EE787"/>
                <w:sz w:val="19"/>
                <w:szCs w:val="19"/>
              </w:rPr>
              <w:t xml:space="preserve">│   └── SALES_REPORT.pbix</w:t>
            </w:r>
          </w:p>
          <w:p>
            <w:pPr>
              <w:spacing w:after="40"/>
            </w:pPr>
            <w:r>
              <w:rPr>
                <w:rFonts w:ascii="Courier New" w:cs="Courier New" w:eastAsia="Courier New" w:hAnsi="Courier New"/>
                <w:color w:val="7EE787"/>
                <w:sz w:val="19"/>
                <w:szCs w:val="19"/>
              </w:rPr>
              <w:t xml:space="preserve">├── docs/                    # GitHub Pages (optional)</w:t>
            </w:r>
          </w:p>
          <w:p>
            <w:pPr>
              <w:spacing w:after="40"/>
            </w:pPr>
            <w:r>
              <w:rPr>
                <w:rFonts w:ascii="Courier New" w:cs="Courier New" w:eastAsia="Courier New" w:hAnsi="Courier New"/>
                <w:color w:val="7EE787"/>
                <w:sz w:val="19"/>
                <w:szCs w:val="19"/>
              </w:rPr>
              <w:t xml:space="preserve">│   └── AI_Sales_Intelligence_Dashboard.html</w:t>
            </w:r>
          </w:p>
          <w:p>
            <w:pPr>
              <w:spacing w:after="40"/>
            </w:pPr>
            <w:r>
              <w:rPr>
                <w:rFonts w:ascii="Courier New" w:cs="Courier New" w:eastAsia="Courier New" w:hAnsi="Courier New"/>
                <w:color w:val="7EE787"/>
                <w:sz w:val="19"/>
                <w:szCs w:val="19"/>
              </w:rPr>
              <w:t xml:space="preserve">├── README.md</w:t>
            </w:r>
          </w:p>
          <w:p>
            <w:pPr>
              <w:spacing w:after="40"/>
            </w:pPr>
            <w:r>
              <w:rPr>
                <w:rFonts w:ascii="Courier New" w:cs="Courier New" w:eastAsia="Courier New" w:hAnsi="Courier New"/>
                <w:color w:val="7EE787"/>
                <w:sz w:val="19"/>
                <w:szCs w:val="19"/>
              </w:rPr>
              <w:t xml:space="preserve">└── .gitignore</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8.2 Step-by-Step Upload Instructions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24292E" w:sz="1"/>
              <w:left w:val="single" w:color="24292E" w:sz="1"/>
              <w:bottom w:val="single" w:color="24292E" w:sz="1"/>
              <w:right w:val="single" w:color="24292E" w:sz="1"/>
            </w:tcBorders>
            <w:shd w:fill="24292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Step</w:t>
            </w:r>
          </w:p>
        </w:tc>
        <w:tc>
          <w:tcPr>
            <w:tcW w:type="dxa" w:w="2000"/>
            <w:tcBorders>
              <w:top w:val="single" w:color="24292E" w:sz="1"/>
              <w:left w:val="single" w:color="24292E" w:sz="1"/>
              <w:bottom w:val="single" w:color="24292E" w:sz="1"/>
              <w:right w:val="single" w:color="24292E" w:sz="1"/>
            </w:tcBorders>
            <w:shd w:fill="24292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Action</w:t>
            </w:r>
          </w:p>
        </w:tc>
        <w:tc>
          <w:tcPr>
            <w:tcW w:type="dxa" w:w="6560"/>
            <w:tcBorders>
              <w:top w:val="single" w:color="24292E" w:sz="1"/>
              <w:left w:val="single" w:color="24292E" w:sz="1"/>
              <w:bottom w:val="single" w:color="24292E" w:sz="1"/>
              <w:right w:val="single" w:color="24292E" w:sz="1"/>
            </w:tcBorders>
            <w:shd w:fill="24292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Command / Notes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4292E"/>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Install Git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sudo apt-get install git   (Linux/Ubuntu) or download from git-scm.com</w:t>
            </w:r>
          </w:p>
        </w:tc>
      </w:tr>
      <w:tr>
        <w:tc>
          <w:tcPr>
            <w:tcW w:type="dxa" w:w="8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bCs/>
                <w:color w:val="24292E"/>
                <w:sz w:val="20"/>
                <w:szCs w:val="20"/>
              </w:rPr>
              <w:t xml:space="preserve">2</w:t>
            </w:r>
          </w:p>
        </w:tc>
        <w:tc>
          <w:tcPr>
            <w:tcW w:type="dxa" w:w="20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val="false"/>
                <w:bCs w:val="false"/>
                <w:color w:val="111827"/>
                <w:sz w:val="20"/>
                <w:szCs w:val="20"/>
              </w:rPr>
              <w:t xml:space="preserve">Configure identity</w:t>
            </w:r>
          </w:p>
        </w:tc>
        <w:tc>
          <w:tcPr>
            <w:tcW w:type="dxa" w:w="656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git config --global user.name "Your Name"
git config --global user.email "you@example.com"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4292E"/>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Create repository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Go to github.com → New Repository → Name: sales-intelligence-platform → Public/Private → Create</w:t>
            </w:r>
          </w:p>
        </w:tc>
      </w:tr>
      <w:tr>
        <w:tc>
          <w:tcPr>
            <w:tcW w:type="dxa" w:w="8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bCs/>
                <w:color w:val="24292E"/>
                <w:sz w:val="20"/>
                <w:szCs w:val="20"/>
              </w:rPr>
              <w:t xml:space="preserve">4</w:t>
            </w:r>
          </w:p>
        </w:tc>
        <w:tc>
          <w:tcPr>
            <w:tcW w:type="dxa" w:w="20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val="false"/>
                <w:bCs w:val="false"/>
                <w:color w:val="111827"/>
                <w:sz w:val="20"/>
                <w:szCs w:val="20"/>
              </w:rPr>
              <w:t xml:space="preserve">Clone locally</w:t>
            </w:r>
          </w:p>
        </w:tc>
        <w:tc>
          <w:tcPr>
            <w:tcW w:type="dxa" w:w="656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git clone https://github.com/&lt;username&gt;/sales-intelligence-platform.git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4292E"/>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Copy project files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Copy all 4 project files into the cloned folder (see File Inventory)</w:t>
            </w:r>
          </w:p>
        </w:tc>
      </w:tr>
      <w:tr>
        <w:tc>
          <w:tcPr>
            <w:tcW w:type="dxa" w:w="8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bCs/>
                <w:color w:val="24292E"/>
                <w:sz w:val="20"/>
                <w:szCs w:val="20"/>
              </w:rPr>
              <w:t xml:space="preserve">6</w:t>
            </w:r>
          </w:p>
        </w:tc>
        <w:tc>
          <w:tcPr>
            <w:tcW w:type="dxa" w:w="20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val="false"/>
                <w:bCs w:val="false"/>
                <w:color w:val="111827"/>
                <w:sz w:val="20"/>
                <w:szCs w:val="20"/>
              </w:rPr>
              <w:t xml:space="preserve">Add README</w:t>
            </w:r>
          </w:p>
        </w:tc>
        <w:tc>
          <w:tcPr>
            <w:tcW w:type="dxa" w:w="656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Create README.md (template provided in Appendix A)</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4292E"/>
                <w:sz w:val="20"/>
                <w:szCs w:val="20"/>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Stage all files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git add .</w:t>
            </w:r>
          </w:p>
        </w:tc>
      </w:tr>
      <w:tr>
        <w:tc>
          <w:tcPr>
            <w:tcW w:type="dxa" w:w="8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bCs/>
                <w:color w:val="24292E"/>
                <w:sz w:val="20"/>
                <w:szCs w:val="20"/>
              </w:rPr>
              <w:t xml:space="preserve">8</w:t>
            </w:r>
          </w:p>
        </w:tc>
        <w:tc>
          <w:tcPr>
            <w:tcW w:type="dxa" w:w="20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 commit</w:t>
            </w:r>
          </w:p>
        </w:tc>
        <w:tc>
          <w:tcPr>
            <w:tcW w:type="dxa" w:w="656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git commit -m "Initial commit: AI Sales Intelligence Platform"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4292E"/>
                <w:sz w:val="20"/>
                <w:szCs w:val="20"/>
              </w:rPr>
              <w:t xml:space="preserve">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 to GitHub</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git push origin main</w:t>
            </w:r>
          </w:p>
        </w:tc>
      </w:tr>
      <w:tr>
        <w:tc>
          <w:tcPr>
            <w:tcW w:type="dxa" w:w="8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bCs/>
                <w:color w:val="24292E"/>
                <w:sz w:val="20"/>
                <w:szCs w:val="20"/>
              </w:rPr>
              <w:t xml:space="preserve">10</w:t>
            </w:r>
          </w:p>
        </w:tc>
        <w:tc>
          <w:tcPr>
            <w:tcW w:type="dxa" w:w="200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Arial" w:cs="Arial" w:eastAsia="Arial" w:hAnsi="Arial"/>
                <w:b w:val="false"/>
                <w:bCs w:val="false"/>
                <w:color w:val="111827"/>
                <w:sz w:val="20"/>
                <w:szCs w:val="20"/>
              </w:rPr>
              <w:t xml:space="preserve">Enable GitHub Pages</w:t>
            </w:r>
          </w:p>
        </w:tc>
        <w:tc>
          <w:tcPr>
            <w:tcW w:type="dxa" w:w="6560"/>
            <w:tcBorders>
              <w:top w:val="single" w:color="DDDDDD" w:sz="1"/>
              <w:left w:val="single" w:color="DDDDDD" w:sz="1"/>
              <w:bottom w:val="single" w:color="DDDDDD" w:sz="1"/>
              <w:right w:val="single" w:color="DDDDDD" w:sz="1"/>
            </w:tcBorders>
            <w:shd w:fill="F6F8FA" w:val="clear"/>
            <w:tcMar>
              <w:top w:type="dxa" w:w="80"/>
              <w:left w:type="dxa" w:w="140"/>
              <w:bottom w:type="dxa" w:w="80"/>
              <w:right w:type="dxa" w:w="140"/>
            </w:tcMar>
          </w:tcPr>
          <w:p>
            <w:r>
              <w:rPr>
                <w:rFonts w:ascii="Courier New" w:cs="Courier New" w:eastAsia="Courier New" w:hAnsi="Courier New"/>
                <w:b w:val="false"/>
                <w:bCs w:val="false"/>
                <w:color w:val="0D1117"/>
                <w:sz w:val="18"/>
                <w:szCs w:val="18"/>
              </w:rPr>
              <w:t xml:space="preserve">(Optional) Settings → Pages → Deploy from /docs for HTML dashboard hosting</w:t>
            </w:r>
          </w:p>
        </w:tc>
      </w:tr>
    </w:tbl>
    <w:p>
      <w:r>
        <w:rPr>
          <w:sz w:val="22"/>
          <w:szCs w:val="22"/>
        </w:rPr>
        <w:t xml:space="preserve"/>
      </w:r>
    </w:p>
    <w:p>
      <w:pPr>
        <w:pStyle w:val="Heading2"/>
        <w:spacing w:after="80" w:before="280"/>
      </w:pPr>
      <w:r>
        <w:rPr>
          <w:rFonts w:ascii="Arial" w:cs="Arial" w:eastAsia="Arial" w:hAnsi="Arial"/>
          <w:b/>
          <w:bCs/>
          <w:color w:val="2563EB"/>
          <w:sz w:val="28"/>
          <w:szCs w:val="28"/>
        </w:rPr>
        <w:t xml:space="preserve">8.3 .gitignore Recommendations</w:t>
      </w:r>
    </w:p>
    <w:p>
      <w:pPr>
        <w:spacing w:after="100"/>
      </w:pPr>
      <w:r>
        <w:rPr>
          <w:rFonts w:ascii="Arial" w:cs="Arial" w:eastAsia="Arial" w:hAnsi="Arial"/>
          <w:b w:val="false"/>
          <w:bCs w:val="false"/>
          <w:color w:val="111827"/>
          <w:sz w:val="22"/>
          <w:szCs w:val="22"/>
        </w:rPr>
        <w:t xml:space="preserve">Add the following to your .gitignore file to keep the repository clean: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3F4F6" w:val="clear"/>
            <w:tcMar>
              <w:top w:type="dxa" w:w="100"/>
              <w:left w:type="dxa" w:w="200"/>
              <w:bottom w:type="dxa" w:w="100"/>
              <w:right w:type="dxa" w:w="200"/>
            </w:tcMar>
          </w:tcPr>
          <w:p>
            <w:pPr>
              <w:spacing w:after="40"/>
            </w:pPr>
            <w:r>
              <w:rPr>
                <w:rFonts w:ascii="Courier New" w:cs="Courier New" w:eastAsia="Courier New" w:hAnsi="Courier New"/>
                <w:color w:val="1A3C6E"/>
                <w:sz w:val="19"/>
                <w:szCs w:val="19"/>
              </w:rPr>
              <w:t xml:space="preserve">__pycache__/</w:t>
            </w:r>
          </w:p>
          <w:p>
            <w:pPr>
              <w:spacing w:after="40"/>
            </w:pPr>
            <w:r>
              <w:rPr>
                <w:rFonts w:ascii="Courier New" w:cs="Courier New" w:eastAsia="Courier New" w:hAnsi="Courier New"/>
                <w:color w:val="1A3C6E"/>
                <w:sz w:val="19"/>
                <w:szCs w:val="19"/>
              </w:rPr>
              <w:t xml:space="preserve">*.pyc</w:t>
            </w:r>
          </w:p>
          <w:p>
            <w:pPr>
              <w:spacing w:after="40"/>
            </w:pPr>
            <w:r>
              <w:rPr>
                <w:rFonts w:ascii="Courier New" w:cs="Courier New" w:eastAsia="Courier New" w:hAnsi="Courier New"/>
                <w:color w:val="1A3C6E"/>
                <w:sz w:val="19"/>
                <w:szCs w:val="19"/>
              </w:rPr>
              <w:t xml:space="preserve">.ipynb_checkpoints/</w:t>
            </w:r>
          </w:p>
          <w:p>
            <w:pPr>
              <w:spacing w:after="40"/>
            </w:pPr>
            <w:r>
              <w:rPr>
                <w:rFonts w:ascii="Courier New" w:cs="Courier New" w:eastAsia="Courier New" w:hAnsi="Courier New"/>
                <w:color w:val="1A3C6E"/>
                <w:sz w:val="19"/>
                <w:szCs w:val="19"/>
              </w:rPr>
              <w:t xml:space="preserve">*.DS_Store</w:t>
            </w:r>
          </w:p>
          <w:p>
            <w:pPr>
              <w:spacing w:after="40"/>
            </w:pPr>
            <w:r>
              <w:rPr>
                <w:rFonts w:ascii="Courier New" w:cs="Courier New" w:eastAsia="Courier New" w:hAnsi="Courier New"/>
                <w:color w:val="1A3C6E"/>
                <w:sz w:val="19"/>
                <w:szCs w:val="19"/>
              </w:rPr>
              <w:t xml:space="preserve">*.env</w:t>
            </w:r>
          </w:p>
          <w:p>
            <w:pPr>
              <w:spacing w:after="40"/>
            </w:pPr>
            <w:r>
              <w:rPr>
                <w:rFonts w:ascii="Courier New" w:cs="Courier New" w:eastAsia="Courier New" w:hAnsi="Courier New"/>
                <w:color w:val="1A3C6E"/>
                <w:sz w:val="19"/>
                <w:szCs w:val="19"/>
              </w:rPr>
              <w:t xml:space="preserve">data/raw/</w:t>
            </w:r>
          </w:p>
          <w:p>
            <w:pPr>
              <w:spacing w:after="40"/>
            </w:pPr>
            <w:r>
              <w:rPr>
                <w:rFonts w:ascii="Courier New" w:cs="Courier New" w:eastAsia="Courier New" w:hAnsi="Courier New"/>
                <w:color w:val="1A3C6E"/>
                <w:sz w:val="19"/>
                <w:szCs w:val="19"/>
              </w:rPr>
              <w:t xml:space="preserve">*.log</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9. Strategic Recommendations</w:t>
      </w:r>
    </w:p>
    <w:p>
      <w:pPr>
        <w:spacing w:after="100"/>
      </w:pPr>
      <w:r>
        <w:rPr>
          <w:rFonts w:ascii="Arial" w:cs="Arial" w:eastAsia="Arial" w:hAnsi="Arial"/>
          <w:b w:val="false"/>
          <w:bCs w:val="false"/>
          <w:color w:val="111827"/>
          <w:sz w:val="22"/>
          <w:szCs w:val="22"/>
        </w:rPr>
        <w:t xml:space="preserve">Based on the EDA, ML forecasting, and NLP analysis, the following six strategic recommendations are prioritised by expected impact: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rPr>
          <w:tblHeader/>
        </w:trPr>
        <w:tc>
          <w:tcPr>
            <w:tcW w:type="dxa" w:w="800"/>
            <w:tcBorders>
              <w:top w:val="single" w:color="EA580C" w:sz="1"/>
              <w:left w:val="single" w:color="EA580C" w:sz="1"/>
              <w:bottom w:val="single" w:color="EA580C" w:sz="1"/>
              <w:right w:val="single" w:color="EA580C" w:sz="1"/>
            </w:tcBorders>
            <w:shd w:fill="EA580C"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t>
            </w:r>
          </w:p>
        </w:tc>
        <w:tc>
          <w:tcPr>
            <w:tcW w:type="dxa" w:w="2400"/>
            <w:tcBorders>
              <w:top w:val="single" w:color="EA580C" w:sz="1"/>
              <w:left w:val="single" w:color="EA580C" w:sz="1"/>
              <w:bottom w:val="single" w:color="EA580C" w:sz="1"/>
              <w:right w:val="single" w:color="EA580C" w:sz="1"/>
            </w:tcBorders>
            <w:shd w:fill="EA580C"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Area</w:t>
            </w:r>
          </w:p>
        </w:tc>
        <w:tc>
          <w:tcPr>
            <w:tcW w:type="dxa" w:w="3560"/>
            <w:tcBorders>
              <w:top w:val="single" w:color="EA580C" w:sz="1"/>
              <w:left w:val="single" w:color="EA580C" w:sz="1"/>
              <w:bottom w:val="single" w:color="EA580C" w:sz="1"/>
              <w:right w:val="single" w:color="EA580C" w:sz="1"/>
            </w:tcBorders>
            <w:shd w:fill="EA580C"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Recommendation</w:t>
            </w:r>
          </w:p>
        </w:tc>
        <w:tc>
          <w:tcPr>
            <w:tcW w:type="dxa" w:w="2600"/>
            <w:tcBorders>
              <w:top w:val="single" w:color="EA580C" w:sz="1"/>
              <w:left w:val="single" w:color="EA580C" w:sz="1"/>
              <w:bottom w:val="single" w:color="EA580C" w:sz="1"/>
              <w:right w:val="single" w:color="EA580C" w:sz="1"/>
            </w:tcBorders>
            <w:shd w:fill="EA580C"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Expected Impact</w:t>
            </w:r>
          </w:p>
        </w:tc>
      </w:tr>
      <w:tr>
        <w:tc>
          <w:tcPr>
            <w:tcW w:type="dxa" w:w="80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r>
              <w:rPr>
                <w:rFonts w:ascii="Arial" w:cs="Arial" w:eastAsia="Arial" w:hAnsi="Arial"/>
                <w:b/>
                <w:bCs/>
                <w:color w:val="2563EB"/>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Regional Expansion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West region contributes 35% of revenue. Increase marketing spend and sales headcount in California and Washington to deepen market penetration.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Revenue uplift 8–12%</w:t>
            </w:r>
          </w:p>
        </w:tc>
      </w:tr>
      <w:tr>
        <w:tc>
          <w:tcPr>
            <w:tcW w:type="dxa" w:w="800"/>
            <w:tcBorders>
              <w:top w:val="single" w:color="DDDDDD" w:sz="1"/>
              <w:left w:val="single" w:color="DDDDDD" w:sz="1"/>
              <w:bottom w:val="single" w:color="DDDDDD" w:sz="1"/>
              <w:right w:val="single" w:color="DDDDDD" w:sz="1"/>
            </w:tcBorders>
            <w:shd w:fill="CCFBF1" w:val="clear"/>
            <w:tcMar>
              <w:top w:type="dxa" w:w="80"/>
              <w:left w:type="dxa" w:w="140"/>
              <w:bottom w:type="dxa" w:w="80"/>
              <w:right w:type="dxa" w:w="140"/>
            </w:tcMar>
          </w:tcPr>
          <w:p>
            <w:r>
              <w:rPr>
                <w:rFonts w:ascii="Arial" w:cs="Arial" w:eastAsia="Arial" w:hAnsi="Arial"/>
                <w:b/>
                <w:bCs/>
                <w:color w:val="0D9488"/>
                <w:sz w:val="20"/>
                <w:szCs w:val="20"/>
              </w:rPr>
              <w:t xml:space="preserve">2</w:t>
            </w:r>
          </w:p>
        </w:tc>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Product Mix</w:t>
            </w:r>
          </w:p>
        </w:tc>
        <w:tc>
          <w:tcPr>
            <w:tcW w:type="dxa" w:w="3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19"/>
                <w:szCs w:val="19"/>
              </w:rPr>
              <w:t xml:space="preserve">Products 26 &amp; 25 drive top revenue. Bundle them with Product 18 (highest margin) to increase average order value per transaction.</w:t>
            </w:r>
          </w:p>
        </w:tc>
        <w:tc>
          <w:tcPr>
            <w:tcW w:type="dxa" w:w="2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6A34A"/>
                <w:sz w:val="20"/>
                <w:szCs w:val="20"/>
              </w:rPr>
              <w:t xml:space="preserve">AOV increase 15%</w:t>
            </w:r>
          </w:p>
        </w:tc>
      </w:tr>
      <w:tr>
        <w:tc>
          <w:tcPr>
            <w:tcW w:type="dxa" w:w="80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tcPr>
          <w:p>
            <w:r>
              <w:rPr>
                <w:rFonts w:ascii="Arial" w:cs="Arial" w:eastAsia="Arial" w:hAnsi="Arial"/>
                <w:b/>
                <w:bCs/>
                <w:color w:val="EA580C"/>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Channel Strategy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Wholesale dominates at 54%. Develop the Export channel (currently 15%) with targeted international campaigns for Q3–Q4.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New revenue streams</w:t>
            </w:r>
          </w:p>
        </w:tc>
      </w:tr>
      <w:tr>
        <w:tc>
          <w:tcPr>
            <w:tcW w:type="dxa" w:w="800"/>
            <w:tcBorders>
              <w:top w:val="single" w:color="DDDDDD" w:sz="1"/>
              <w:left w:val="single" w:color="DDDDDD" w:sz="1"/>
              <w:bottom w:val="single" w:color="DDDDDD" w:sz="1"/>
              <w:right w:val="single" w:color="DDDDDD" w:sz="1"/>
            </w:tcBorders>
            <w:shd w:fill="DCFCE7" w:val="clear"/>
            <w:tcMar>
              <w:top w:type="dxa" w:w="80"/>
              <w:left w:type="dxa" w:w="140"/>
              <w:bottom w:type="dxa" w:w="80"/>
              <w:right w:type="dxa" w:w="140"/>
            </w:tcMar>
          </w:tcPr>
          <w:p>
            <w:r>
              <w:rPr>
                <w:rFonts w:ascii="Arial" w:cs="Arial" w:eastAsia="Arial" w:hAnsi="Arial"/>
                <w:b/>
                <w:bCs/>
                <w:color w:val="16A34A"/>
                <w:sz w:val="20"/>
                <w:szCs w:val="20"/>
              </w:rPr>
              <w:t xml:space="preserve">4</w:t>
            </w:r>
          </w:p>
        </w:tc>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Seasonality Planning</w:t>
            </w:r>
          </w:p>
        </w:tc>
        <w:tc>
          <w:tcPr>
            <w:tcW w:type="dxa" w:w="3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19"/>
                <w:szCs w:val="19"/>
              </w:rPr>
              <w:t xml:space="preserve">May–August peak demand detected. Pre-position inventory and staff up in April to capture seasonal uplift fully.</w:t>
            </w:r>
          </w:p>
        </w:tc>
        <w:tc>
          <w:tcPr>
            <w:tcW w:type="dxa" w:w="2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6A34A"/>
                <w:sz w:val="20"/>
                <w:szCs w:val="20"/>
              </w:rPr>
              <w:t xml:space="preserve">Reduce stockouts 20%</w:t>
            </w:r>
          </w:p>
        </w:tc>
      </w:tr>
      <w:tr>
        <w:tc>
          <w:tcPr>
            <w:tcW w:type="dxa" w:w="800"/>
            <w:tcBorders>
              <w:top w:val="single" w:color="DDDDDD" w:sz="1"/>
              <w:left w:val="single" w:color="DDDDDD" w:sz="1"/>
              <w:bottom w:val="single" w:color="DDDDDD" w:sz="1"/>
              <w:right w:val="single" w:color="DDDDDD" w:sz="1"/>
            </w:tcBorders>
            <w:shd w:fill="EDE9FE" w:val="clear"/>
            <w:tcMar>
              <w:top w:type="dxa" w:w="80"/>
              <w:left w:type="dxa" w:w="140"/>
              <w:bottom w:type="dxa" w:w="80"/>
              <w:right w:type="dxa" w:w="140"/>
            </w:tcMar>
          </w:tcPr>
          <w:p>
            <w:r>
              <w:rPr>
                <w:rFonts w:ascii="Arial" w:cs="Arial" w:eastAsia="Arial" w:hAnsi="Arial"/>
                <w:b/>
                <w:bCs/>
                <w:color w:val="7C3AED"/>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Budget Alignment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2017 budget gaps in Midwest and Northeast. Revise quotas based on Gradient Boosting forecasts for improved accuracy.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Forecast error -30%</w:t>
            </w:r>
          </w:p>
        </w:tc>
      </w:tr>
      <w:tr>
        <w:tc>
          <w:tcPr>
            <w:tcW w:type="dxa" w:w="800"/>
            <w:tcBorders>
              <w:top w:val="single" w:color="DDDDDD" w:sz="1"/>
              <w:left w:val="single" w:color="DDDDDD" w:sz="1"/>
              <w:bottom w:val="single" w:color="DDDDDD" w:sz="1"/>
              <w:right w:val="single" w:color="DDDDDD" w:sz="1"/>
            </w:tcBorders>
            <w:shd w:fill="FFF7ED" w:val="clear"/>
            <w:tcMar>
              <w:top w:type="dxa" w:w="80"/>
              <w:left w:type="dxa" w:w="140"/>
              <w:bottom w:type="dxa" w:w="80"/>
              <w:right w:type="dxa" w:w="140"/>
            </w:tcMar>
          </w:tcPr>
          <w:p>
            <w:r>
              <w:rPr>
                <w:rFonts w:ascii="Arial" w:cs="Arial" w:eastAsia="Arial" w:hAnsi="Arial"/>
                <w:b/>
                <w:bCs/>
                <w:color w:val="DC2626"/>
                <w:sz w:val="20"/>
                <w:szCs w:val="20"/>
              </w:rPr>
              <w:t xml:space="preserve">6</w:t>
            </w:r>
          </w:p>
        </w:tc>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NLP Sentiment</w:t>
            </w:r>
          </w:p>
        </w:tc>
        <w:tc>
          <w:tcPr>
            <w:tcW w:type="dxa" w:w="3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val="false"/>
                <w:bCs w:val="false"/>
                <w:color w:val="111827"/>
                <w:sz w:val="19"/>
                <w:szCs w:val="19"/>
              </w:rPr>
              <w:t xml:space="preserve">Deploy real-time sentiment monitoring on customer feedback. Flag negative signals early to drive retention interventions.</w:t>
            </w:r>
          </w:p>
        </w:tc>
        <w:tc>
          <w:tcPr>
            <w:tcW w:type="dxa" w:w="2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6A34A"/>
                <w:sz w:val="20"/>
                <w:szCs w:val="20"/>
              </w:rPr>
              <w:t xml:space="preserve">Churn reduction 5%</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10. Conclusion</w:t>
      </w:r>
    </w:p>
    <w:p>
      <w:pPr>
        <w:spacing w:after="100"/>
      </w:pPr>
      <w:r>
        <w:rPr>
          <w:rFonts w:ascii="Arial" w:cs="Arial" w:eastAsia="Arial" w:hAnsi="Arial"/>
          <w:b w:val="false"/>
          <w:bCs w:val="false"/>
          <w:color w:val="111827"/>
          <w:sz w:val="22"/>
          <w:szCs w:val="22"/>
        </w:rPr>
        <w:t xml:space="preserve">This project successfully delivers a full-stack AI Sales Intelligence Platform covering:</w:t>
      </w:r>
    </w:p>
    <w:p>
      <w:r>
        <w:rPr>
          <w:sz w:val="22"/>
          <w:szCs w:val="22"/>
        </w:rPr>
        <w:t xml:space="preserve"/>
      </w:r>
    </w:p>
    <w:p>
      <w:pPr>
        <w:pStyle w:val="ListParagraph"/>
        <w:numPr>
          <w:ilvl w:val="0"/>
          <w:numId w:val="2"/>
        </w:numPr>
        <w:spacing w:after="80"/>
      </w:pPr>
      <w:r>
        <w:rPr>
          <w:rFonts w:ascii="Arial" w:cs="Arial" w:eastAsia="Arial" w:hAnsi="Arial"/>
          <w:sz w:val="22"/>
          <w:szCs w:val="22"/>
        </w:rPr>
        <w:t xml:space="preserve">Deep EDA across product, channel, region, and time dimensions</w:t>
      </w:r>
    </w:p>
    <w:p>
      <w:pPr>
        <w:pStyle w:val="ListParagraph"/>
        <w:numPr>
          <w:ilvl w:val="0"/>
          <w:numId w:val="2"/>
        </w:numPr>
        <w:spacing w:after="80"/>
      </w:pPr>
      <w:r>
        <w:rPr>
          <w:rFonts w:ascii="Arial" w:cs="Arial" w:eastAsia="Arial" w:hAnsi="Arial"/>
          <w:sz w:val="22"/>
          <w:szCs w:val="22"/>
        </w:rPr>
        <w:t xml:space="preserve">Four-model ML benchmark with Gradient Boosting achieving R² = 0.987</w:t>
      </w:r>
    </w:p>
    <w:p>
      <w:pPr>
        <w:pStyle w:val="ListParagraph"/>
        <w:numPr>
          <w:ilvl w:val="0"/>
          <w:numId w:val="2"/>
        </w:numPr>
        <w:spacing w:after="80"/>
      </w:pPr>
      <w:r>
        <w:rPr>
          <w:rFonts w:ascii="Arial" w:cs="Arial" w:eastAsia="Arial" w:hAnsi="Arial"/>
          <w:sz w:val="22"/>
          <w:szCs w:val="22"/>
        </w:rPr>
        <w:t xml:space="preserve">NLP sentiment pipeline identifying customer feedback signals</w:t>
      </w:r>
    </w:p>
    <w:p>
      <w:pPr>
        <w:pStyle w:val="ListParagraph"/>
        <w:numPr>
          <w:ilvl w:val="0"/>
          <w:numId w:val="2"/>
        </w:numPr>
        <w:spacing w:after="80"/>
      </w:pPr>
      <w:r>
        <w:rPr>
          <w:rFonts w:ascii="Arial" w:cs="Arial" w:eastAsia="Arial" w:hAnsi="Arial"/>
          <w:sz w:val="22"/>
          <w:szCs w:val="22"/>
        </w:rPr>
        <w:t xml:space="preserve">Interactive HTML dashboard for real-time exploration by business stakeholders</w:t>
      </w:r>
    </w:p>
    <w:p>
      <w:pPr>
        <w:pStyle w:val="ListParagraph"/>
        <w:numPr>
          <w:ilvl w:val="0"/>
          <w:numId w:val="2"/>
        </w:numPr>
        <w:spacing w:after="80"/>
      </w:pPr>
      <w:r>
        <w:rPr>
          <w:rFonts w:ascii="Arial" w:cs="Arial" w:eastAsia="Arial" w:hAnsi="Arial"/>
          <w:sz w:val="22"/>
          <w:szCs w:val="22"/>
        </w:rPr>
        <w:t xml:space="preserve">Power BI report for executive-level drill-through and scheduled refresh</w:t>
      </w:r>
    </w:p>
    <w:p>
      <w:r>
        <w:rPr>
          <w:sz w:val="22"/>
          <w:szCs w:val="22"/>
        </w:rPr>
        <w:t xml:space="preserve"/>
      </w:r>
    </w:p>
    <w:p>
      <w:pPr>
        <w:spacing w:after="100"/>
      </w:pPr>
      <w:r>
        <w:rPr>
          <w:rFonts w:ascii="Arial" w:cs="Arial" w:eastAsia="Arial" w:hAnsi="Arial"/>
          <w:b w:val="false"/>
          <w:bCs w:val="false"/>
          <w:color w:val="111827"/>
          <w:sz w:val="22"/>
          <w:szCs w:val="22"/>
        </w:rPr>
        <w:t xml:space="preserve">The West region, Products 26 and 25, and the Wholesale channel are the primary revenue pillars. Opportunities lie in Export channel development, Northeast and Midwest expansion, and product bundling strategies. With the Gradient Boosting model deployed, Acme Co. can achieve forecast errors below $1.5K per month — a 30% improvement over baseline regression approaches.</w:t>
      </w:r>
    </w:p>
    <w:p>
      <w:r>
        <w:rPr>
          <w:sz w:val="22"/>
          <w:szCs w:val="22"/>
        </w:rPr>
        <w:t xml:space="preserve"/>
      </w:r>
    </w:p>
    <w:p>
      <w:pPr>
        <w:spacing w:after="100"/>
      </w:pPr>
      <w:r>
        <w:rPr>
          <w:rFonts w:ascii="Arial" w:cs="Arial" w:eastAsia="Arial" w:hAnsi="Arial"/>
          <w:b w:val="false"/>
          <w:bCs w:val="false"/>
          <w:color w:val="111827"/>
          <w:sz w:val="22"/>
          <w:szCs w:val="22"/>
        </w:rPr>
        <w:t xml:space="preserve">Uploading all deliverables to GitHub ensures version control, team collaboration, and a professional portfolio showcase. GitHub Pages deployment of the HTML dashboard will make the interactive analysis publicly accessible without any infrastructure cost.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none" w:color="2563EB" w:sz="12"/>
              <w:bottom w:val="none"/>
              <w:right w:val="none"/>
            </w:tcBorders>
            <w:shd w:fill="DBEAFE" w:val="clear"/>
            <w:tcMar>
              <w:top w:type="dxa" w:w="100"/>
              <w:left w:type="dxa" w:w="160"/>
              <w:bottom w:type="dxa" w:w="60"/>
              <w:right w:type="dxa" w:w="160"/>
            </w:tcMar>
          </w:tcPr>
          <w:p>
            <w:r>
              <w:rPr>
                <w:rFonts w:ascii="Arial" w:cs="Arial" w:eastAsia="Arial" w:hAnsi="Arial"/>
                <w:b/>
                <w:bCs/>
                <w:color w:val="2563EB"/>
                <w:sz w:val="22"/>
                <w:szCs w:val="22"/>
              </w:rPr>
              <w:t xml:space="preserve">Next Steps</w:t>
            </w:r>
          </w:p>
          <w:p>
            <w:pPr>
              <w:spacing w:after="60"/>
            </w:pPr>
            <w:r>
              <w:rPr>
                <w:rFonts w:ascii="Arial" w:cs="Arial" w:eastAsia="Arial" w:hAnsi="Arial"/>
                <w:color w:val="111827"/>
                <w:sz w:val="21"/>
                <w:szCs w:val="21"/>
              </w:rPr>
              <w:t xml:space="preserve">1. Upload all 4 project files to GitHub following the guide in Section 8.</w:t>
            </w:r>
          </w:p>
          <w:p>
            <w:pPr>
              <w:spacing w:after="60"/>
            </w:pPr>
            <w:r>
              <w:rPr>
                <w:rFonts w:ascii="Arial" w:cs="Arial" w:eastAsia="Arial" w:hAnsi="Arial"/>
                <w:color w:val="111827"/>
                <w:sz w:val="21"/>
                <w:szCs w:val="21"/>
              </w:rPr>
              <w:t xml:space="preserve">2. Enable GitHub Pages to host the HTML dashboard publicly.</w:t>
            </w:r>
          </w:p>
          <w:p>
            <w:pPr>
              <w:spacing w:after="60"/>
            </w:pPr>
            <w:r>
              <w:rPr>
                <w:rFonts w:ascii="Arial" w:cs="Arial" w:eastAsia="Arial" w:hAnsi="Arial"/>
                <w:color w:val="111827"/>
                <w:sz w:val="21"/>
                <w:szCs w:val="21"/>
              </w:rPr>
              <w:t xml:space="preserve">3. Schedule monthly re-runs of the ML notebook as new sales data arrives.</w:t>
            </w:r>
          </w:p>
          <w:p>
            <w:pPr>
              <w:spacing w:after="60"/>
            </w:pPr>
            <w:r>
              <w:rPr>
                <w:rFonts w:ascii="Arial" w:cs="Arial" w:eastAsia="Arial" w:hAnsi="Arial"/>
                <w:color w:val="111827"/>
                <w:sz w:val="21"/>
                <w:szCs w:val="21"/>
              </w:rPr>
              <w:t xml:space="preserve">4. Integrate the Power BI report with live data refresh via Power BI Service.</w:t>
            </w:r>
          </w:p>
          <w:p>
            <w:pPr>
              <w:spacing w:after="60"/>
            </w:pPr>
            <w:r>
              <w:rPr>
                <w:rFonts w:ascii="Arial" w:cs="Arial" w:eastAsia="Arial" w:hAnsi="Arial"/>
                <w:color w:val="111827"/>
                <w:sz w:val="21"/>
                <w:szCs w:val="21"/>
              </w:rPr>
              <w:t xml:space="preserve">5. Implement the real-time sentiment monitoring pipeline in production.</w:t>
            </w:r>
          </w:p>
        </w:tc>
      </w:tr>
    </w:tbl>
    <w:p>
      <w:r>
        <w:rPr>
          <w:sz w:val="22"/>
          <w:szCs w:val="22"/>
        </w:rPr>
        <w:t xml:space="preserve"/>
      </w:r>
    </w:p>
    <w:p>
      <w:r>
        <w:br w:type="page"/>
      </w:r>
    </w:p>
    <w:p>
      <w:pPr>
        <w:pStyle w:val="Heading1"/>
        <w:pBdr>
          <w:bottom w:val="single" w:color="1A3C6E" w:sz="8" w:space="6"/>
        </w:pBdr>
        <w:spacing w:after="120" w:before="360"/>
      </w:pPr>
      <w:r>
        <w:rPr>
          <w:rFonts w:ascii="Arial" w:cs="Arial" w:eastAsia="Arial" w:hAnsi="Arial"/>
          <w:b/>
          <w:bCs/>
          <w:color w:val="1A3C6E"/>
          <w:sz w:val="36"/>
          <w:szCs w:val="36"/>
        </w:rPr>
        <w:t xml:space="preserve">Appendix A: README.md Template</w:t>
      </w:r>
    </w:p>
    <w:p>
      <w:pPr>
        <w:spacing w:after="100"/>
      </w:pPr>
      <w:r>
        <w:rPr>
          <w:rFonts w:ascii="Arial" w:cs="Arial" w:eastAsia="Arial" w:hAnsi="Arial"/>
          <w:b w:val="false"/>
          <w:bCs w:val="false"/>
          <w:color w:val="111827"/>
          <w:sz w:val="22"/>
          <w:szCs w:val="22"/>
        </w:rPr>
        <w:t xml:space="preserve">Copy the following into your repository's README.md file: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8FA" w:val="clear"/>
            <w:tcMar>
              <w:top w:type="dxa" w:w="120"/>
              <w:left w:type="dxa" w:w="200"/>
              <w:bottom w:type="dxa" w:w="120"/>
              <w:right w:type="dxa" w:w="200"/>
            </w:tcMar>
          </w:tcPr>
          <w:p>
            <w:pPr>
              <w:spacing w:after="30"/>
            </w:pPr>
            <w:r>
              <w:rPr>
                <w:rFonts w:ascii="Courier New" w:cs="Courier New" w:eastAsia="Courier New" w:hAnsi="Courier New"/>
                <w:color w:val="0D1117"/>
                <w:sz w:val="17"/>
                <w:szCs w:val="17"/>
              </w:rPr>
              <w:t xml:space="preserve"># AI-Driven Regional Sales Intelligence Platform</w:t>
            </w:r>
          </w:p>
          <w:p>
            <w:pPr>
              <w:spacing w:after="30"/>
            </w:pPr>
            <w:r>
              <w:rPr>
                <w:rFonts w:ascii="Courier New" w:cs="Courier New" w:eastAsia="Courier New" w:hAnsi="Courier New"/>
                <w:color w:val="0D1117"/>
                <w:sz w:val="17"/>
                <w:szCs w:val="17"/>
              </w:rPr>
              <w:t xml:space="preserve"/>
            </w:r>
          </w:p>
          <w:p>
            <w:pPr>
              <w:spacing w:after="30"/>
            </w:pPr>
            <w:r>
              <w:rPr>
                <w:rFonts w:ascii="Courier New" w:cs="Courier New" w:eastAsia="Courier New" w:hAnsi="Courier New"/>
                <w:color w:val="0D1117"/>
                <w:sz w:val="17"/>
                <w:szCs w:val="17"/>
              </w:rPr>
              <w:t xml:space="preserve">End-to-end sales analytics solution combining EDA, ML forecasting,</w:t>
            </w:r>
          </w:p>
          <w:p>
            <w:pPr>
              <w:spacing w:after="30"/>
            </w:pPr>
            <w:r>
              <w:rPr>
                <w:rFonts w:ascii="Courier New" w:cs="Courier New" w:eastAsia="Courier New" w:hAnsi="Courier New"/>
                <w:color w:val="0D1117"/>
                <w:sz w:val="17"/>
                <w:szCs w:val="17"/>
              </w:rPr>
              <w:t xml:space="preserve">NLP sentiment analysis, and an interactive dashboard.</w:t>
            </w:r>
          </w:p>
          <w:p>
            <w:pPr>
              <w:spacing w:after="30"/>
            </w:pPr>
            <w:r>
              <w:rPr>
                <w:rFonts w:ascii="Courier New" w:cs="Courier New" w:eastAsia="Courier New" w:hAnsi="Courier New"/>
                <w:color w:val="0D1117"/>
                <w:sz w:val="17"/>
                <w:szCs w:val="17"/>
              </w:rPr>
              <w:t xml:space="preserve"/>
            </w:r>
          </w:p>
          <w:p>
            <w:pPr>
              <w:spacing w:after="30"/>
            </w:pPr>
            <w:r>
              <w:rPr>
                <w:rFonts w:ascii="Courier New" w:cs="Courier New" w:eastAsia="Courier New" w:hAnsi="Courier New"/>
                <w:color w:val="0D1117"/>
                <w:sz w:val="17"/>
                <w:szCs w:val="17"/>
              </w:rPr>
              <w:t xml:space="preserve">## Project Structure</w:t>
            </w:r>
          </w:p>
          <w:p>
            <w:pPr>
              <w:spacing w:after="30"/>
            </w:pPr>
            <w:r>
              <w:rPr>
                <w:rFonts w:ascii="Courier New" w:cs="Courier New" w:eastAsia="Courier New" w:hAnsi="Courier New"/>
                <w:color w:val="0D1117"/>
                <w:sz w:val="17"/>
                <w:szCs w:val="17"/>
              </w:rPr>
              <w:t xml:space="preserve">| Folder | Contents |</w:t>
            </w:r>
          </w:p>
          <w:p>
            <w:pPr>
              <w:spacing w:after="30"/>
            </w:pPr>
            <w:r>
              <w:rPr>
                <w:rFonts w:ascii="Courier New" w:cs="Courier New" w:eastAsia="Courier New" w:hAnsi="Courier New"/>
                <w:color w:val="0D1117"/>
                <w:sz w:val="17"/>
                <w:szCs w:val="17"/>
              </w:rPr>
              <w:t xml:space="preserve">|--------|----------|</w:t>
            </w:r>
          </w:p>
          <w:p>
            <w:pPr>
              <w:spacing w:after="30"/>
            </w:pPr>
            <w:r>
              <w:rPr>
                <w:rFonts w:ascii="Courier New" w:cs="Courier New" w:eastAsia="Courier New" w:hAnsi="Courier New"/>
                <w:color w:val="0D1117"/>
                <w:sz w:val="17"/>
                <w:szCs w:val="17"/>
              </w:rPr>
              <w:t xml:space="preserve">| notebooks/ | Jupyter notebooks (EDA + ML) |</w:t>
            </w:r>
          </w:p>
          <w:p>
            <w:pPr>
              <w:spacing w:after="30"/>
            </w:pPr>
            <w:r>
              <w:rPr>
                <w:rFonts w:ascii="Courier New" w:cs="Courier New" w:eastAsia="Courier New" w:hAnsi="Courier New"/>
                <w:color w:val="0D1117"/>
                <w:sz w:val="17"/>
                <w:szCs w:val="17"/>
              </w:rPr>
              <w:t xml:space="preserve">| dashboard/ | Interactive HTML dashboard |</w:t>
            </w:r>
          </w:p>
          <w:p>
            <w:pPr>
              <w:spacing w:after="30"/>
            </w:pPr>
            <w:r>
              <w:rPr>
                <w:rFonts w:ascii="Courier New" w:cs="Courier New" w:eastAsia="Courier New" w:hAnsi="Courier New"/>
                <w:color w:val="0D1117"/>
                <w:sz w:val="17"/>
                <w:szCs w:val="17"/>
              </w:rPr>
              <w:t xml:space="preserve">| reports/   | Power BI report (.pbix) |</w:t>
            </w:r>
          </w:p>
          <w:p>
            <w:pPr>
              <w:spacing w:after="30"/>
            </w:pPr>
            <w:r>
              <w:rPr>
                <w:rFonts w:ascii="Courier New" w:cs="Courier New" w:eastAsia="Courier New" w:hAnsi="Courier New"/>
                <w:color w:val="0D1117"/>
                <w:sz w:val="17"/>
                <w:szCs w:val="17"/>
              </w:rPr>
              <w:t xml:space="preserve"/>
            </w:r>
          </w:p>
          <w:p>
            <w:pPr>
              <w:spacing w:after="30"/>
            </w:pPr>
            <w:r>
              <w:rPr>
                <w:rFonts w:ascii="Courier New" w:cs="Courier New" w:eastAsia="Courier New" w:hAnsi="Courier New"/>
                <w:color w:val="0D1117"/>
                <w:sz w:val="17"/>
                <w:szCs w:val="17"/>
              </w:rPr>
              <w:t xml:space="preserve">## Tech Stack</w:t>
            </w:r>
          </w:p>
          <w:p>
            <w:pPr>
              <w:spacing w:after="30"/>
            </w:pPr>
            <w:r>
              <w:rPr>
                <w:rFonts w:ascii="Courier New" w:cs="Courier New" w:eastAsia="Courier New" w:hAnsi="Courier New"/>
                <w:color w:val="0D1117"/>
                <w:sz w:val="17"/>
                <w:szCs w:val="17"/>
              </w:rPr>
              <w:t xml:space="preserve">Python, pandas, scikit-learn, VADER NLP, Chart.js, Power BI</w:t>
            </w:r>
          </w:p>
          <w:p>
            <w:pPr>
              <w:spacing w:after="30"/>
            </w:pPr>
            <w:r>
              <w:rPr>
                <w:rFonts w:ascii="Courier New" w:cs="Courier New" w:eastAsia="Courier New" w:hAnsi="Courier New"/>
                <w:color w:val="0D1117"/>
                <w:sz w:val="17"/>
                <w:szCs w:val="17"/>
              </w:rPr>
              <w:t xml:space="preserve"/>
            </w:r>
          </w:p>
          <w:p>
            <w:pPr>
              <w:spacing w:after="30"/>
            </w:pPr>
            <w:r>
              <w:rPr>
                <w:rFonts w:ascii="Courier New" w:cs="Courier New" w:eastAsia="Courier New" w:hAnsi="Courier New"/>
                <w:color w:val="0D1117"/>
                <w:sz w:val="17"/>
                <w:szCs w:val="17"/>
              </w:rPr>
              <w:t xml:space="preserve">## Key Results</w:t>
            </w:r>
          </w:p>
          <w:p>
            <w:pPr>
              <w:spacing w:after="30"/>
            </w:pPr>
            <w:r>
              <w:rPr>
                <w:rFonts w:ascii="Courier New" w:cs="Courier New" w:eastAsia="Courier New" w:hAnsi="Courier New"/>
                <w:color w:val="0D1117"/>
                <w:sz w:val="17"/>
                <w:szCs w:val="17"/>
              </w:rPr>
              <w:t xml:space="preserve">- Gradient Boosting R² = 0.987 (best model)</w:t>
            </w:r>
          </w:p>
          <w:p>
            <w:pPr>
              <w:spacing w:after="30"/>
            </w:pPr>
            <w:r>
              <w:rPr>
                <w:rFonts w:ascii="Courier New" w:cs="Courier New" w:eastAsia="Courier New" w:hAnsi="Courier New"/>
                <w:color w:val="0D1117"/>
                <w:sz w:val="17"/>
                <w:szCs w:val="17"/>
              </w:rPr>
              <w:t xml:space="preserve">- West region: $42.3M revenue (35% share)</w:t>
            </w:r>
          </w:p>
          <w:p>
            <w:pPr>
              <w:spacing w:after="30"/>
            </w:pPr>
            <w:r>
              <w:rPr>
                <w:rFonts w:ascii="Courier New" w:cs="Courier New" w:eastAsia="Courier New" w:hAnsi="Courier New"/>
                <w:color w:val="0D1117"/>
                <w:sz w:val="17"/>
                <w:szCs w:val="17"/>
              </w:rPr>
              <w:t xml:space="preserve">- Product 26: Top revenue product ($118M)</w:t>
            </w:r>
          </w:p>
          <w:p>
            <w:pPr>
              <w:spacing w:after="30"/>
            </w:pPr>
            <w:r>
              <w:rPr>
                <w:rFonts w:ascii="Courier New" w:cs="Courier New" w:eastAsia="Courier New" w:hAnsi="Courier New"/>
                <w:color w:val="0D1117"/>
                <w:sz w:val="17"/>
                <w:szCs w:val="17"/>
              </w:rPr>
              <w:t xml:space="preserve">- Export channel: Highest growth opportunity</w:t>
            </w:r>
          </w:p>
          <w:p>
            <w:pPr>
              <w:spacing w:after="30"/>
            </w:pPr>
            <w:r>
              <w:rPr>
                <w:rFonts w:ascii="Courier New" w:cs="Courier New" w:eastAsia="Courier New" w:hAnsi="Courier New"/>
                <w:color w:val="0D1117"/>
                <w:sz w:val="17"/>
                <w:szCs w:val="17"/>
              </w:rPr>
              <w:t xml:space="preserve"/>
            </w:r>
          </w:p>
          <w:p>
            <w:pPr>
              <w:spacing w:after="30"/>
            </w:pPr>
            <w:r>
              <w:rPr>
                <w:rFonts w:ascii="Courier New" w:cs="Courier New" w:eastAsia="Courier New" w:hAnsi="Courier New"/>
                <w:color w:val="0D1117"/>
                <w:sz w:val="17"/>
                <w:szCs w:val="17"/>
              </w:rPr>
              <w:t xml:space="preserve">## How to Run</w:t>
            </w:r>
          </w:p>
          <w:p>
            <w:pPr>
              <w:spacing w:after="30"/>
            </w:pPr>
            <w:r>
              <w:rPr>
                <w:rFonts w:ascii="Courier New" w:cs="Courier New" w:eastAsia="Courier New" w:hAnsi="Courier New"/>
                <w:color w:val="0D1117"/>
                <w:sz w:val="17"/>
                <w:szCs w:val="17"/>
              </w:rPr>
              <w:t xml:space="preserve">1. Open notebooks/ in Jupyter Lab</w:t>
            </w:r>
          </w:p>
          <w:p>
            <w:pPr>
              <w:spacing w:after="30"/>
            </w:pPr>
            <w:r>
              <w:rPr>
                <w:rFonts w:ascii="Courier New" w:cs="Courier New" w:eastAsia="Courier New" w:hAnsi="Courier New"/>
                <w:color w:val="0D1117"/>
                <w:sz w:val="17"/>
                <w:szCs w:val="17"/>
              </w:rPr>
              <w:t xml:space="preserve">2. Run all cells (no external data file needed)</w:t>
            </w:r>
          </w:p>
          <w:p>
            <w:pPr>
              <w:spacing w:after="30"/>
            </w:pPr>
            <w:r>
              <w:rPr>
                <w:rFonts w:ascii="Courier New" w:cs="Courier New" w:eastAsia="Courier New" w:hAnsi="Courier New"/>
                <w:color w:val="0D1117"/>
                <w:sz w:val="17"/>
                <w:szCs w:val="17"/>
              </w:rPr>
              <w:t xml:space="preserve">3. Open dashboard/AI_Sales_Intelligence_Dashboard.html in browser</w:t>
            </w:r>
          </w:p>
          <w:p>
            <w:pPr>
              <w:spacing w:after="30"/>
            </w:pPr>
            <w:r>
              <w:rPr>
                <w:rFonts w:ascii="Courier New" w:cs="Courier New" w:eastAsia="Courier New" w:hAnsi="Courier New"/>
                <w:color w:val="0D1117"/>
                <w:sz w:val="17"/>
                <w:szCs w:val="17"/>
              </w:rPr>
              <w:t xml:space="preserve"/>
            </w:r>
          </w:p>
          <w:p>
            <w:pPr>
              <w:spacing w:after="30"/>
            </w:pPr>
            <w:r>
              <w:rPr>
                <w:rFonts w:ascii="Courier New" w:cs="Courier New" w:eastAsia="Courier New" w:hAnsi="Courier New"/>
                <w:color w:val="0D1117"/>
                <w:sz w:val="17"/>
                <w:szCs w:val="17"/>
              </w:rPr>
              <w:t xml:space="preserve">## Author</w:t>
            </w:r>
          </w:p>
          <w:p>
            <w:pPr>
              <w:spacing w:after="30"/>
            </w:pPr>
            <w:r>
              <w:rPr>
                <w:rFonts w:ascii="Courier New" w:cs="Courier New" w:eastAsia="Courier New" w:hAnsi="Courier New"/>
                <w:color w:val="0D1117"/>
                <w:sz w:val="17"/>
                <w:szCs w:val="17"/>
              </w:rPr>
              <w:t xml:space="preserve">Sales Analytics Division | Acme Co. USA |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2"/>
      </w:pBdr>
      <w:tabs>
        <w:tab w:val="right" w:pos="9026"/>
      </w:tabs>
    </w:pPr>
    <w:r>
      <w:rPr>
        <w:rFonts w:ascii="Arial" w:cs="Arial" w:eastAsia="Arial" w:hAnsi="Arial"/>
        <w:color w:val="6B7280"/>
        <w:sz w:val="18"/>
        <w:szCs w:val="18"/>
      </w:rPr>
      <w:t xml:space="preserve">May 2026  |  Sales Analytics Division</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1"/>
      </w:pBdr>
    </w:pPr>
    <w:r>
      <w:rPr>
        <w:rFonts w:ascii="Arial" w:cs="Arial" w:eastAsia="Arial" w:hAnsi="Arial"/>
        <w:b/>
        <w:bCs/>
        <w:color w:val="1A3C6E"/>
        <w:sz w:val="20"/>
        <w:szCs w:val="20"/>
      </w:rPr>
      <w:t xml:space="preserve">AI-Driven Regional Sales Intelligence Platform</w:t>
    </w:r>
    <w:r>
      <w:rPr>
        <w:rFonts w:ascii="Arial" w:cs="Arial" w:eastAsia="Arial" w:hAnsi="Arial"/>
        <w:color w:val="6B7280"/>
        <w:sz w:val="18"/>
        <w:szCs w:val="18"/>
      </w:rPr>
      <w:t xml:space="preserve">   |   Acme Co. USA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2026-05-20T18:14:23.812Z</dcterms:created>
  <dcterms:modified xsi:type="dcterms:W3CDTF">2026-05-20T18:14:23.813Z</dcterms:modified>
</cp:coreProperties>
</file>

<file path=docProps/custom.xml><?xml version="1.0" encoding="utf-8"?>
<Properties xmlns="http://schemas.openxmlformats.org/officeDocument/2006/custom-properties" xmlns:vt="http://schemas.openxmlformats.org/officeDocument/2006/docPropsVTypes"/>
</file>